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60E3037">
      <w:pPr>
        <w:jc w:val="center"/>
        <w:outlineLvl w:val="0"/>
        <w:rPr>
          <w:rFonts w:hint="eastAsia" w:ascii="Times New Roman" w:hAnsi="Times New Roman" w:eastAsia="宋体" w:cs="Times New Roman"/>
          <w:b/>
          <w:bCs/>
        </w:rPr>
      </w:pPr>
      <w:r>
        <w:rPr>
          <w:rFonts w:hint="eastAsia" w:ascii="Times New Roman" w:hAnsi="Times New Roman" w:eastAsia="宋体" w:cs="Times New Roman"/>
          <w:b/>
          <w:bCs/>
        </w:rPr>
        <w:t>“双有”企业环境信息公开表</w:t>
      </w:r>
    </w:p>
    <w:tbl>
      <w:tblPr>
        <w:tblStyle w:val="2"/>
        <w:tblW w:w="9640" w:type="dxa"/>
        <w:tblInd w:w="-31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69"/>
        <w:gridCol w:w="2100"/>
        <w:gridCol w:w="593"/>
        <w:gridCol w:w="1342"/>
        <w:gridCol w:w="785"/>
        <w:gridCol w:w="1045"/>
        <w:gridCol w:w="1506"/>
      </w:tblGrid>
      <w:tr w14:paraId="16E369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269" w:type="dxa"/>
            <w:noWrap w:val="0"/>
            <w:vAlign w:val="center"/>
          </w:tcPr>
          <w:p w14:paraId="74797AE6"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szCs w:val="21"/>
              </w:rPr>
              <w:t>企业名称</w:t>
            </w:r>
          </w:p>
        </w:tc>
        <w:tc>
          <w:tcPr>
            <w:tcW w:w="7371" w:type="dxa"/>
            <w:gridSpan w:val="6"/>
            <w:noWrap w:val="0"/>
            <w:vAlign w:val="center"/>
          </w:tcPr>
          <w:p w14:paraId="46BD398B">
            <w:pPr>
              <w:jc w:val="center"/>
              <w:rPr>
                <w:rFonts w:hint="eastAsia" w:ascii="Times New Roman" w:hAnsi="Times New Roman" w:eastAsia="宋体" w:cs="Times New Roman"/>
                <w:szCs w:val="21"/>
                <w:lang w:eastAsia="zh-CN"/>
              </w:rPr>
            </w:pPr>
            <w:r>
              <w:rPr>
                <w:rFonts w:hint="eastAsia" w:cs="Times New Roman"/>
                <w:b w:val="0"/>
                <w:bCs/>
                <w:color w:val="auto"/>
                <w:sz w:val="21"/>
                <w:szCs w:val="21"/>
                <w:highlight w:val="none"/>
                <w:lang w:val="en-US" w:eastAsia="zh-CN"/>
              </w:rPr>
              <w:t>南京万邦涂装材料厂</w:t>
            </w:r>
          </w:p>
        </w:tc>
      </w:tr>
      <w:tr w14:paraId="2354CE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269" w:type="dxa"/>
            <w:noWrap w:val="0"/>
            <w:vAlign w:val="center"/>
          </w:tcPr>
          <w:p w14:paraId="1010D3C8">
            <w:pPr>
              <w:jc w:val="center"/>
              <w:rPr>
                <w:rFonts w:hint="eastAsia" w:ascii="Times New Roman" w:hAnsi="Times New Roman" w:eastAsia="宋体" w:cs="Times New Roman"/>
                <w:b/>
                <w:bCs/>
                <w:szCs w:val="21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szCs w:val="21"/>
                <w:lang w:eastAsia="zh-CN"/>
              </w:rPr>
              <w:t>统一信用代码</w:t>
            </w:r>
          </w:p>
        </w:tc>
        <w:tc>
          <w:tcPr>
            <w:tcW w:w="2693" w:type="dxa"/>
            <w:gridSpan w:val="2"/>
            <w:noWrap w:val="0"/>
            <w:vAlign w:val="center"/>
          </w:tcPr>
          <w:p w14:paraId="1CA7DAFB">
            <w:pPr>
              <w:jc w:val="center"/>
              <w:rPr>
                <w:rFonts w:hint="eastAsia" w:ascii="Times New Roman" w:hAnsi="Times New Roman" w:eastAsia="宋体" w:cs="Times New Roman"/>
                <w:szCs w:val="21"/>
                <w:lang w:val="en-US" w:eastAsia="zh-CN"/>
              </w:rPr>
            </w:pPr>
            <w:r>
              <w:rPr>
                <w:rFonts w:hint="eastAsia"/>
                <w:color w:val="auto"/>
                <w:sz w:val="21"/>
                <w:highlight w:val="none"/>
                <w:lang w:eastAsia="zh-CN"/>
              </w:rPr>
              <w:t>91320115716285320X</w:t>
            </w:r>
          </w:p>
        </w:tc>
        <w:tc>
          <w:tcPr>
            <w:tcW w:w="2127" w:type="dxa"/>
            <w:gridSpan w:val="2"/>
            <w:noWrap w:val="0"/>
            <w:vAlign w:val="center"/>
          </w:tcPr>
          <w:p w14:paraId="7A68DD46"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szCs w:val="21"/>
              </w:rPr>
              <w:t>法定代表人</w:t>
            </w:r>
          </w:p>
        </w:tc>
        <w:tc>
          <w:tcPr>
            <w:tcW w:w="2551" w:type="dxa"/>
            <w:gridSpan w:val="2"/>
            <w:noWrap w:val="0"/>
            <w:vAlign w:val="center"/>
          </w:tcPr>
          <w:p w14:paraId="700BEAE4">
            <w:pPr>
              <w:jc w:val="center"/>
              <w:rPr>
                <w:rFonts w:hint="default" w:ascii="Times New Roman" w:hAnsi="Times New Roman" w:eastAsia="宋体" w:cs="Times New Roman"/>
                <w:szCs w:val="21"/>
                <w:lang w:eastAsia="zh-CN"/>
              </w:rPr>
            </w:pPr>
            <w:r>
              <w:rPr>
                <w:rFonts w:hint="eastAsia" w:eastAsia="宋体"/>
                <w:lang w:val="en-US" w:eastAsia="zh-CN"/>
              </w:rPr>
              <w:t>钱虎</w:t>
            </w:r>
          </w:p>
        </w:tc>
      </w:tr>
      <w:tr w14:paraId="4C44D8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269" w:type="dxa"/>
            <w:noWrap w:val="0"/>
            <w:vAlign w:val="center"/>
          </w:tcPr>
          <w:p w14:paraId="7136D22A"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szCs w:val="21"/>
              </w:rPr>
              <w:t>生产地址</w:t>
            </w:r>
          </w:p>
        </w:tc>
        <w:tc>
          <w:tcPr>
            <w:tcW w:w="2693" w:type="dxa"/>
            <w:gridSpan w:val="2"/>
            <w:noWrap w:val="0"/>
            <w:vAlign w:val="center"/>
          </w:tcPr>
          <w:p w14:paraId="39A482AE">
            <w:pPr>
              <w:jc w:val="center"/>
              <w:rPr>
                <w:rFonts w:hint="eastAsia" w:ascii="Times New Roman" w:hAnsi="Times New Roman" w:eastAsia="宋体" w:cs="Times New Roman"/>
                <w:szCs w:val="21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Cs w:val="21"/>
                <w:highlight w:val="none"/>
                <w:lang w:val="en-US" w:bidi="ar"/>
              </w:rPr>
              <w:t>南京市</w:t>
            </w:r>
            <w:r>
              <w:rPr>
                <w:rFonts w:hint="eastAsia" w:cs="Times New Roman"/>
                <w:color w:val="auto"/>
                <w:szCs w:val="21"/>
                <w:highlight w:val="none"/>
                <w:lang w:val="en-US" w:eastAsia="zh-CN" w:bidi="ar"/>
              </w:rPr>
              <w:t>江宁开发区秣陵工业园爱陵路18号</w:t>
            </w:r>
          </w:p>
        </w:tc>
        <w:tc>
          <w:tcPr>
            <w:tcW w:w="2127" w:type="dxa"/>
            <w:gridSpan w:val="2"/>
            <w:noWrap w:val="0"/>
            <w:vAlign w:val="center"/>
          </w:tcPr>
          <w:p w14:paraId="07A31C0A"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szCs w:val="21"/>
              </w:rPr>
              <w:t>生产周期</w:t>
            </w:r>
          </w:p>
        </w:tc>
        <w:tc>
          <w:tcPr>
            <w:tcW w:w="2551" w:type="dxa"/>
            <w:gridSpan w:val="2"/>
            <w:noWrap w:val="0"/>
            <w:vAlign w:val="center"/>
          </w:tcPr>
          <w:p w14:paraId="7B805587">
            <w:pPr>
              <w:jc w:val="center"/>
              <w:rPr>
                <w:rFonts w:hint="default" w:ascii="Times New Roman" w:hAnsi="Times New Roman" w:eastAsia="宋体" w:cs="Times New Roman"/>
                <w:szCs w:val="21"/>
                <w:lang w:val="en-US" w:eastAsia="zh-CN"/>
              </w:rPr>
            </w:pPr>
            <w:r>
              <w:rPr>
                <w:rFonts w:hint="eastAsia" w:cs="Times New Roman"/>
                <w:szCs w:val="21"/>
                <w:lang w:val="en-US" w:eastAsia="zh-CN"/>
              </w:rPr>
              <w:t>2000h</w:t>
            </w:r>
          </w:p>
        </w:tc>
      </w:tr>
      <w:tr w14:paraId="507257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269" w:type="dxa"/>
            <w:noWrap w:val="0"/>
            <w:vAlign w:val="center"/>
          </w:tcPr>
          <w:p w14:paraId="4AFCBE01"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szCs w:val="21"/>
              </w:rPr>
              <w:t>所属行业</w:t>
            </w:r>
          </w:p>
        </w:tc>
        <w:tc>
          <w:tcPr>
            <w:tcW w:w="2693" w:type="dxa"/>
            <w:gridSpan w:val="2"/>
            <w:noWrap w:val="0"/>
            <w:vAlign w:val="center"/>
          </w:tcPr>
          <w:p w14:paraId="7FE18665">
            <w:pPr>
              <w:jc w:val="center"/>
              <w:rPr>
                <w:rFonts w:hint="eastAsia" w:ascii="Times New Roman" w:hAnsi="Times New Roman" w:eastAsia="宋体" w:cs="Times New Roman"/>
                <w:szCs w:val="21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sz w:val="21"/>
                <w:highlight w:val="none"/>
                <w:lang w:val="en-US" w:eastAsia="zh-CN"/>
              </w:rPr>
              <w:t>C2646密封用填料及类似品制造</w:t>
            </w:r>
          </w:p>
        </w:tc>
        <w:tc>
          <w:tcPr>
            <w:tcW w:w="2127" w:type="dxa"/>
            <w:gridSpan w:val="2"/>
            <w:noWrap w:val="0"/>
            <w:vAlign w:val="center"/>
          </w:tcPr>
          <w:p w14:paraId="5AAFD9F3"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szCs w:val="21"/>
              </w:rPr>
              <w:t>联系人及电话</w:t>
            </w:r>
          </w:p>
        </w:tc>
        <w:tc>
          <w:tcPr>
            <w:tcW w:w="2551" w:type="dxa"/>
            <w:gridSpan w:val="2"/>
            <w:noWrap w:val="0"/>
            <w:vAlign w:val="center"/>
          </w:tcPr>
          <w:p w14:paraId="3D66761C">
            <w:pPr>
              <w:jc w:val="center"/>
              <w:rPr>
                <w:rFonts w:hint="eastAsia" w:ascii="Times New Roman" w:hAnsi="Times New Roman" w:eastAsia="宋体" w:cs="Times New Roman"/>
                <w:szCs w:val="21"/>
                <w:lang w:eastAsia="zh-CN"/>
              </w:rPr>
            </w:pPr>
            <w:r>
              <w:rPr>
                <w:rFonts w:hint="eastAsia"/>
                <w:color w:val="auto"/>
                <w:sz w:val="21"/>
                <w:highlight w:val="none"/>
              </w:rPr>
              <w:t>梁伟峰</w:t>
            </w:r>
            <w:r>
              <w:rPr>
                <w:rFonts w:hint="eastAsia" w:ascii="Times New Roman" w:hAnsi="Times New Roman" w:eastAsia="宋体" w:cs="Times New Roman"/>
                <w:color w:val="auto"/>
                <w:sz w:val="21"/>
                <w:highlight w:val="none"/>
                <w:lang w:val="en-US" w:eastAsia="zh-CN"/>
              </w:rPr>
              <w:t>15051868121</w:t>
            </w:r>
          </w:p>
        </w:tc>
      </w:tr>
      <w:tr w14:paraId="23F533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1" w:hRule="atLeast"/>
        </w:trPr>
        <w:tc>
          <w:tcPr>
            <w:tcW w:w="2269" w:type="dxa"/>
            <w:noWrap w:val="0"/>
            <w:vAlign w:val="center"/>
          </w:tcPr>
          <w:p w14:paraId="7F324C2A"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szCs w:val="21"/>
              </w:rPr>
              <w:t>生产经营和管理服务的主要内容</w:t>
            </w:r>
          </w:p>
        </w:tc>
        <w:tc>
          <w:tcPr>
            <w:tcW w:w="7371" w:type="dxa"/>
            <w:gridSpan w:val="6"/>
            <w:noWrap w:val="0"/>
            <w:vAlign w:val="center"/>
          </w:tcPr>
          <w:p w14:paraId="71455197">
            <w:pPr>
              <w:jc w:val="center"/>
              <w:rPr>
                <w:rFonts w:hint="eastAsia" w:ascii="Times New Roman" w:hAnsi="Times New Roman" w:eastAsia="宋体" w:cs="Times New Roman"/>
                <w:szCs w:val="21"/>
                <w:lang w:eastAsia="zh-CN"/>
              </w:rPr>
            </w:pPr>
            <w:r>
              <w:rPr>
                <w:rFonts w:hint="eastAsia"/>
                <w:color w:val="auto"/>
                <w:sz w:val="21"/>
                <w:highlight w:val="none"/>
                <w:lang w:val="en-US" w:eastAsia="zh-CN"/>
              </w:rPr>
              <w:t>年产2000t汽车用抗石击涂料及焊缝密封胶等产品</w:t>
            </w:r>
          </w:p>
        </w:tc>
      </w:tr>
      <w:tr w14:paraId="2BFC0F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269" w:type="dxa"/>
            <w:vMerge w:val="restart"/>
            <w:noWrap w:val="0"/>
            <w:vAlign w:val="center"/>
          </w:tcPr>
          <w:p w14:paraId="3F4C5875"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szCs w:val="21"/>
              </w:rPr>
              <w:t>使用有毒有害物质的情况</w:t>
            </w:r>
          </w:p>
        </w:tc>
        <w:tc>
          <w:tcPr>
            <w:tcW w:w="2100" w:type="dxa"/>
            <w:noWrap w:val="0"/>
            <w:vAlign w:val="center"/>
          </w:tcPr>
          <w:p w14:paraId="1D413240"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szCs w:val="21"/>
              </w:rPr>
              <w:t>名称</w:t>
            </w:r>
          </w:p>
        </w:tc>
        <w:tc>
          <w:tcPr>
            <w:tcW w:w="3765" w:type="dxa"/>
            <w:gridSpan w:val="4"/>
            <w:noWrap w:val="0"/>
            <w:vAlign w:val="center"/>
          </w:tcPr>
          <w:p w14:paraId="64AB3B90">
            <w:pPr>
              <w:jc w:val="center"/>
              <w:rPr>
                <w:rFonts w:hint="eastAsia" w:ascii="Times New Roman" w:hAnsi="Times New Roman" w:eastAsia="宋体" w:cs="Times New Roman"/>
                <w:b/>
                <w:bCs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szCs w:val="21"/>
              </w:rPr>
              <w:t>年使用量</w:t>
            </w:r>
            <w:r>
              <w:rPr>
                <w:rFonts w:hint="eastAsia" w:cs="Times New Roman"/>
                <w:b/>
                <w:bCs/>
                <w:szCs w:val="21"/>
                <w:lang w:val="en-US" w:eastAsia="zh-CN"/>
              </w:rPr>
              <w:t>t</w:t>
            </w:r>
          </w:p>
        </w:tc>
        <w:tc>
          <w:tcPr>
            <w:tcW w:w="1506" w:type="dxa"/>
            <w:noWrap w:val="0"/>
            <w:vAlign w:val="center"/>
          </w:tcPr>
          <w:p w14:paraId="67355E2A"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szCs w:val="21"/>
              </w:rPr>
              <w:t>用途</w:t>
            </w:r>
          </w:p>
        </w:tc>
      </w:tr>
      <w:tr w14:paraId="4D7B9D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269" w:type="dxa"/>
            <w:vMerge w:val="continue"/>
            <w:noWrap w:val="0"/>
            <w:vAlign w:val="center"/>
          </w:tcPr>
          <w:p w14:paraId="10AC0347"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szCs w:val="21"/>
              </w:rPr>
            </w:pPr>
          </w:p>
        </w:tc>
        <w:tc>
          <w:tcPr>
            <w:tcW w:w="2100" w:type="dxa"/>
            <w:noWrap w:val="0"/>
            <w:vAlign w:val="center"/>
          </w:tcPr>
          <w:p w14:paraId="7FC4048F">
            <w:pPr>
              <w:jc w:val="center"/>
              <w:rPr>
                <w:rFonts w:hint="default" w:ascii="Times New Roman" w:hAnsi="Times New Roman" w:eastAsia="宋体" w:cs="Times New Roman"/>
                <w:szCs w:val="21"/>
                <w:lang w:val="en-US" w:eastAsia="zh-CN"/>
              </w:rPr>
            </w:pPr>
            <w:r>
              <w:rPr>
                <w:rFonts w:hint="eastAsia" w:cs="Times New Roman"/>
                <w:szCs w:val="21"/>
                <w:lang w:val="en-US" w:eastAsia="zh-CN"/>
              </w:rPr>
              <w:t>炭黑</w:t>
            </w:r>
          </w:p>
        </w:tc>
        <w:tc>
          <w:tcPr>
            <w:tcW w:w="3765" w:type="dxa"/>
            <w:gridSpan w:val="4"/>
            <w:noWrap w:val="0"/>
            <w:vAlign w:val="center"/>
          </w:tcPr>
          <w:p w14:paraId="60E2267D">
            <w:pPr>
              <w:jc w:val="center"/>
              <w:rPr>
                <w:rFonts w:hint="default" w:ascii="Times New Roman" w:hAnsi="Times New Roman" w:eastAsia="宋体" w:cs="Times New Roman"/>
                <w:szCs w:val="21"/>
                <w:lang w:val="en-US" w:eastAsia="zh-CN"/>
              </w:rPr>
            </w:pPr>
            <w:r>
              <w:rPr>
                <w:rFonts w:hint="eastAsia" w:cs="Times New Roman"/>
                <w:szCs w:val="21"/>
                <w:lang w:val="en-US" w:eastAsia="zh-CN"/>
              </w:rPr>
              <w:t>0.5</w:t>
            </w:r>
          </w:p>
        </w:tc>
        <w:tc>
          <w:tcPr>
            <w:tcW w:w="1506" w:type="dxa"/>
            <w:noWrap w:val="0"/>
            <w:vAlign w:val="center"/>
          </w:tcPr>
          <w:p w14:paraId="47676F6A">
            <w:pPr>
              <w:jc w:val="center"/>
              <w:rPr>
                <w:rFonts w:hint="default" w:ascii="Times New Roman" w:hAnsi="Times New Roman" w:eastAsia="宋体" w:cs="Times New Roman"/>
                <w:szCs w:val="21"/>
                <w:lang w:val="en-US" w:eastAsia="zh-CN"/>
              </w:rPr>
            </w:pPr>
            <w:r>
              <w:rPr>
                <w:rFonts w:hint="eastAsia" w:cs="Times New Roman"/>
                <w:szCs w:val="21"/>
                <w:lang w:val="en-US" w:eastAsia="zh-CN"/>
              </w:rPr>
              <w:t>研磨</w:t>
            </w:r>
          </w:p>
        </w:tc>
      </w:tr>
      <w:tr w14:paraId="26236B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269" w:type="dxa"/>
            <w:vMerge w:val="restart"/>
            <w:noWrap w:val="0"/>
            <w:vAlign w:val="center"/>
          </w:tcPr>
          <w:p w14:paraId="3A947763"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szCs w:val="21"/>
              </w:rPr>
              <w:t>排放有毒有害物质的情况</w:t>
            </w:r>
          </w:p>
        </w:tc>
        <w:tc>
          <w:tcPr>
            <w:tcW w:w="2100" w:type="dxa"/>
            <w:noWrap w:val="0"/>
            <w:vAlign w:val="center"/>
          </w:tcPr>
          <w:p w14:paraId="6019DCD7"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szCs w:val="21"/>
              </w:rPr>
              <w:t>名称</w:t>
            </w:r>
          </w:p>
        </w:tc>
        <w:tc>
          <w:tcPr>
            <w:tcW w:w="1935" w:type="dxa"/>
            <w:gridSpan w:val="2"/>
            <w:noWrap w:val="0"/>
            <w:vAlign w:val="center"/>
          </w:tcPr>
          <w:p w14:paraId="7509ADDB">
            <w:pPr>
              <w:jc w:val="center"/>
              <w:rPr>
                <w:rFonts w:hint="eastAsia" w:ascii="Times New Roman" w:hAnsi="Times New Roman" w:eastAsia="宋体" w:cs="Times New Roman"/>
                <w:b/>
                <w:bCs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Cs w:val="21"/>
                <w:lang w:val="en-US" w:eastAsia="zh-CN"/>
              </w:rPr>
              <w:t>排放形式</w:t>
            </w:r>
          </w:p>
        </w:tc>
        <w:tc>
          <w:tcPr>
            <w:tcW w:w="1830" w:type="dxa"/>
            <w:gridSpan w:val="2"/>
            <w:noWrap w:val="0"/>
            <w:vAlign w:val="center"/>
          </w:tcPr>
          <w:p w14:paraId="09A1C8DE"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szCs w:val="21"/>
              </w:rPr>
              <w:t>年排放量</w:t>
            </w:r>
            <w:r>
              <w:rPr>
                <w:rFonts w:hint="eastAsia" w:ascii="Times New Roman" w:hAnsi="Times New Roman" w:cs="Times New Roman"/>
                <w:b/>
                <w:bCs/>
                <w:szCs w:val="21"/>
                <w:lang w:val="en-US" w:eastAsia="zh-CN"/>
              </w:rPr>
              <w:t>kg/a</w:t>
            </w:r>
          </w:p>
        </w:tc>
        <w:tc>
          <w:tcPr>
            <w:tcW w:w="1506" w:type="dxa"/>
            <w:noWrap w:val="0"/>
            <w:vAlign w:val="center"/>
          </w:tcPr>
          <w:p w14:paraId="78ABCF26"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szCs w:val="21"/>
              </w:rPr>
              <w:t>排放浓度</w:t>
            </w:r>
          </w:p>
        </w:tc>
      </w:tr>
      <w:tr w14:paraId="082313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269" w:type="dxa"/>
            <w:vMerge w:val="continue"/>
            <w:noWrap w:val="0"/>
            <w:vAlign w:val="center"/>
          </w:tcPr>
          <w:p w14:paraId="59EF896E"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szCs w:val="21"/>
              </w:rPr>
            </w:pPr>
          </w:p>
        </w:tc>
        <w:tc>
          <w:tcPr>
            <w:tcW w:w="2100" w:type="dxa"/>
            <w:noWrap w:val="0"/>
            <w:vAlign w:val="center"/>
          </w:tcPr>
          <w:p w14:paraId="477F4D9F">
            <w:pPr>
              <w:tabs>
                <w:tab w:val="left" w:pos="7332"/>
              </w:tabs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szCs w:val="21"/>
              </w:rPr>
            </w:pPr>
            <w:r>
              <w:rPr>
                <w:rFonts w:hint="eastAsia"/>
                <w:color w:val="auto"/>
                <w:spacing w:val="6"/>
                <w:sz w:val="21"/>
                <w:highlight w:val="none"/>
                <w:lang w:val="en-US" w:eastAsia="zh-CN"/>
              </w:rPr>
              <w:t>颗粒物</w:t>
            </w:r>
          </w:p>
        </w:tc>
        <w:tc>
          <w:tcPr>
            <w:tcW w:w="1935" w:type="dxa"/>
            <w:gridSpan w:val="2"/>
            <w:noWrap w:val="0"/>
            <w:vAlign w:val="center"/>
          </w:tcPr>
          <w:p w14:paraId="5F67F3FF">
            <w:pPr>
              <w:jc w:val="center"/>
              <w:rPr>
                <w:rFonts w:hint="default" w:ascii="Times New Roman" w:hAnsi="Times New Roman" w:eastAsia="宋体" w:cs="Times New Roman"/>
                <w:szCs w:val="21"/>
                <w:lang w:val="en-US" w:eastAsia="zh-CN"/>
              </w:rPr>
            </w:pPr>
            <w:r>
              <w:rPr>
                <w:rFonts w:hint="eastAsia" w:cs="Times New Roman"/>
                <w:szCs w:val="21"/>
                <w:lang w:val="en-US" w:eastAsia="zh-CN"/>
              </w:rPr>
              <w:t>有组织</w:t>
            </w:r>
          </w:p>
        </w:tc>
        <w:tc>
          <w:tcPr>
            <w:tcW w:w="1830" w:type="dxa"/>
            <w:gridSpan w:val="2"/>
            <w:noWrap w:val="0"/>
            <w:vAlign w:val="center"/>
          </w:tcPr>
          <w:p w14:paraId="7A7FEB4F">
            <w:pPr>
              <w:jc w:val="center"/>
              <w:rPr>
                <w:rFonts w:hint="default" w:ascii="Times New Roman" w:hAnsi="Times New Roman" w:eastAsia="宋体" w:cs="Times New Roman"/>
                <w:szCs w:val="21"/>
                <w:lang w:val="en-US" w:eastAsia="zh-CN"/>
              </w:rPr>
            </w:pPr>
            <w:r>
              <w:rPr>
                <w:rFonts w:hint="eastAsia" w:cs="Times New Roman"/>
                <w:szCs w:val="21"/>
                <w:lang w:val="en-US" w:eastAsia="zh-CN"/>
              </w:rPr>
              <w:t>20</w:t>
            </w:r>
          </w:p>
        </w:tc>
        <w:tc>
          <w:tcPr>
            <w:tcW w:w="1506" w:type="dxa"/>
            <w:noWrap w:val="0"/>
            <w:vAlign w:val="center"/>
          </w:tcPr>
          <w:p w14:paraId="36C7167E">
            <w:pPr>
              <w:jc w:val="center"/>
              <w:rPr>
                <w:rFonts w:hint="default" w:ascii="Times New Roman" w:hAnsi="Times New Roman" w:eastAsia="宋体" w:cs="Times New Roman"/>
                <w:szCs w:val="21"/>
                <w:lang w:val="en-US" w:eastAsia="zh-CN"/>
              </w:rPr>
            </w:pPr>
            <w:r>
              <w:rPr>
                <w:rFonts w:hint="eastAsia" w:cs="Times New Roman"/>
                <w:szCs w:val="21"/>
                <w:lang w:val="en-US" w:eastAsia="zh-CN"/>
              </w:rPr>
              <w:t>1.5mg/m</w:t>
            </w:r>
            <w:r>
              <w:rPr>
                <w:rFonts w:hint="eastAsia" w:cs="Times New Roman"/>
                <w:szCs w:val="21"/>
                <w:vertAlign w:val="superscript"/>
                <w:lang w:val="en-US" w:eastAsia="zh-CN"/>
              </w:rPr>
              <w:t>3</w:t>
            </w:r>
          </w:p>
        </w:tc>
      </w:tr>
      <w:tr w14:paraId="05E759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269" w:type="dxa"/>
            <w:vMerge w:val="continue"/>
            <w:noWrap w:val="0"/>
            <w:vAlign w:val="center"/>
          </w:tcPr>
          <w:p w14:paraId="4CA1BA29"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szCs w:val="21"/>
              </w:rPr>
            </w:pPr>
          </w:p>
        </w:tc>
        <w:tc>
          <w:tcPr>
            <w:tcW w:w="2100" w:type="dxa"/>
            <w:noWrap w:val="0"/>
            <w:vAlign w:val="center"/>
          </w:tcPr>
          <w:p w14:paraId="576E44D9">
            <w:pPr>
              <w:tabs>
                <w:tab w:val="left" w:pos="7332"/>
              </w:tabs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/>
                <w:color w:val="auto"/>
                <w:spacing w:val="6"/>
                <w:sz w:val="21"/>
                <w:highlight w:val="none"/>
              </w:rPr>
              <w:t>非甲烷总烃</w:t>
            </w:r>
          </w:p>
        </w:tc>
        <w:tc>
          <w:tcPr>
            <w:tcW w:w="1935" w:type="dxa"/>
            <w:gridSpan w:val="2"/>
            <w:noWrap w:val="0"/>
            <w:vAlign w:val="center"/>
          </w:tcPr>
          <w:p w14:paraId="0E8BCB99">
            <w:pPr>
              <w:jc w:val="center"/>
              <w:rPr>
                <w:rFonts w:hint="default" w:ascii="Times New Roman" w:hAnsi="Times New Roman" w:eastAsia="宋体" w:cs="Times New Roman"/>
                <w:szCs w:val="21"/>
              </w:rPr>
            </w:pPr>
            <w:r>
              <w:rPr>
                <w:rFonts w:hint="eastAsia" w:cs="Times New Roman"/>
                <w:szCs w:val="21"/>
                <w:lang w:val="en-US" w:eastAsia="zh-CN"/>
              </w:rPr>
              <w:t>有组织</w:t>
            </w:r>
          </w:p>
        </w:tc>
        <w:tc>
          <w:tcPr>
            <w:tcW w:w="1830" w:type="dxa"/>
            <w:gridSpan w:val="2"/>
            <w:noWrap w:val="0"/>
            <w:vAlign w:val="center"/>
          </w:tcPr>
          <w:p w14:paraId="304C523E">
            <w:pPr>
              <w:jc w:val="center"/>
              <w:rPr>
                <w:rFonts w:hint="default" w:ascii="Times New Roman" w:hAnsi="Times New Roman" w:eastAsia="宋体" w:cs="Times New Roman"/>
                <w:szCs w:val="21"/>
                <w:lang w:val="en-US" w:eastAsia="zh-CN"/>
              </w:rPr>
            </w:pPr>
            <w:r>
              <w:rPr>
                <w:rFonts w:hint="eastAsia" w:cs="Times New Roman"/>
                <w:szCs w:val="21"/>
                <w:lang w:val="en-US" w:eastAsia="zh-CN"/>
              </w:rPr>
              <w:t>40</w:t>
            </w:r>
          </w:p>
        </w:tc>
        <w:tc>
          <w:tcPr>
            <w:tcW w:w="1506" w:type="dxa"/>
            <w:noWrap w:val="0"/>
            <w:vAlign w:val="center"/>
          </w:tcPr>
          <w:p w14:paraId="063D7F9F">
            <w:pPr>
              <w:jc w:val="center"/>
              <w:rPr>
                <w:rFonts w:hint="default" w:ascii="Times New Roman" w:hAnsi="Times New Roman" w:eastAsia="宋体" w:cs="Times New Roman"/>
                <w:szCs w:val="21"/>
                <w:lang w:val="en-US" w:eastAsia="zh-CN"/>
              </w:rPr>
            </w:pPr>
            <w:r>
              <w:rPr>
                <w:rFonts w:hint="eastAsia" w:cs="Times New Roman"/>
                <w:szCs w:val="21"/>
                <w:lang w:val="en-US" w:eastAsia="zh-CN"/>
              </w:rPr>
              <w:t>3mg/m</w:t>
            </w:r>
            <w:r>
              <w:rPr>
                <w:rFonts w:hint="eastAsia" w:cs="Times New Roman"/>
                <w:szCs w:val="21"/>
                <w:vertAlign w:val="superscript"/>
                <w:lang w:val="en-US" w:eastAsia="zh-CN"/>
              </w:rPr>
              <w:t>3</w:t>
            </w:r>
          </w:p>
        </w:tc>
      </w:tr>
      <w:tr w14:paraId="69F586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269" w:type="dxa"/>
            <w:vMerge w:val="restart"/>
            <w:noWrap w:val="0"/>
            <w:vAlign w:val="center"/>
          </w:tcPr>
          <w:p w14:paraId="3C5AFB36"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szCs w:val="21"/>
              </w:rPr>
              <w:t>危险废物产生及处理处置情况</w:t>
            </w:r>
          </w:p>
        </w:tc>
        <w:tc>
          <w:tcPr>
            <w:tcW w:w="2100" w:type="dxa"/>
            <w:noWrap w:val="0"/>
            <w:vAlign w:val="center"/>
          </w:tcPr>
          <w:p w14:paraId="06F931E2"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szCs w:val="21"/>
              </w:rPr>
              <w:t>名称</w:t>
            </w:r>
          </w:p>
        </w:tc>
        <w:tc>
          <w:tcPr>
            <w:tcW w:w="1935" w:type="dxa"/>
            <w:gridSpan w:val="2"/>
            <w:noWrap w:val="0"/>
            <w:vAlign w:val="center"/>
          </w:tcPr>
          <w:p w14:paraId="74D4E315"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szCs w:val="21"/>
              </w:rPr>
              <w:t>年产生量</w:t>
            </w:r>
          </w:p>
        </w:tc>
        <w:tc>
          <w:tcPr>
            <w:tcW w:w="1830" w:type="dxa"/>
            <w:gridSpan w:val="2"/>
            <w:noWrap w:val="0"/>
            <w:vAlign w:val="center"/>
          </w:tcPr>
          <w:p w14:paraId="23D55EBA"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Cs w:val="21"/>
                <w:lang w:val="en-US" w:eastAsia="zh-CN"/>
              </w:rPr>
              <w:t>年处置量</w:t>
            </w:r>
          </w:p>
        </w:tc>
        <w:tc>
          <w:tcPr>
            <w:tcW w:w="1506" w:type="dxa"/>
            <w:noWrap w:val="0"/>
            <w:vAlign w:val="center"/>
          </w:tcPr>
          <w:p w14:paraId="6CB3C78D"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szCs w:val="21"/>
              </w:rPr>
              <w:t>处置去向</w:t>
            </w:r>
          </w:p>
        </w:tc>
      </w:tr>
      <w:tr w14:paraId="673BFD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269" w:type="dxa"/>
            <w:vMerge w:val="continue"/>
            <w:noWrap w:val="0"/>
            <w:vAlign w:val="center"/>
          </w:tcPr>
          <w:p w14:paraId="57F76C4A"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szCs w:val="21"/>
              </w:rPr>
            </w:pPr>
            <w:bookmarkStart w:id="0" w:name="_GoBack" w:colFirst="3" w:colLast="3"/>
          </w:p>
        </w:tc>
        <w:tc>
          <w:tcPr>
            <w:tcW w:w="2100" w:type="dxa"/>
            <w:noWrap w:val="0"/>
            <w:vAlign w:val="center"/>
          </w:tcPr>
          <w:p w14:paraId="2BF29F9C">
            <w:pPr>
              <w:pStyle w:val="4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Cs w:val="21"/>
                <w:lang w:val="en-US" w:eastAsia="zh-CN" w:bidi="ar"/>
              </w:rPr>
            </w:pPr>
            <w:r>
              <w:rPr>
                <w:rFonts w:hint="eastAsia"/>
                <w:color w:val="auto"/>
                <w:szCs w:val="21"/>
                <w:highlight w:val="none"/>
                <w:lang w:val="en-US" w:eastAsia="zh-CN"/>
              </w:rPr>
              <w:t>废包装桶</w:t>
            </w:r>
          </w:p>
        </w:tc>
        <w:tc>
          <w:tcPr>
            <w:tcW w:w="1935" w:type="dxa"/>
            <w:gridSpan w:val="2"/>
            <w:noWrap w:val="0"/>
            <w:vAlign w:val="center"/>
          </w:tcPr>
          <w:p w14:paraId="012ACF8D">
            <w:pPr>
              <w:pStyle w:val="5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uto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highlight w:val="none"/>
                <w:lang w:val="en-US" w:eastAsia="zh-CN"/>
              </w:rPr>
              <w:t>3t</w:t>
            </w:r>
          </w:p>
        </w:tc>
        <w:tc>
          <w:tcPr>
            <w:tcW w:w="1830" w:type="dxa"/>
            <w:gridSpan w:val="2"/>
            <w:noWrap w:val="0"/>
            <w:vAlign w:val="center"/>
          </w:tcPr>
          <w:p w14:paraId="1F8F19D9">
            <w:pPr>
              <w:pStyle w:val="5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uto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highlight w:val="none"/>
                <w:lang w:val="en-US" w:eastAsia="zh-CN"/>
              </w:rPr>
              <w:t>3t</w:t>
            </w:r>
          </w:p>
        </w:tc>
        <w:tc>
          <w:tcPr>
            <w:tcW w:w="1506" w:type="dxa"/>
            <w:vMerge w:val="restart"/>
            <w:noWrap w:val="0"/>
            <w:vAlign w:val="center"/>
          </w:tcPr>
          <w:p w14:paraId="31E208E2"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eastAsia="zh-CN" w:bidi="ar"/>
              </w:rPr>
              <w:t>第三方有资质处置单位</w:t>
            </w:r>
          </w:p>
        </w:tc>
      </w:tr>
      <w:tr w14:paraId="738A20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269" w:type="dxa"/>
            <w:vMerge w:val="continue"/>
            <w:noWrap w:val="0"/>
            <w:vAlign w:val="center"/>
          </w:tcPr>
          <w:p w14:paraId="09BC620F"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szCs w:val="21"/>
              </w:rPr>
            </w:pPr>
          </w:p>
        </w:tc>
        <w:tc>
          <w:tcPr>
            <w:tcW w:w="2100" w:type="dxa"/>
            <w:noWrap w:val="0"/>
            <w:vAlign w:val="center"/>
          </w:tcPr>
          <w:p w14:paraId="67A8B6C8">
            <w:pPr>
              <w:pStyle w:val="4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val="en-US" w:eastAsia="zh-CN" w:bidi="ar"/>
              </w:rPr>
            </w:pPr>
            <w:r>
              <w:rPr>
                <w:rFonts w:hint="eastAsia"/>
                <w:color w:val="auto"/>
                <w:szCs w:val="21"/>
                <w:highlight w:val="none"/>
                <w:lang w:val="en-US" w:eastAsia="zh-CN"/>
              </w:rPr>
              <w:t>废活性炭</w:t>
            </w:r>
          </w:p>
        </w:tc>
        <w:tc>
          <w:tcPr>
            <w:tcW w:w="1935" w:type="dxa"/>
            <w:gridSpan w:val="2"/>
            <w:noWrap w:val="0"/>
            <w:vAlign w:val="center"/>
          </w:tcPr>
          <w:p w14:paraId="063132E6">
            <w:pPr>
              <w:pStyle w:val="5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uto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highlight w:val="none"/>
                <w:lang w:val="en-US" w:eastAsia="zh-CN"/>
              </w:rPr>
              <w:t>0.324t</w:t>
            </w:r>
          </w:p>
        </w:tc>
        <w:tc>
          <w:tcPr>
            <w:tcW w:w="1830" w:type="dxa"/>
            <w:gridSpan w:val="2"/>
            <w:noWrap w:val="0"/>
            <w:vAlign w:val="center"/>
          </w:tcPr>
          <w:p w14:paraId="5176288D">
            <w:pPr>
              <w:pStyle w:val="5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uto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highlight w:val="none"/>
                <w:lang w:val="en-US" w:eastAsia="zh-CN"/>
              </w:rPr>
              <w:t>0.324t</w:t>
            </w:r>
          </w:p>
        </w:tc>
        <w:tc>
          <w:tcPr>
            <w:tcW w:w="1506" w:type="dxa"/>
            <w:vMerge w:val="continue"/>
            <w:noWrap w:val="0"/>
            <w:vAlign w:val="center"/>
          </w:tcPr>
          <w:p w14:paraId="52E4038D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</w:pPr>
          </w:p>
        </w:tc>
      </w:tr>
      <w:bookmarkEnd w:id="0"/>
      <w:tr w14:paraId="45539F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5" w:hRule="atLeast"/>
        </w:trPr>
        <w:tc>
          <w:tcPr>
            <w:tcW w:w="2269" w:type="dxa"/>
            <w:noWrap w:val="0"/>
            <w:vAlign w:val="center"/>
          </w:tcPr>
          <w:p w14:paraId="36F521FA"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szCs w:val="21"/>
              </w:rPr>
              <w:t>环保手续及环境风险防控措施落实情况</w:t>
            </w:r>
          </w:p>
        </w:tc>
        <w:tc>
          <w:tcPr>
            <w:tcW w:w="7371" w:type="dxa"/>
            <w:gridSpan w:val="6"/>
            <w:noWrap w:val="0"/>
            <w:vAlign w:val="center"/>
          </w:tcPr>
          <w:p w14:paraId="69B1E39A">
            <w:pPr>
              <w:jc w:val="left"/>
              <w:rPr>
                <w:rFonts w:hint="default" w:ascii="Times New Roman" w:hAnsi="Times New Roman" w:eastAsia="宋体" w:cs="Times New Roman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Cs w:val="21"/>
              </w:rPr>
              <w:t>1、公司各项目依法进行了环境影响评价及环境保护竣工三同时验收；</w:t>
            </w:r>
          </w:p>
          <w:p w14:paraId="2CCACCAC">
            <w:pPr>
              <w:jc w:val="left"/>
              <w:rPr>
                <w:rFonts w:hint="default" w:ascii="Times New Roman" w:hAnsi="Times New Roman" w:eastAsia="宋体" w:cs="Times New Roman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Cs w:val="21"/>
              </w:rPr>
              <w:t>2、编制并发布企业突发环境事件应急预案，并</w:t>
            </w: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完成</w:t>
            </w:r>
            <w:r>
              <w:rPr>
                <w:rFonts w:hint="default" w:ascii="Times New Roman" w:hAnsi="Times New Roman" w:eastAsia="宋体" w:cs="Times New Roman"/>
                <w:szCs w:val="21"/>
              </w:rPr>
              <w:t>环保局备案；</w:t>
            </w:r>
          </w:p>
          <w:p w14:paraId="359D8F7B">
            <w:pPr>
              <w:jc w:val="left"/>
              <w:rPr>
                <w:rFonts w:hint="default" w:ascii="Times New Roman" w:hAnsi="Times New Roman" w:eastAsia="宋体" w:cs="Times New Roman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Cs w:val="21"/>
              </w:rPr>
              <w:t>3、依法办理了排污许可证；</w:t>
            </w:r>
          </w:p>
          <w:p w14:paraId="1DBB6793">
            <w:pPr>
              <w:jc w:val="left"/>
              <w:rPr>
                <w:rFonts w:hint="default" w:ascii="Times New Roman" w:hAnsi="Times New Roman" w:eastAsia="宋体" w:cs="Times New Roman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Cs w:val="21"/>
              </w:rPr>
              <w:t>4、各项污染防治设施正常运行；</w:t>
            </w:r>
          </w:p>
          <w:p w14:paraId="427C01FF">
            <w:pPr>
              <w:jc w:val="left"/>
              <w:rPr>
                <w:rFonts w:hint="default" w:ascii="Times New Roman" w:hAnsi="Times New Roman" w:eastAsia="宋体" w:cs="Times New Roman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Cs w:val="21"/>
              </w:rPr>
              <w:t>5、按照规定规范排污口设置；</w:t>
            </w:r>
          </w:p>
          <w:p w14:paraId="7422B4B2">
            <w:pPr>
              <w:jc w:val="left"/>
              <w:rPr>
                <w:rFonts w:hint="default" w:ascii="Times New Roman" w:hAnsi="Times New Roman" w:eastAsia="宋体" w:cs="Times New Roman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Cs w:val="21"/>
              </w:rPr>
              <w:t>6、建立环境保护责任制，明确环保专职管理人员及相关人员责任；</w:t>
            </w:r>
          </w:p>
          <w:p w14:paraId="623AA222">
            <w:pPr>
              <w:jc w:val="left"/>
              <w:rPr>
                <w:rFonts w:hint="default" w:ascii="Times New Roman" w:hAnsi="Times New Roman" w:eastAsia="宋体" w:cs="Times New Roman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Cs w:val="21"/>
              </w:rPr>
              <w:t>7、已按照应急预案要求，设置应急救援队伍并配套相应的救援物资；</w:t>
            </w:r>
          </w:p>
          <w:p w14:paraId="102BFB39">
            <w:pPr>
              <w:jc w:val="left"/>
              <w:rPr>
                <w:rFonts w:hint="default" w:ascii="Times New Roman" w:hAnsi="Times New Roman" w:eastAsia="宋体" w:cs="Times New Roman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Cs w:val="21"/>
              </w:rPr>
              <w:t>8、采取相应的风险防控措施预防风险事故的发生，如设立事故应急池，设置切断阀、雨排管路闸阀、监视、控制装置等；</w:t>
            </w:r>
          </w:p>
          <w:p w14:paraId="25D5EA8A">
            <w:pPr>
              <w:jc w:val="left"/>
              <w:rPr>
                <w:rFonts w:hint="default" w:ascii="Times New Roman" w:hAnsi="Times New Roman" w:eastAsia="宋体" w:cs="Times New Roman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Cs w:val="21"/>
              </w:rPr>
              <w:t>9、每年组织1次应急演练，演练内容主要包括突发事件的应急处置、通信及报警信号的联络、急救及医疗、人员疏散及撤离等；</w:t>
            </w:r>
          </w:p>
          <w:p w14:paraId="5D84F059">
            <w:pPr>
              <w:jc w:val="left"/>
              <w:rPr>
                <w:rFonts w:hint="eastAsia" w:ascii="Times New Roman" w:hAnsi="Times New Roman" w:eastAsia="宋体" w:cs="Times New Roman"/>
                <w:szCs w:val="21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Cs w:val="21"/>
              </w:rPr>
              <w:t>10、严格执行地方环境保护主管部门规定的其它要求。</w:t>
            </w:r>
          </w:p>
        </w:tc>
      </w:tr>
    </w:tbl>
    <w:p w14:paraId="5DC30F09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3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QzMTk5YmE1YWIzMTc1OGI4ZDI5NjlhZmE1MjBkZTEifQ=="/>
  </w:docVars>
  <w:rsids>
    <w:rsidRoot w:val="08B94C9A"/>
    <w:rsid w:val="03496BD5"/>
    <w:rsid w:val="064406CB"/>
    <w:rsid w:val="07F92E63"/>
    <w:rsid w:val="08B94C9A"/>
    <w:rsid w:val="0A726EFC"/>
    <w:rsid w:val="0C1D35B7"/>
    <w:rsid w:val="1B530684"/>
    <w:rsid w:val="1DCD471E"/>
    <w:rsid w:val="24B65F0C"/>
    <w:rsid w:val="25076767"/>
    <w:rsid w:val="27802801"/>
    <w:rsid w:val="34880F47"/>
    <w:rsid w:val="38E56968"/>
    <w:rsid w:val="3E075E53"/>
    <w:rsid w:val="42E3216A"/>
    <w:rsid w:val="53856213"/>
    <w:rsid w:val="54181E8F"/>
    <w:rsid w:val="54422A68"/>
    <w:rsid w:val="5B2B4256"/>
    <w:rsid w:val="6F2E7E78"/>
    <w:rsid w:val="76045978"/>
    <w:rsid w:val="7FA53D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正文 New"/>
    <w:qFormat/>
    <w:uiPriority w:val="99"/>
    <w:pPr>
      <w:widowControl w:val="0"/>
      <w:jc w:val="both"/>
    </w:pPr>
    <w:rPr>
      <w:rFonts w:ascii="Times New Roman" w:hAnsi="Times New Roman" w:eastAsia="宋体" w:cs="Times New Roman"/>
      <w:sz w:val="21"/>
      <w:szCs w:val="24"/>
      <w:lang w:val="en-US" w:eastAsia="zh-CN" w:bidi="ar-SA"/>
    </w:rPr>
  </w:style>
  <w:style w:type="paragraph" w:customStyle="1" w:styleId="5">
    <w:name w:val="表格"/>
    <w:next w:val="1"/>
    <w:qFormat/>
    <w:uiPriority w:val="0"/>
    <w:pPr>
      <w:spacing w:before="40" w:after="40"/>
      <w:jc w:val="center"/>
      <w:textAlignment w:val="center"/>
    </w:pPr>
    <w:rPr>
      <w:rFonts w:ascii="Arial" w:hAnsi="Arial" w:eastAsia="楷体_GB2312" w:cs="Times New Roman"/>
      <w:sz w:val="21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458</Words>
  <Characters>462</Characters>
  <Lines>0</Lines>
  <Paragraphs>0</Paragraphs>
  <TotalTime>0</TotalTime>
  <ScaleCrop>false</ScaleCrop>
  <LinksUpToDate>false</LinksUpToDate>
  <CharactersWithSpaces>462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2024-04-15T05:52:00Z</dcterms:created>
  <dc:creator>流水幸运</dc:creator>
  <cp:lastModifiedBy>流水幸运</cp:lastModifiedBy>
  <dcterms:modified xsi:type="dcterms:W3CDTF">2025-06-26T08:27:04Z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44C7871770B748C2BD31B8665014313F_11</vt:lpwstr>
  </property>
  <property fmtid="{D5CDD505-2E9C-101B-9397-08002B2CF9AE}" pid="4" name="KSOTemplateDocerSaveRecord">
    <vt:lpwstr>eyJoZGlkIjoiYmQzMTk5YmE1YWIzMTc1OGI4ZDI5NjlhZmE1MjBkZTEiLCJ1c2VySWQiOiI2NTkxNTg2OTYifQ==</vt:lpwstr>
  </property>
</Properties>
</file>