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3E0307">
      <w:pPr>
        <w:rPr>
          <w:rFonts w:ascii="Times New Roman" w:hAnsi="Times New Roman" w:eastAsia="宋体"/>
          <w:color w:val="auto"/>
          <w:sz w:val="36"/>
          <w:szCs w:val="36"/>
          <w:highlight w:val="none"/>
        </w:rPr>
      </w:pPr>
      <w:r>
        <w:rPr>
          <w:rFonts w:ascii="Times New Roman" w:hAnsi="Times New Roman" w:eastAsia="宋体"/>
          <w:b/>
          <w:color w:val="auto"/>
          <w:sz w:val="72"/>
          <w:highlight w:val="none"/>
        </w:rPr>
        <w:drawing>
          <wp:anchor distT="0" distB="0" distL="114935" distR="114935" simplePos="0" relativeHeight="251659264" behindDoc="0" locked="0" layoutInCell="1" allowOverlap="1">
            <wp:simplePos x="0" y="0"/>
            <wp:positionH relativeFrom="column">
              <wp:posOffset>71120</wp:posOffset>
            </wp:positionH>
            <wp:positionV relativeFrom="paragraph">
              <wp:posOffset>135890</wp:posOffset>
            </wp:positionV>
            <wp:extent cx="1567180" cy="575945"/>
            <wp:effectExtent l="0" t="0" r="13970" b="14605"/>
            <wp:wrapSquare wrapText="bothSides"/>
            <wp:docPr id="4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
                    <pic:cNvPicPr>
                      <a:picLocks noChangeAspect="1"/>
                    </pic:cNvPicPr>
                  </pic:nvPicPr>
                  <pic:blipFill>
                    <a:blip r:embed="rId14"/>
                    <a:stretch>
                      <a:fillRect/>
                    </a:stretch>
                  </pic:blipFill>
                  <pic:spPr>
                    <a:xfrm>
                      <a:off x="0" y="0"/>
                      <a:ext cx="1567180" cy="575945"/>
                    </a:xfrm>
                    <a:prstGeom prst="rect">
                      <a:avLst/>
                    </a:prstGeom>
                    <a:noFill/>
                    <a:ln>
                      <a:noFill/>
                    </a:ln>
                  </pic:spPr>
                </pic:pic>
              </a:graphicData>
            </a:graphic>
          </wp:anchor>
        </w:drawing>
      </w:r>
    </w:p>
    <w:p w14:paraId="2906EC00">
      <w:pPr>
        <w:ind w:firstLine="720"/>
        <w:rPr>
          <w:rFonts w:ascii="Times New Roman" w:hAnsi="Times New Roman" w:eastAsia="宋体"/>
          <w:color w:val="auto"/>
          <w:sz w:val="36"/>
          <w:szCs w:val="36"/>
          <w:highlight w:val="none"/>
        </w:rPr>
      </w:pPr>
    </w:p>
    <w:p w14:paraId="09988848">
      <w:pPr>
        <w:ind w:firstLine="720"/>
        <w:rPr>
          <w:rFonts w:ascii="Times New Roman" w:hAnsi="Times New Roman" w:eastAsia="宋体"/>
          <w:color w:val="auto"/>
          <w:sz w:val="36"/>
          <w:szCs w:val="36"/>
          <w:highlight w:val="none"/>
        </w:rPr>
      </w:pPr>
    </w:p>
    <w:p w14:paraId="3BB0E230">
      <w:pPr>
        <w:ind w:firstLine="720"/>
        <w:rPr>
          <w:rFonts w:ascii="Times New Roman" w:hAnsi="Times New Roman" w:eastAsia="宋体"/>
          <w:color w:val="auto"/>
          <w:sz w:val="36"/>
          <w:szCs w:val="36"/>
          <w:highlight w:val="none"/>
        </w:rPr>
      </w:pPr>
    </w:p>
    <w:p w14:paraId="2AEEB89D">
      <w:pPr>
        <w:autoSpaceDE/>
        <w:autoSpaceDN/>
        <w:spacing w:line="1000" w:lineRule="exact"/>
        <w:ind w:firstLine="0" w:firstLineChars="0"/>
        <w:jc w:val="center"/>
        <w:outlineLvl w:val="0"/>
        <w:rPr>
          <w:rFonts w:ascii="Times New Roman" w:hAnsi="Times New Roman" w:eastAsia="宋体" w:cs="方正小标宋简体"/>
          <w:b/>
          <w:color w:val="auto"/>
          <w:sz w:val="72"/>
          <w:szCs w:val="72"/>
          <w:highlight w:val="none"/>
        </w:rPr>
      </w:pPr>
      <w:r>
        <w:rPr>
          <w:rFonts w:hint="eastAsia" w:ascii="Times New Roman" w:hAnsi="Times New Roman" w:eastAsia="宋体" w:cs="宋体"/>
          <w:b/>
          <w:color w:val="auto"/>
          <w:sz w:val="72"/>
          <w:szCs w:val="72"/>
          <w:highlight w:val="none"/>
        </w:rPr>
        <w:t>建设项目环境影响报告表</w:t>
      </w:r>
    </w:p>
    <w:p w14:paraId="62E14518">
      <w:pPr>
        <w:keepNext w:val="0"/>
        <w:keepLines w:val="0"/>
        <w:pageBreakBefore w:val="0"/>
        <w:widowControl w:val="0"/>
        <w:kinsoku/>
        <w:wordWrap/>
        <w:overflowPunct/>
        <w:topLinePunct w:val="0"/>
        <w:autoSpaceDE/>
        <w:autoSpaceDN/>
        <w:bidi w:val="0"/>
        <w:adjustRightInd w:val="0"/>
        <w:snapToGrid w:val="0"/>
        <w:spacing w:line="800" w:lineRule="exact"/>
        <w:ind w:firstLine="0" w:firstLineChars="0"/>
        <w:jc w:val="center"/>
        <w:textAlignment w:val="auto"/>
        <w:rPr>
          <w:rFonts w:ascii="Times New Roman" w:hAnsi="Times New Roman" w:eastAsia="宋体"/>
          <w:b w:val="0"/>
          <w:bCs/>
          <w:color w:val="auto"/>
          <w:sz w:val="48"/>
          <w:szCs w:val="48"/>
          <w:highlight w:val="none"/>
        </w:rPr>
      </w:pPr>
      <w:r>
        <w:rPr>
          <w:rFonts w:ascii="Times New Roman" w:hAnsi="Times New Roman" w:eastAsia="宋体"/>
          <w:b w:val="0"/>
          <w:bCs/>
          <w:color w:val="auto"/>
          <w:sz w:val="48"/>
          <w:szCs w:val="48"/>
          <w:highlight w:val="none"/>
        </w:rPr>
        <w:t>（污染影响类）</w:t>
      </w:r>
    </w:p>
    <w:p w14:paraId="493C6EDA">
      <w:pPr>
        <w:keepNext w:val="0"/>
        <w:keepLines w:val="0"/>
        <w:pageBreakBefore w:val="0"/>
        <w:widowControl w:val="0"/>
        <w:kinsoku/>
        <w:wordWrap/>
        <w:overflowPunct/>
        <w:topLinePunct w:val="0"/>
        <w:autoSpaceDE w:val="0"/>
        <w:autoSpaceDN w:val="0"/>
        <w:bidi w:val="0"/>
        <w:adjustRightInd w:val="0"/>
        <w:snapToGrid w:val="0"/>
        <w:spacing w:line="288" w:lineRule="auto"/>
        <w:ind w:firstLine="0" w:firstLineChars="0"/>
        <w:jc w:val="center"/>
        <w:textAlignment w:val="auto"/>
        <w:rPr>
          <w:rFonts w:hint="eastAsia" w:ascii="Times New Roman" w:hAnsi="Times New Roman" w:eastAsia="宋体"/>
          <w:color w:val="auto"/>
          <w:kern w:val="44"/>
          <w:sz w:val="44"/>
          <w:szCs w:val="44"/>
          <w:highlight w:val="none"/>
          <w:lang w:eastAsia="zh-CN"/>
        </w:rPr>
      </w:pPr>
      <w:r>
        <w:rPr>
          <w:rFonts w:hint="eastAsia"/>
          <w:color w:val="auto"/>
          <w:kern w:val="44"/>
          <w:sz w:val="44"/>
          <w:szCs w:val="44"/>
          <w:highlight w:val="none"/>
          <w:lang w:eastAsia="zh-CN"/>
        </w:rPr>
        <w:t>（</w:t>
      </w:r>
      <w:r>
        <w:rPr>
          <w:rFonts w:hint="eastAsia"/>
          <w:color w:val="auto"/>
          <w:kern w:val="44"/>
          <w:sz w:val="44"/>
          <w:szCs w:val="44"/>
          <w:highlight w:val="none"/>
          <w:lang w:val="en-US" w:eastAsia="zh-CN"/>
        </w:rPr>
        <w:t>公示版</w:t>
      </w:r>
      <w:r>
        <w:rPr>
          <w:rFonts w:hint="eastAsia"/>
          <w:color w:val="auto"/>
          <w:kern w:val="44"/>
          <w:sz w:val="44"/>
          <w:szCs w:val="44"/>
          <w:highlight w:val="none"/>
          <w:lang w:eastAsia="zh-CN"/>
        </w:rPr>
        <w:t>）</w:t>
      </w:r>
    </w:p>
    <w:p w14:paraId="4760A846">
      <w:pPr>
        <w:ind w:firstLine="1040"/>
        <w:jc w:val="center"/>
        <w:rPr>
          <w:rFonts w:ascii="Times New Roman" w:hAnsi="Times New Roman" w:eastAsia="宋体"/>
          <w:color w:val="auto"/>
          <w:sz w:val="52"/>
          <w:szCs w:val="52"/>
          <w:highlight w:val="none"/>
        </w:rPr>
      </w:pPr>
    </w:p>
    <w:p w14:paraId="66F0F0AC">
      <w:pPr>
        <w:ind w:firstLine="880"/>
        <w:rPr>
          <w:rFonts w:ascii="Times New Roman" w:hAnsi="Times New Roman" w:eastAsia="宋体"/>
          <w:color w:val="auto"/>
          <w:sz w:val="44"/>
          <w:szCs w:val="44"/>
          <w:highlight w:val="none"/>
        </w:rPr>
      </w:pPr>
    </w:p>
    <w:p w14:paraId="5DE409DE">
      <w:pPr>
        <w:ind w:firstLine="880"/>
        <w:rPr>
          <w:rFonts w:ascii="Times New Roman" w:hAnsi="Times New Roman" w:eastAsia="宋体"/>
          <w:color w:val="auto"/>
          <w:sz w:val="44"/>
          <w:szCs w:val="44"/>
          <w:highlight w:val="none"/>
        </w:rPr>
      </w:pPr>
    </w:p>
    <w:p w14:paraId="67C12F95">
      <w:pPr>
        <w:ind w:firstLine="880"/>
        <w:rPr>
          <w:rFonts w:ascii="Times New Roman" w:hAnsi="Times New Roman" w:eastAsia="宋体"/>
          <w:color w:val="auto"/>
          <w:sz w:val="44"/>
          <w:szCs w:val="44"/>
          <w:highlight w:val="none"/>
        </w:rPr>
      </w:pPr>
    </w:p>
    <w:p w14:paraId="16A308A6">
      <w:pPr>
        <w:ind w:firstLine="880"/>
        <w:rPr>
          <w:rFonts w:ascii="Times New Roman" w:hAnsi="Times New Roman" w:eastAsia="宋体"/>
          <w:color w:val="auto"/>
          <w:sz w:val="44"/>
          <w:szCs w:val="44"/>
          <w:highlight w:val="none"/>
        </w:rPr>
      </w:pPr>
    </w:p>
    <w:p w14:paraId="36F8BE3D">
      <w:pPr>
        <w:keepNext w:val="0"/>
        <w:keepLines w:val="0"/>
        <w:pageBreakBefore w:val="0"/>
        <w:widowControl w:val="0"/>
        <w:kinsoku/>
        <w:wordWrap/>
        <w:overflowPunct/>
        <w:topLinePunct w:val="0"/>
        <w:autoSpaceDE/>
        <w:autoSpaceDN/>
        <w:bidi w:val="0"/>
        <w:adjustRightInd w:val="0"/>
        <w:snapToGrid w:val="0"/>
        <w:spacing w:line="600" w:lineRule="exact"/>
        <w:ind w:left="480" w:leftChars="200" w:firstLine="0" w:firstLineChars="0"/>
        <w:jc w:val="left"/>
        <w:textAlignment w:val="auto"/>
        <w:rPr>
          <w:rFonts w:hint="default" w:ascii="Times New Roman" w:hAnsi="Times New Roman" w:eastAsia="宋体"/>
          <w:color w:val="auto"/>
          <w:sz w:val="36"/>
          <w:szCs w:val="36"/>
          <w:highlight w:val="none"/>
          <w:u w:val="single"/>
          <w:lang w:val="en-US" w:eastAsia="zh-CN"/>
        </w:rPr>
      </w:pPr>
      <w:r>
        <w:rPr>
          <w:rFonts w:ascii="Times New Roman" w:hAnsi="Times New Roman" w:eastAsia="宋体"/>
          <w:color w:val="auto"/>
          <w:sz w:val="36"/>
          <w:szCs w:val="36"/>
          <w:highlight w:val="none"/>
        </w:rPr>
        <w:t>项目名称：</w:t>
      </w:r>
      <w:r>
        <w:rPr>
          <w:rFonts w:hint="eastAsia"/>
          <w:color w:val="auto"/>
          <w:sz w:val="36"/>
          <w:szCs w:val="36"/>
          <w:highlight w:val="none"/>
          <w:u w:val="single"/>
          <w:lang w:val="en-US" w:eastAsia="zh-CN"/>
        </w:rPr>
        <w:t>瓶装纯净水生产</w:t>
      </w:r>
      <w:r>
        <w:rPr>
          <w:rFonts w:hint="eastAsia" w:ascii="Times New Roman" w:hAnsi="Times New Roman" w:eastAsia="宋体"/>
          <w:color w:val="auto"/>
          <w:sz w:val="36"/>
          <w:szCs w:val="36"/>
          <w:highlight w:val="none"/>
          <w:u w:val="single"/>
        </w:rPr>
        <w:t>项目</w:t>
      </w:r>
    </w:p>
    <w:p w14:paraId="50C673EE">
      <w:pPr>
        <w:keepNext w:val="0"/>
        <w:keepLines w:val="0"/>
        <w:pageBreakBefore w:val="0"/>
        <w:widowControl w:val="0"/>
        <w:kinsoku/>
        <w:wordWrap/>
        <w:overflowPunct/>
        <w:topLinePunct w:val="0"/>
        <w:autoSpaceDE/>
        <w:autoSpaceDN/>
        <w:bidi w:val="0"/>
        <w:adjustRightInd w:val="0"/>
        <w:snapToGrid w:val="0"/>
        <w:spacing w:line="600" w:lineRule="exact"/>
        <w:ind w:left="480" w:leftChars="200" w:firstLine="0" w:firstLineChars="0"/>
        <w:jc w:val="left"/>
        <w:textAlignment w:val="auto"/>
        <w:rPr>
          <w:rFonts w:ascii="Times New Roman" w:hAnsi="Times New Roman" w:eastAsia="宋体"/>
          <w:color w:val="auto"/>
          <w:sz w:val="36"/>
          <w:szCs w:val="36"/>
          <w:highlight w:val="none"/>
          <w:u w:val="single"/>
        </w:rPr>
      </w:pPr>
      <w:r>
        <w:rPr>
          <w:rFonts w:ascii="Times New Roman" w:hAnsi="Times New Roman" w:eastAsia="宋体"/>
          <w:color w:val="auto"/>
          <w:sz w:val="36"/>
          <w:szCs w:val="36"/>
          <w:highlight w:val="none"/>
        </w:rPr>
        <w:t>建设单位（盖章）：</w:t>
      </w:r>
      <w:r>
        <w:rPr>
          <w:rFonts w:hint="eastAsia"/>
          <w:color w:val="auto"/>
          <w:sz w:val="36"/>
          <w:szCs w:val="36"/>
          <w:highlight w:val="none"/>
          <w:u w:val="single"/>
          <w:lang w:val="en-US" w:eastAsia="zh-CN"/>
        </w:rPr>
        <w:t>南京恒枫食品有限公司</w:t>
      </w:r>
    </w:p>
    <w:p w14:paraId="52E20011">
      <w:pPr>
        <w:keepNext w:val="0"/>
        <w:keepLines w:val="0"/>
        <w:pageBreakBefore w:val="0"/>
        <w:widowControl w:val="0"/>
        <w:kinsoku/>
        <w:wordWrap/>
        <w:overflowPunct/>
        <w:topLinePunct w:val="0"/>
        <w:autoSpaceDE/>
        <w:autoSpaceDN/>
        <w:bidi w:val="0"/>
        <w:adjustRightInd w:val="0"/>
        <w:snapToGrid w:val="0"/>
        <w:spacing w:line="600" w:lineRule="exact"/>
        <w:ind w:left="480" w:leftChars="200" w:firstLine="0" w:firstLineChars="0"/>
        <w:jc w:val="left"/>
        <w:textAlignment w:val="auto"/>
        <w:rPr>
          <w:rFonts w:hint="default" w:ascii="Times New Roman" w:hAnsi="Times New Roman" w:eastAsia="宋体"/>
          <w:color w:val="auto"/>
          <w:sz w:val="36"/>
          <w:szCs w:val="36"/>
          <w:highlight w:val="none"/>
          <w:u w:val="single"/>
          <w:lang w:val="en-US" w:eastAsia="zh-CN"/>
        </w:rPr>
      </w:pPr>
      <w:r>
        <w:rPr>
          <w:rFonts w:ascii="Times New Roman" w:hAnsi="Times New Roman" w:eastAsia="宋体"/>
          <w:color w:val="auto"/>
          <w:sz w:val="36"/>
          <w:szCs w:val="36"/>
          <w:highlight w:val="none"/>
        </w:rPr>
        <w:t>编制日期：</w:t>
      </w:r>
      <w:r>
        <w:rPr>
          <w:rFonts w:ascii="Times New Roman" w:hAnsi="Times New Roman" w:eastAsia="宋体"/>
          <w:color w:val="auto"/>
          <w:sz w:val="36"/>
          <w:szCs w:val="36"/>
          <w:highlight w:val="none"/>
          <w:u w:val="single"/>
        </w:rPr>
        <w:t>二〇二</w:t>
      </w:r>
      <w:r>
        <w:rPr>
          <w:rFonts w:hint="eastAsia"/>
          <w:color w:val="auto"/>
          <w:sz w:val="36"/>
          <w:szCs w:val="36"/>
          <w:highlight w:val="none"/>
          <w:u w:val="single"/>
          <w:lang w:val="en-US" w:eastAsia="zh-CN"/>
        </w:rPr>
        <w:t>五</w:t>
      </w:r>
      <w:r>
        <w:rPr>
          <w:rFonts w:ascii="Times New Roman" w:hAnsi="Times New Roman" w:eastAsia="宋体"/>
          <w:color w:val="auto"/>
          <w:sz w:val="36"/>
          <w:szCs w:val="36"/>
          <w:highlight w:val="none"/>
          <w:u w:val="single"/>
        </w:rPr>
        <w:t>年</w:t>
      </w:r>
      <w:r>
        <w:rPr>
          <w:rFonts w:hint="eastAsia"/>
          <w:color w:val="auto"/>
          <w:sz w:val="36"/>
          <w:szCs w:val="36"/>
          <w:highlight w:val="none"/>
          <w:u w:val="single"/>
          <w:lang w:val="en-US" w:eastAsia="zh-CN"/>
        </w:rPr>
        <w:t>三</w:t>
      </w:r>
      <w:r>
        <w:rPr>
          <w:rFonts w:ascii="Times New Roman" w:hAnsi="Times New Roman" w:eastAsia="宋体"/>
          <w:color w:val="auto"/>
          <w:sz w:val="36"/>
          <w:szCs w:val="36"/>
          <w:highlight w:val="none"/>
          <w:u w:val="single"/>
        </w:rPr>
        <w:t>月</w:t>
      </w:r>
    </w:p>
    <w:p w14:paraId="29448A20">
      <w:pPr>
        <w:spacing w:line="288" w:lineRule="auto"/>
        <w:ind w:left="480" w:leftChars="200" w:firstLine="720"/>
        <w:rPr>
          <w:rFonts w:ascii="Times New Roman" w:hAnsi="Times New Roman" w:eastAsia="宋体"/>
          <w:color w:val="auto"/>
          <w:sz w:val="36"/>
          <w:szCs w:val="36"/>
          <w:highlight w:val="none"/>
          <w:u w:val="single"/>
        </w:rPr>
      </w:pPr>
      <w:bookmarkStart w:id="0" w:name="_Hlk57884087"/>
    </w:p>
    <w:p w14:paraId="2734FE8F">
      <w:pPr>
        <w:spacing w:line="288" w:lineRule="auto"/>
        <w:ind w:firstLine="720"/>
        <w:rPr>
          <w:rFonts w:ascii="Times New Roman" w:hAnsi="Times New Roman" w:eastAsia="宋体"/>
          <w:color w:val="auto"/>
          <w:sz w:val="36"/>
          <w:szCs w:val="36"/>
          <w:highlight w:val="none"/>
        </w:rPr>
      </w:pPr>
    </w:p>
    <w:p w14:paraId="489D566E">
      <w:pPr>
        <w:spacing w:line="288" w:lineRule="auto"/>
        <w:ind w:firstLine="720"/>
        <w:rPr>
          <w:rFonts w:ascii="Times New Roman" w:hAnsi="Times New Roman" w:eastAsia="宋体"/>
          <w:color w:val="auto"/>
          <w:sz w:val="36"/>
          <w:szCs w:val="36"/>
          <w:highlight w:val="none"/>
        </w:rPr>
      </w:pPr>
    </w:p>
    <w:bookmarkEnd w:id="0"/>
    <w:p w14:paraId="3A22BA25">
      <w:pPr>
        <w:spacing w:line="288" w:lineRule="auto"/>
        <w:ind w:firstLine="0" w:firstLineChars="0"/>
        <w:jc w:val="center"/>
        <w:rPr>
          <w:rFonts w:ascii="Times New Roman" w:hAnsi="Times New Roman" w:eastAsia="宋体"/>
          <w:color w:val="auto"/>
          <w:sz w:val="36"/>
          <w:szCs w:val="36"/>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eastAsia="宋体"/>
          <w:color w:val="auto"/>
          <w:sz w:val="36"/>
          <w:szCs w:val="36"/>
          <w:highlight w:val="none"/>
        </w:rPr>
        <w:t>中华人民共和国</w:t>
      </w:r>
      <w:r>
        <w:rPr>
          <w:rFonts w:hint="eastAsia"/>
          <w:color w:val="auto"/>
          <w:sz w:val="36"/>
          <w:szCs w:val="36"/>
          <w:highlight w:val="none"/>
          <w:lang w:val="en-US" w:eastAsia="zh-CN"/>
        </w:rPr>
        <w:t>生态环境</w:t>
      </w:r>
      <w:r>
        <w:rPr>
          <w:rFonts w:ascii="Times New Roman" w:hAnsi="Times New Roman" w:eastAsia="宋体"/>
          <w:color w:val="auto"/>
          <w:sz w:val="36"/>
          <w:szCs w:val="36"/>
          <w:highlight w:val="none"/>
        </w:rPr>
        <w:t>部制</w:t>
      </w:r>
    </w:p>
    <w:p w14:paraId="32D6318F">
      <w:pPr>
        <w:pStyle w:val="2"/>
        <w:numPr>
          <w:ilvl w:val="0"/>
          <w:numId w:val="4"/>
        </w:numPr>
        <w:spacing w:before="156"/>
        <w:rPr>
          <w:rFonts w:ascii="Times New Roman" w:hAnsi="Times New Roman" w:eastAsia="宋体"/>
          <w:color w:val="auto"/>
          <w:sz w:val="30"/>
          <w:szCs w:val="30"/>
          <w:highlight w:val="none"/>
        </w:rPr>
      </w:pPr>
      <w:r>
        <w:rPr>
          <w:rFonts w:ascii="Times New Roman" w:hAnsi="Times New Roman" w:eastAsia="宋体"/>
          <w:color w:val="auto"/>
          <w:sz w:val="30"/>
          <w:szCs w:val="30"/>
          <w:highlight w:val="none"/>
        </w:rPr>
        <w:t>建设项目基本情况</w:t>
      </w:r>
    </w:p>
    <w:tbl>
      <w:tblPr>
        <w:tblStyle w:val="1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1616"/>
        <w:gridCol w:w="2138"/>
        <w:gridCol w:w="1546"/>
        <w:gridCol w:w="3032"/>
      </w:tblGrid>
      <w:tr w14:paraId="6137E0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90" w:hRule="atLeast"/>
          <w:jc w:val="center"/>
        </w:trPr>
        <w:tc>
          <w:tcPr>
            <w:tcW w:w="1616" w:type="dxa"/>
            <w:tcMar>
              <w:top w:w="16" w:type="dxa"/>
              <w:left w:w="16" w:type="dxa"/>
              <w:right w:w="16" w:type="dxa"/>
            </w:tcMar>
            <w:vAlign w:val="center"/>
          </w:tcPr>
          <w:p w14:paraId="5E380FB1">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建设项目名称</w:t>
            </w:r>
          </w:p>
        </w:tc>
        <w:tc>
          <w:tcPr>
            <w:tcW w:w="6716" w:type="dxa"/>
            <w:gridSpan w:val="3"/>
            <w:vAlign w:val="center"/>
          </w:tcPr>
          <w:p w14:paraId="0C04A001">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瓶装纯净水生产项目</w:t>
            </w:r>
            <w:bookmarkStart w:id="4" w:name="_GoBack"/>
            <w:bookmarkEnd w:id="4"/>
          </w:p>
        </w:tc>
      </w:tr>
      <w:tr w14:paraId="76ADC6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16" w:type="dxa"/>
            <w:tcMar>
              <w:top w:w="16" w:type="dxa"/>
              <w:left w:w="16" w:type="dxa"/>
              <w:right w:w="16" w:type="dxa"/>
            </w:tcMar>
            <w:vAlign w:val="center"/>
          </w:tcPr>
          <w:p w14:paraId="37BC25C2">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项目代码</w:t>
            </w:r>
          </w:p>
        </w:tc>
        <w:tc>
          <w:tcPr>
            <w:tcW w:w="6716" w:type="dxa"/>
            <w:gridSpan w:val="3"/>
            <w:vAlign w:val="center"/>
          </w:tcPr>
          <w:p w14:paraId="48015885">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2501</w:t>
            </w:r>
            <w:r>
              <w:rPr>
                <w:rFonts w:hint="eastAsia" w:ascii="Times New Roman" w:hAnsi="Times New Roman" w:eastAsia="宋体"/>
                <w:color w:val="auto"/>
                <w:highlight w:val="none"/>
              </w:rPr>
              <w:t>-3201</w:t>
            </w:r>
            <w:r>
              <w:rPr>
                <w:rFonts w:hint="eastAsia"/>
                <w:color w:val="auto"/>
                <w:highlight w:val="none"/>
                <w:lang w:val="en-US" w:eastAsia="zh-CN"/>
              </w:rPr>
              <w:t>56</w:t>
            </w:r>
            <w:r>
              <w:rPr>
                <w:rFonts w:hint="eastAsia" w:ascii="Times New Roman" w:hAnsi="Times New Roman" w:eastAsia="宋体"/>
                <w:color w:val="auto"/>
                <w:highlight w:val="none"/>
              </w:rPr>
              <w:t>-89-01-</w:t>
            </w:r>
            <w:r>
              <w:rPr>
                <w:rFonts w:hint="eastAsia"/>
                <w:color w:val="auto"/>
                <w:highlight w:val="none"/>
                <w:lang w:val="en-US" w:eastAsia="zh-CN"/>
              </w:rPr>
              <w:t>942534</w:t>
            </w:r>
          </w:p>
        </w:tc>
      </w:tr>
      <w:tr w14:paraId="14F83B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0" w:hRule="atLeast"/>
          <w:jc w:val="center"/>
        </w:trPr>
        <w:tc>
          <w:tcPr>
            <w:tcW w:w="1616" w:type="dxa"/>
            <w:tcMar>
              <w:top w:w="16" w:type="dxa"/>
              <w:left w:w="16" w:type="dxa"/>
              <w:right w:w="16" w:type="dxa"/>
            </w:tcMar>
            <w:vAlign w:val="center"/>
          </w:tcPr>
          <w:p w14:paraId="03A02579">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建设单位联系人</w:t>
            </w:r>
          </w:p>
        </w:tc>
        <w:tc>
          <w:tcPr>
            <w:tcW w:w="2138" w:type="dxa"/>
            <w:vAlign w:val="center"/>
          </w:tcPr>
          <w:p w14:paraId="31CA4948">
            <w:pPr>
              <w:pStyle w:val="29"/>
              <w:keepNext w:val="0"/>
              <w:keepLines w:val="0"/>
              <w:suppressLineNumbers w:val="0"/>
              <w:spacing w:before="0" w:beforeAutospacing="0" w:after="0" w:afterAutospacing="0"/>
              <w:ind w:left="0" w:right="0"/>
              <w:rPr>
                <w:rFonts w:hint="eastAsia" w:ascii="Times New Roman" w:hAnsi="Times New Roman" w:eastAsia="宋体"/>
                <w:color w:val="auto"/>
                <w:highlight w:val="none"/>
                <w:lang w:eastAsia="zh-CN"/>
              </w:rPr>
            </w:pPr>
            <w:r>
              <w:rPr>
                <w:rFonts w:hint="eastAsia"/>
                <w:color w:val="auto"/>
                <w:highlight w:val="none"/>
                <w:lang w:val="en-US" w:eastAsia="zh-CN"/>
              </w:rPr>
              <w:t>/</w:t>
            </w:r>
          </w:p>
        </w:tc>
        <w:tc>
          <w:tcPr>
            <w:tcW w:w="1546" w:type="dxa"/>
            <w:vAlign w:val="center"/>
          </w:tcPr>
          <w:p w14:paraId="386A1D15">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联系方式</w:t>
            </w:r>
          </w:p>
        </w:tc>
        <w:tc>
          <w:tcPr>
            <w:tcW w:w="3032" w:type="dxa"/>
            <w:vAlign w:val="center"/>
          </w:tcPr>
          <w:p w14:paraId="59EA84DF">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w:t>
            </w:r>
          </w:p>
        </w:tc>
      </w:tr>
      <w:tr w14:paraId="328D9E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16" w:type="dxa"/>
            <w:tcMar>
              <w:top w:w="16" w:type="dxa"/>
              <w:left w:w="16" w:type="dxa"/>
              <w:right w:w="16" w:type="dxa"/>
            </w:tcMar>
            <w:vAlign w:val="center"/>
          </w:tcPr>
          <w:p w14:paraId="120E7058">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建设地点</w:t>
            </w:r>
          </w:p>
        </w:tc>
        <w:tc>
          <w:tcPr>
            <w:tcW w:w="6716" w:type="dxa"/>
            <w:gridSpan w:val="3"/>
            <w:vAlign w:val="center"/>
          </w:tcPr>
          <w:p w14:paraId="4EF89C36">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default" w:ascii="Times New Roman" w:hAnsi="Times New Roman" w:eastAsia="宋体"/>
                <w:color w:val="auto"/>
                <w:highlight w:val="none"/>
              </w:rPr>
              <w:t>南京江宁</w:t>
            </w:r>
            <w:r>
              <w:rPr>
                <w:rFonts w:hint="eastAsia"/>
                <w:color w:val="auto"/>
                <w:highlight w:val="none"/>
                <w:lang w:val="en-US" w:eastAsia="zh-CN"/>
              </w:rPr>
              <w:t>区空港工业园东西京路以东、双塘路以南（吴歌路36号）</w:t>
            </w:r>
          </w:p>
        </w:tc>
      </w:tr>
      <w:tr w14:paraId="7B59FB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16" w:type="dxa"/>
            <w:tcMar>
              <w:top w:w="16" w:type="dxa"/>
              <w:left w:w="16" w:type="dxa"/>
              <w:right w:w="16" w:type="dxa"/>
            </w:tcMar>
            <w:vAlign w:val="center"/>
          </w:tcPr>
          <w:p w14:paraId="7E17E096">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地理坐标</w:t>
            </w:r>
          </w:p>
        </w:tc>
        <w:tc>
          <w:tcPr>
            <w:tcW w:w="6716" w:type="dxa"/>
            <w:gridSpan w:val="3"/>
            <w:vAlign w:val="center"/>
          </w:tcPr>
          <w:p w14:paraId="750FD48C">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u w:val="single"/>
              </w:rPr>
              <w:t>118</w:t>
            </w:r>
            <w:r>
              <w:rPr>
                <w:rFonts w:hint="default" w:ascii="Times New Roman" w:hAnsi="Times New Roman" w:eastAsia="宋体"/>
                <w:color w:val="auto"/>
                <w:highlight w:val="none"/>
              </w:rPr>
              <w:t>度</w:t>
            </w:r>
            <w:r>
              <w:rPr>
                <w:rFonts w:hint="eastAsia"/>
                <w:color w:val="auto"/>
                <w:highlight w:val="none"/>
                <w:u w:val="single"/>
                <w:lang w:val="en-US" w:eastAsia="zh-CN"/>
              </w:rPr>
              <w:t>47</w:t>
            </w:r>
            <w:r>
              <w:rPr>
                <w:rFonts w:hint="default" w:ascii="Times New Roman" w:hAnsi="Times New Roman" w:eastAsia="宋体"/>
                <w:color w:val="auto"/>
                <w:highlight w:val="none"/>
              </w:rPr>
              <w:t>分</w:t>
            </w:r>
            <w:r>
              <w:rPr>
                <w:rFonts w:hint="eastAsia"/>
                <w:color w:val="auto"/>
                <w:highlight w:val="none"/>
                <w:u w:val="single"/>
                <w:lang w:val="en-US" w:eastAsia="zh-CN"/>
              </w:rPr>
              <w:t>32.576</w:t>
            </w:r>
            <w:r>
              <w:rPr>
                <w:rFonts w:hint="default" w:ascii="Times New Roman" w:hAnsi="Times New Roman" w:eastAsia="宋体"/>
                <w:color w:val="auto"/>
                <w:highlight w:val="none"/>
              </w:rPr>
              <w:t>秒E，</w:t>
            </w:r>
            <w:r>
              <w:rPr>
                <w:rFonts w:hint="default" w:ascii="Times New Roman" w:hAnsi="Times New Roman" w:eastAsia="宋体"/>
                <w:color w:val="auto"/>
                <w:highlight w:val="none"/>
                <w:u w:val="single"/>
              </w:rPr>
              <w:t>31</w:t>
            </w:r>
            <w:r>
              <w:rPr>
                <w:rFonts w:hint="default" w:ascii="Times New Roman" w:hAnsi="Times New Roman" w:eastAsia="宋体"/>
                <w:color w:val="auto"/>
                <w:highlight w:val="none"/>
              </w:rPr>
              <w:t>度</w:t>
            </w:r>
            <w:r>
              <w:rPr>
                <w:rFonts w:hint="eastAsia"/>
                <w:color w:val="auto"/>
                <w:highlight w:val="none"/>
                <w:u w:val="single"/>
                <w:lang w:val="en-US" w:eastAsia="zh-CN"/>
              </w:rPr>
              <w:t>47</w:t>
            </w:r>
            <w:r>
              <w:rPr>
                <w:rFonts w:hint="default" w:ascii="Times New Roman" w:hAnsi="Times New Roman" w:eastAsia="宋体"/>
                <w:color w:val="auto"/>
                <w:highlight w:val="none"/>
              </w:rPr>
              <w:t>分</w:t>
            </w:r>
            <w:r>
              <w:rPr>
                <w:rFonts w:hint="eastAsia"/>
                <w:color w:val="auto"/>
                <w:highlight w:val="none"/>
                <w:u w:val="single"/>
                <w:lang w:val="en-US" w:eastAsia="zh-CN"/>
              </w:rPr>
              <w:t>45.775</w:t>
            </w:r>
            <w:r>
              <w:rPr>
                <w:rFonts w:hint="default" w:ascii="Times New Roman" w:hAnsi="Times New Roman" w:eastAsia="宋体"/>
                <w:color w:val="auto"/>
                <w:highlight w:val="none"/>
              </w:rPr>
              <w:t>秒N</w:t>
            </w:r>
          </w:p>
        </w:tc>
      </w:tr>
      <w:tr w14:paraId="4434A0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616" w:type="dxa"/>
            <w:tcMar>
              <w:top w:w="16" w:type="dxa"/>
              <w:left w:w="16" w:type="dxa"/>
              <w:right w:w="16" w:type="dxa"/>
            </w:tcMar>
            <w:vAlign w:val="center"/>
          </w:tcPr>
          <w:p w14:paraId="45FFA18B">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国民经济</w:t>
            </w:r>
          </w:p>
          <w:p w14:paraId="7AE52A48">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行业类别</w:t>
            </w:r>
          </w:p>
        </w:tc>
        <w:tc>
          <w:tcPr>
            <w:tcW w:w="2138" w:type="dxa"/>
            <w:vAlign w:val="center"/>
          </w:tcPr>
          <w:p w14:paraId="449415BA">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color w:val="auto"/>
                <w:highlight w:val="none"/>
                <w:lang w:val="en-US" w:eastAsia="zh-CN"/>
              </w:rPr>
              <w:t>C1522</w:t>
            </w:r>
            <w:r>
              <w:rPr>
                <w:rFonts w:hint="eastAsia" w:ascii="Times New Roman" w:hAnsi="Times New Roman" w:eastAsia="宋体"/>
                <w:color w:val="auto"/>
                <w:highlight w:val="none"/>
                <w:lang w:val="en-US"/>
              </w:rPr>
              <w:t>瓶（罐）装饮用水制造</w:t>
            </w:r>
          </w:p>
        </w:tc>
        <w:tc>
          <w:tcPr>
            <w:tcW w:w="1546" w:type="dxa"/>
            <w:vAlign w:val="center"/>
          </w:tcPr>
          <w:p w14:paraId="001246EF">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bookmarkStart w:id="1" w:name="_Hlk49843745"/>
            <w:r>
              <w:rPr>
                <w:rFonts w:hint="default" w:ascii="Times New Roman" w:hAnsi="Times New Roman" w:eastAsia="宋体"/>
                <w:color w:val="auto"/>
                <w:highlight w:val="none"/>
              </w:rPr>
              <w:t>建设项目</w:t>
            </w:r>
          </w:p>
          <w:p w14:paraId="5837E171">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行业类别</w:t>
            </w:r>
            <w:bookmarkEnd w:id="1"/>
          </w:p>
        </w:tc>
        <w:tc>
          <w:tcPr>
            <w:tcW w:w="3032" w:type="dxa"/>
            <w:vAlign w:val="center"/>
          </w:tcPr>
          <w:p w14:paraId="6A948F71">
            <w:pPr>
              <w:pStyle w:val="29"/>
              <w:keepNext w:val="0"/>
              <w:keepLines w:val="0"/>
              <w:suppressLineNumbers w:val="0"/>
              <w:spacing w:before="0" w:beforeAutospacing="0" w:after="0" w:afterAutospacing="0"/>
              <w:ind w:left="0" w:right="0"/>
              <w:rPr>
                <w:rFonts w:hint="eastAsia"/>
                <w:color w:val="auto"/>
                <w:highlight w:val="none"/>
                <w:lang w:val="en-US" w:eastAsia="zh-CN"/>
              </w:rPr>
            </w:pPr>
            <w:r>
              <w:rPr>
                <w:rFonts w:hint="eastAsia" w:ascii="Times New Roman" w:hAnsi="Times New Roman" w:eastAsia="宋体"/>
                <w:color w:val="auto"/>
                <w:highlight w:val="none"/>
                <w:lang w:val="en-US"/>
              </w:rPr>
              <w:t>十二、酒、饮料制造业15-</w:t>
            </w:r>
            <w:r>
              <w:rPr>
                <w:rFonts w:hint="eastAsia"/>
                <w:color w:val="auto"/>
                <w:highlight w:val="none"/>
                <w:lang w:val="en-US" w:eastAsia="zh-CN"/>
              </w:rPr>
              <w:t>26</w:t>
            </w:r>
            <w:r>
              <w:rPr>
                <w:rFonts w:hint="default" w:ascii="Times New Roman" w:hAnsi="Times New Roman" w:eastAsia="宋体"/>
                <w:color w:val="auto"/>
                <w:highlight w:val="none"/>
                <w:lang w:val="en-US"/>
              </w:rPr>
              <w:t>饮料制造</w:t>
            </w:r>
            <w:r>
              <w:rPr>
                <w:rFonts w:hint="eastAsia"/>
                <w:color w:val="auto"/>
                <w:highlight w:val="none"/>
                <w:lang w:val="en-US" w:eastAsia="zh-CN"/>
              </w:rPr>
              <w:t>152-/</w:t>
            </w:r>
          </w:p>
          <w:p w14:paraId="72D082BE">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color w:val="auto"/>
                <w:highlight w:val="none"/>
                <w:lang w:val="en-US" w:eastAsia="zh-CN"/>
              </w:rPr>
              <w:t>二十六、橡胶和塑料制品业29-53塑料制品业292－其他（年用非溶剂型低VOCs含量涂料10吨以下的除外）</w:t>
            </w:r>
          </w:p>
        </w:tc>
      </w:tr>
      <w:tr w14:paraId="50BDF1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616" w:type="dxa"/>
            <w:tcMar>
              <w:top w:w="16" w:type="dxa"/>
              <w:left w:w="16" w:type="dxa"/>
              <w:right w:w="16" w:type="dxa"/>
            </w:tcMar>
            <w:vAlign w:val="center"/>
          </w:tcPr>
          <w:p w14:paraId="3200CA18">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建设性质</w:t>
            </w:r>
          </w:p>
        </w:tc>
        <w:tc>
          <w:tcPr>
            <w:tcW w:w="2138" w:type="dxa"/>
            <w:vAlign w:val="center"/>
          </w:tcPr>
          <w:p w14:paraId="6355D861">
            <w:pPr>
              <w:pStyle w:val="29"/>
              <w:keepNext w:val="0"/>
              <w:keepLines w:val="0"/>
              <w:suppressLineNumbers w:val="0"/>
              <w:spacing w:before="0" w:beforeAutospacing="0" w:after="0" w:afterAutospacing="0"/>
              <w:ind w:left="0" w:right="0"/>
              <w:jc w:val="both"/>
              <w:rPr>
                <w:rFonts w:hint="default" w:ascii="Times New Roman" w:hAnsi="Times New Roman" w:eastAsia="宋体"/>
                <w:color w:val="auto"/>
                <w:highlight w:val="none"/>
              </w:rPr>
            </w:pPr>
            <w:r>
              <w:rPr>
                <w:rFonts w:hint="default" w:ascii="Times New Roman" w:hAnsi="Times New Roman" w:eastAsia="宋体"/>
                <w:color w:val="auto"/>
                <w:highlight w:val="none"/>
              </w:rPr>
              <w:sym w:font="Wingdings 2" w:char="0052"/>
            </w:r>
            <w:r>
              <w:rPr>
                <w:rFonts w:hint="default" w:ascii="Times New Roman" w:hAnsi="Times New Roman" w:eastAsia="宋体"/>
                <w:color w:val="auto"/>
                <w:highlight w:val="none"/>
              </w:rPr>
              <w:t>新建（迁建）</w:t>
            </w:r>
          </w:p>
          <w:p w14:paraId="6F5ADD06">
            <w:pPr>
              <w:pStyle w:val="29"/>
              <w:keepNext w:val="0"/>
              <w:keepLines w:val="0"/>
              <w:suppressLineNumbers w:val="0"/>
              <w:spacing w:before="0" w:beforeAutospacing="0" w:after="0" w:afterAutospacing="0"/>
              <w:ind w:left="0" w:right="0"/>
              <w:jc w:val="both"/>
              <w:rPr>
                <w:rFonts w:hint="default" w:ascii="Times New Roman" w:hAnsi="Times New Roman" w:eastAsia="宋体"/>
                <w:color w:val="auto"/>
                <w:highlight w:val="none"/>
              </w:rPr>
            </w:pPr>
            <w:r>
              <w:rPr>
                <w:rFonts w:hint="eastAsia"/>
                <w:color w:val="auto"/>
                <w:highlight w:val="none"/>
                <w:lang w:eastAsia="zh-CN"/>
              </w:rPr>
              <w:t>□</w:t>
            </w:r>
            <w:r>
              <w:rPr>
                <w:rFonts w:hint="default" w:ascii="Times New Roman" w:hAnsi="Times New Roman" w:eastAsia="宋体"/>
                <w:color w:val="auto"/>
                <w:highlight w:val="none"/>
              </w:rPr>
              <w:t>改建</w:t>
            </w:r>
          </w:p>
          <w:p w14:paraId="0BDE1C94">
            <w:pPr>
              <w:pStyle w:val="29"/>
              <w:keepNext w:val="0"/>
              <w:keepLines w:val="0"/>
              <w:suppressLineNumbers w:val="0"/>
              <w:spacing w:before="0" w:beforeAutospacing="0" w:after="0" w:afterAutospacing="0"/>
              <w:ind w:left="0" w:right="0"/>
              <w:jc w:val="both"/>
              <w:rPr>
                <w:rFonts w:hint="default" w:ascii="Times New Roman" w:hAnsi="Times New Roman" w:eastAsia="宋体"/>
                <w:color w:val="auto"/>
                <w:highlight w:val="none"/>
              </w:rPr>
            </w:pPr>
            <w:r>
              <w:rPr>
                <w:rFonts w:hint="eastAsia"/>
                <w:color w:val="auto"/>
                <w:highlight w:val="none"/>
                <w:lang w:eastAsia="zh-CN"/>
              </w:rPr>
              <w:t>□</w:t>
            </w:r>
            <w:r>
              <w:rPr>
                <w:rFonts w:hint="default" w:ascii="Times New Roman" w:hAnsi="Times New Roman" w:eastAsia="宋体"/>
                <w:color w:val="auto"/>
                <w:highlight w:val="none"/>
              </w:rPr>
              <w:t>扩建</w:t>
            </w:r>
          </w:p>
          <w:p w14:paraId="62FB14BB">
            <w:pPr>
              <w:pStyle w:val="29"/>
              <w:keepNext w:val="0"/>
              <w:keepLines w:val="0"/>
              <w:suppressLineNumbers w:val="0"/>
              <w:spacing w:before="0" w:beforeAutospacing="0" w:after="0" w:afterAutospacing="0"/>
              <w:ind w:left="0" w:right="0"/>
              <w:jc w:val="both"/>
              <w:rPr>
                <w:rFonts w:hint="default" w:ascii="Times New Roman" w:hAnsi="Times New Roman" w:eastAsia="宋体"/>
                <w:color w:val="auto"/>
                <w:highlight w:val="none"/>
              </w:rPr>
            </w:pPr>
            <w:r>
              <w:rPr>
                <w:rFonts w:hint="eastAsia" w:ascii="Times New Roman" w:hAnsi="Times New Roman" w:eastAsia="宋体"/>
                <w:color w:val="auto"/>
                <w:highlight w:val="none"/>
              </w:rPr>
              <w:t>□</w:t>
            </w:r>
            <w:r>
              <w:rPr>
                <w:rFonts w:hint="default" w:ascii="Times New Roman" w:hAnsi="Times New Roman" w:eastAsia="宋体"/>
                <w:color w:val="auto"/>
                <w:highlight w:val="none"/>
              </w:rPr>
              <w:t>技术改造</w:t>
            </w:r>
          </w:p>
        </w:tc>
        <w:tc>
          <w:tcPr>
            <w:tcW w:w="1546" w:type="dxa"/>
            <w:vAlign w:val="center"/>
          </w:tcPr>
          <w:p w14:paraId="55574843">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建设项目</w:t>
            </w:r>
          </w:p>
          <w:p w14:paraId="107C15A0">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申报情形</w:t>
            </w:r>
          </w:p>
        </w:tc>
        <w:tc>
          <w:tcPr>
            <w:tcW w:w="3032" w:type="dxa"/>
            <w:vAlign w:val="center"/>
          </w:tcPr>
          <w:p w14:paraId="03564217">
            <w:pPr>
              <w:pStyle w:val="29"/>
              <w:keepNext w:val="0"/>
              <w:keepLines w:val="0"/>
              <w:suppressLineNumbers w:val="0"/>
              <w:spacing w:before="0" w:beforeAutospacing="0" w:after="0" w:afterAutospacing="0"/>
              <w:ind w:left="0" w:right="0"/>
              <w:jc w:val="both"/>
              <w:rPr>
                <w:rFonts w:hint="default" w:ascii="Times New Roman" w:hAnsi="Times New Roman" w:eastAsia="宋体"/>
                <w:color w:val="auto"/>
                <w:highlight w:val="none"/>
              </w:rPr>
            </w:pPr>
            <w:r>
              <w:rPr>
                <w:rFonts w:hint="default" w:ascii="Times New Roman" w:hAnsi="Times New Roman" w:eastAsia="宋体"/>
                <w:color w:val="auto"/>
                <w:highlight w:val="none"/>
              </w:rPr>
              <w:t>☑首次申报项目</w:t>
            </w:r>
          </w:p>
          <w:p w14:paraId="1F323138">
            <w:pPr>
              <w:pStyle w:val="29"/>
              <w:keepNext w:val="0"/>
              <w:keepLines w:val="0"/>
              <w:suppressLineNumbers w:val="0"/>
              <w:spacing w:before="0" w:beforeAutospacing="0" w:after="0" w:afterAutospacing="0"/>
              <w:ind w:left="0" w:right="0"/>
              <w:jc w:val="both"/>
              <w:rPr>
                <w:rFonts w:hint="default" w:ascii="Times New Roman" w:hAnsi="Times New Roman" w:eastAsia="宋体"/>
                <w:color w:val="auto"/>
                <w:highlight w:val="none"/>
              </w:rPr>
            </w:pPr>
            <w:r>
              <w:rPr>
                <w:rFonts w:hint="eastAsia" w:ascii="Times New Roman" w:hAnsi="Times New Roman" w:eastAsia="宋体"/>
                <w:color w:val="auto"/>
                <w:highlight w:val="none"/>
              </w:rPr>
              <w:t>□</w:t>
            </w:r>
            <w:r>
              <w:rPr>
                <w:rFonts w:hint="default" w:ascii="Times New Roman" w:hAnsi="Times New Roman" w:eastAsia="宋体"/>
                <w:color w:val="auto"/>
                <w:highlight w:val="none"/>
              </w:rPr>
              <w:t>不予批准后再次申报项目</w:t>
            </w:r>
          </w:p>
          <w:p w14:paraId="6396E20C">
            <w:pPr>
              <w:pStyle w:val="29"/>
              <w:keepNext w:val="0"/>
              <w:keepLines w:val="0"/>
              <w:suppressLineNumbers w:val="0"/>
              <w:spacing w:before="0" w:beforeAutospacing="0" w:after="0" w:afterAutospacing="0"/>
              <w:ind w:left="0" w:right="0"/>
              <w:jc w:val="both"/>
              <w:rPr>
                <w:rFonts w:hint="default" w:ascii="Times New Roman" w:hAnsi="Times New Roman" w:eastAsia="宋体"/>
                <w:color w:val="auto"/>
                <w:highlight w:val="none"/>
              </w:rPr>
            </w:pPr>
            <w:r>
              <w:rPr>
                <w:rFonts w:hint="eastAsia" w:ascii="Times New Roman" w:hAnsi="Times New Roman" w:eastAsia="宋体"/>
                <w:color w:val="auto"/>
                <w:highlight w:val="none"/>
              </w:rPr>
              <w:t>□</w:t>
            </w:r>
            <w:r>
              <w:rPr>
                <w:rFonts w:hint="default" w:ascii="Times New Roman" w:hAnsi="Times New Roman" w:eastAsia="宋体"/>
                <w:color w:val="auto"/>
                <w:highlight w:val="none"/>
              </w:rPr>
              <w:t>超五年重新审核项目</w:t>
            </w:r>
          </w:p>
          <w:p w14:paraId="2E6AC2BF">
            <w:pPr>
              <w:pStyle w:val="29"/>
              <w:keepNext w:val="0"/>
              <w:keepLines w:val="0"/>
              <w:suppressLineNumbers w:val="0"/>
              <w:spacing w:before="0" w:beforeAutospacing="0" w:after="0" w:afterAutospacing="0"/>
              <w:ind w:left="0" w:right="0"/>
              <w:jc w:val="both"/>
              <w:rPr>
                <w:rFonts w:hint="default" w:ascii="Times New Roman" w:hAnsi="Times New Roman" w:eastAsia="宋体"/>
                <w:color w:val="auto"/>
                <w:highlight w:val="none"/>
              </w:rPr>
            </w:pPr>
            <w:r>
              <w:rPr>
                <w:rFonts w:hint="eastAsia" w:ascii="Times New Roman" w:hAnsi="Times New Roman" w:eastAsia="宋体"/>
                <w:color w:val="auto"/>
                <w:highlight w:val="none"/>
              </w:rPr>
              <w:t>□</w:t>
            </w:r>
            <w:r>
              <w:rPr>
                <w:rFonts w:hint="default" w:ascii="Times New Roman" w:hAnsi="Times New Roman" w:eastAsia="宋体"/>
                <w:color w:val="auto"/>
                <w:highlight w:val="none"/>
              </w:rPr>
              <w:t>重大变动重新报批项目</w:t>
            </w:r>
          </w:p>
        </w:tc>
      </w:tr>
      <w:tr w14:paraId="5696A6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851" w:hRule="atLeast"/>
          <w:jc w:val="center"/>
        </w:trPr>
        <w:tc>
          <w:tcPr>
            <w:tcW w:w="1616" w:type="dxa"/>
            <w:tcMar>
              <w:top w:w="16" w:type="dxa"/>
              <w:left w:w="16" w:type="dxa"/>
              <w:right w:w="16" w:type="dxa"/>
            </w:tcMar>
            <w:vAlign w:val="center"/>
          </w:tcPr>
          <w:p w14:paraId="21F22C34">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项目审批（核准/</w:t>
            </w:r>
          </w:p>
          <w:p w14:paraId="62967B7D">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备案）部门（选填）</w:t>
            </w:r>
          </w:p>
        </w:tc>
        <w:tc>
          <w:tcPr>
            <w:tcW w:w="2138" w:type="dxa"/>
            <w:vAlign w:val="center"/>
          </w:tcPr>
          <w:p w14:paraId="420C57E1">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南京江宁</w:t>
            </w:r>
            <w:r>
              <w:rPr>
                <w:rFonts w:hint="eastAsia"/>
                <w:color w:val="auto"/>
                <w:highlight w:val="none"/>
                <w:lang w:val="en-US" w:eastAsia="zh-CN"/>
              </w:rPr>
              <w:t>经济技术开发区管理委员会政务服务中心</w:t>
            </w:r>
          </w:p>
        </w:tc>
        <w:tc>
          <w:tcPr>
            <w:tcW w:w="1546" w:type="dxa"/>
            <w:vAlign w:val="center"/>
          </w:tcPr>
          <w:p w14:paraId="6E943B09">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项目审批（核准/备案）文号（选填）</w:t>
            </w:r>
          </w:p>
        </w:tc>
        <w:tc>
          <w:tcPr>
            <w:tcW w:w="3032" w:type="dxa"/>
            <w:vAlign w:val="center"/>
          </w:tcPr>
          <w:p w14:paraId="47A9C27A">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color w:val="auto"/>
                <w:highlight w:val="none"/>
                <w:lang w:val="en-US" w:eastAsia="zh-CN"/>
              </w:rPr>
              <w:t>宁经政服备</w:t>
            </w:r>
            <w:r>
              <w:rPr>
                <w:rFonts w:hint="default" w:ascii="Times New Roman" w:hAnsi="Times New Roman" w:eastAsia="宋体"/>
                <w:color w:val="auto"/>
                <w:highlight w:val="none"/>
              </w:rPr>
              <w:t>〔202</w:t>
            </w:r>
            <w:r>
              <w:rPr>
                <w:rFonts w:hint="eastAsia"/>
                <w:color w:val="auto"/>
                <w:highlight w:val="none"/>
                <w:lang w:val="en-US" w:eastAsia="zh-CN"/>
              </w:rPr>
              <w:t>5</w:t>
            </w:r>
            <w:r>
              <w:rPr>
                <w:rFonts w:hint="default" w:ascii="Times New Roman" w:hAnsi="Times New Roman" w:eastAsia="宋体"/>
                <w:color w:val="auto"/>
                <w:highlight w:val="none"/>
              </w:rPr>
              <w:t>〕</w:t>
            </w:r>
            <w:r>
              <w:rPr>
                <w:rFonts w:hint="eastAsia"/>
                <w:color w:val="auto"/>
                <w:highlight w:val="none"/>
                <w:lang w:val="en-US" w:eastAsia="zh-CN"/>
              </w:rPr>
              <w:t>5</w:t>
            </w:r>
            <w:r>
              <w:rPr>
                <w:rFonts w:hint="default" w:ascii="Times New Roman" w:hAnsi="Times New Roman" w:eastAsia="宋体"/>
                <w:color w:val="auto"/>
                <w:highlight w:val="none"/>
              </w:rPr>
              <w:t>号</w:t>
            </w:r>
          </w:p>
        </w:tc>
      </w:tr>
      <w:tr w14:paraId="71578C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16" w:type="dxa"/>
            <w:tcMar>
              <w:top w:w="16" w:type="dxa"/>
              <w:left w:w="16" w:type="dxa"/>
              <w:right w:w="16" w:type="dxa"/>
            </w:tcMar>
            <w:vAlign w:val="center"/>
          </w:tcPr>
          <w:p w14:paraId="6C6D117E">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总投资（万元）</w:t>
            </w:r>
          </w:p>
        </w:tc>
        <w:tc>
          <w:tcPr>
            <w:tcW w:w="2138" w:type="dxa"/>
            <w:vAlign w:val="center"/>
          </w:tcPr>
          <w:p w14:paraId="2F4507A2">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color w:val="auto"/>
                <w:highlight w:val="none"/>
                <w:lang w:val="en-US" w:eastAsia="zh-CN"/>
              </w:rPr>
              <w:t>10193.71</w:t>
            </w:r>
          </w:p>
        </w:tc>
        <w:tc>
          <w:tcPr>
            <w:tcW w:w="1546" w:type="dxa"/>
            <w:tcMar>
              <w:top w:w="16" w:type="dxa"/>
              <w:left w:w="16" w:type="dxa"/>
              <w:right w:w="16" w:type="dxa"/>
            </w:tcMar>
            <w:vAlign w:val="center"/>
          </w:tcPr>
          <w:p w14:paraId="0642AB3F">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环保投资（万元）</w:t>
            </w:r>
          </w:p>
        </w:tc>
        <w:tc>
          <w:tcPr>
            <w:tcW w:w="3032" w:type="dxa"/>
            <w:vAlign w:val="center"/>
          </w:tcPr>
          <w:p w14:paraId="46B037C0">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40</w:t>
            </w:r>
          </w:p>
        </w:tc>
      </w:tr>
      <w:tr w14:paraId="661E74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3" w:hRule="atLeast"/>
          <w:jc w:val="center"/>
        </w:trPr>
        <w:tc>
          <w:tcPr>
            <w:tcW w:w="1616" w:type="dxa"/>
            <w:tcMar>
              <w:top w:w="16" w:type="dxa"/>
              <w:left w:w="16" w:type="dxa"/>
              <w:right w:w="16" w:type="dxa"/>
            </w:tcMar>
            <w:vAlign w:val="center"/>
          </w:tcPr>
          <w:p w14:paraId="46B5FCD7">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环保投资占比（%）</w:t>
            </w:r>
          </w:p>
        </w:tc>
        <w:tc>
          <w:tcPr>
            <w:tcW w:w="2138" w:type="dxa"/>
            <w:vAlign w:val="center"/>
          </w:tcPr>
          <w:p w14:paraId="4EB1A523">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0.4</w:t>
            </w:r>
          </w:p>
        </w:tc>
        <w:tc>
          <w:tcPr>
            <w:tcW w:w="1546" w:type="dxa"/>
            <w:tcMar>
              <w:top w:w="16" w:type="dxa"/>
              <w:left w:w="16" w:type="dxa"/>
              <w:right w:w="16" w:type="dxa"/>
            </w:tcMar>
            <w:vAlign w:val="center"/>
          </w:tcPr>
          <w:p w14:paraId="1019122D">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施工工期</w:t>
            </w:r>
          </w:p>
        </w:tc>
        <w:tc>
          <w:tcPr>
            <w:tcW w:w="3032" w:type="dxa"/>
            <w:vAlign w:val="center"/>
          </w:tcPr>
          <w:p w14:paraId="2CDAEF63">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3个月</w:t>
            </w:r>
          </w:p>
        </w:tc>
      </w:tr>
      <w:tr w14:paraId="23F2D1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16" w:type="dxa"/>
            <w:tcMar>
              <w:top w:w="16" w:type="dxa"/>
              <w:left w:w="16" w:type="dxa"/>
              <w:right w:w="16" w:type="dxa"/>
            </w:tcMar>
            <w:vAlign w:val="center"/>
          </w:tcPr>
          <w:p w14:paraId="397362B1">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是否开工建设</w:t>
            </w:r>
          </w:p>
        </w:tc>
        <w:tc>
          <w:tcPr>
            <w:tcW w:w="2138" w:type="dxa"/>
            <w:vAlign w:val="center"/>
          </w:tcPr>
          <w:p w14:paraId="1A9DFD11">
            <w:pPr>
              <w:pStyle w:val="29"/>
              <w:keepNext w:val="0"/>
              <w:keepLines w:val="0"/>
              <w:suppressLineNumbers w:val="0"/>
              <w:spacing w:before="0" w:beforeAutospacing="0" w:after="0" w:afterAutospacing="0"/>
              <w:ind w:left="0" w:right="0"/>
              <w:jc w:val="both"/>
              <w:rPr>
                <w:rFonts w:hint="default" w:ascii="Times New Roman" w:hAnsi="Times New Roman" w:eastAsia="宋体"/>
                <w:color w:val="auto"/>
                <w:highlight w:val="none"/>
              </w:rPr>
            </w:pPr>
            <w:r>
              <w:rPr>
                <w:rFonts w:hint="default" w:ascii="Times New Roman" w:hAnsi="Times New Roman" w:eastAsia="宋体"/>
                <w:color w:val="auto"/>
                <w:highlight w:val="none"/>
              </w:rPr>
              <w:t>☑否</w:t>
            </w:r>
          </w:p>
          <w:p w14:paraId="3A0223B5">
            <w:pPr>
              <w:pStyle w:val="29"/>
              <w:keepNext w:val="0"/>
              <w:keepLines w:val="0"/>
              <w:suppressLineNumbers w:val="0"/>
              <w:spacing w:before="0" w:beforeAutospacing="0" w:after="0" w:afterAutospacing="0"/>
              <w:ind w:left="0" w:right="0"/>
              <w:jc w:val="both"/>
              <w:rPr>
                <w:rFonts w:hint="default" w:ascii="Times New Roman" w:hAnsi="Times New Roman" w:eastAsia="宋体"/>
                <w:color w:val="auto"/>
                <w:highlight w:val="none"/>
                <w:lang w:val="en-US"/>
              </w:rPr>
            </w:pPr>
            <w:r>
              <w:rPr>
                <w:rFonts w:hint="eastAsia" w:ascii="Times New Roman" w:hAnsi="Times New Roman" w:eastAsia="宋体"/>
                <w:color w:val="auto"/>
                <w:highlight w:val="none"/>
              </w:rPr>
              <w:t>□</w:t>
            </w:r>
            <w:r>
              <w:rPr>
                <w:rFonts w:hint="default" w:ascii="Times New Roman" w:hAnsi="Times New Roman" w:eastAsia="宋体"/>
                <w:color w:val="auto"/>
                <w:highlight w:val="none"/>
              </w:rPr>
              <w:t>是：</w:t>
            </w:r>
          </w:p>
        </w:tc>
        <w:tc>
          <w:tcPr>
            <w:tcW w:w="1546" w:type="dxa"/>
            <w:tcMar>
              <w:top w:w="16" w:type="dxa"/>
              <w:left w:w="16" w:type="dxa"/>
              <w:right w:w="16" w:type="dxa"/>
            </w:tcMar>
            <w:vAlign w:val="center"/>
          </w:tcPr>
          <w:p w14:paraId="7F20A8DF">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用地面积（m</w:t>
            </w:r>
            <w:r>
              <w:rPr>
                <w:rFonts w:hint="default" w:ascii="Times New Roman" w:hAnsi="Times New Roman" w:eastAsia="宋体"/>
                <w:color w:val="auto"/>
                <w:highlight w:val="none"/>
                <w:vertAlign w:val="superscript"/>
              </w:rPr>
              <w:t>2</w:t>
            </w:r>
            <w:r>
              <w:rPr>
                <w:rFonts w:hint="default" w:ascii="Times New Roman" w:hAnsi="Times New Roman" w:eastAsia="宋体"/>
                <w:color w:val="auto"/>
                <w:highlight w:val="none"/>
              </w:rPr>
              <w:t>）</w:t>
            </w:r>
          </w:p>
        </w:tc>
        <w:tc>
          <w:tcPr>
            <w:tcW w:w="3032" w:type="dxa"/>
            <w:vAlign w:val="center"/>
          </w:tcPr>
          <w:p w14:paraId="22FB7637">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color w:val="auto"/>
                <w:highlight w:val="none"/>
                <w:lang w:val="en-US" w:eastAsia="zh-CN"/>
              </w:rPr>
              <w:t>8514.21</w:t>
            </w:r>
          </w:p>
        </w:tc>
      </w:tr>
      <w:tr w14:paraId="11C676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16" w:type="dxa"/>
            <w:tcMar>
              <w:top w:w="16" w:type="dxa"/>
              <w:left w:w="16" w:type="dxa"/>
              <w:right w:w="16" w:type="dxa"/>
            </w:tcMar>
            <w:vAlign w:val="center"/>
          </w:tcPr>
          <w:p w14:paraId="355E098E">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专项评价设置情况</w:t>
            </w:r>
          </w:p>
        </w:tc>
        <w:tc>
          <w:tcPr>
            <w:tcW w:w="6716" w:type="dxa"/>
            <w:gridSpan w:val="3"/>
            <w:vAlign w:val="center"/>
          </w:tcPr>
          <w:p w14:paraId="61EE3D04">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根据《建设项目环境影响报告表编制技术指南（污染影响类）（试行）》表1中专项评价设置原则，本项目专项评价设置分析如下：</w:t>
            </w:r>
          </w:p>
          <w:p w14:paraId="1B31F610">
            <w:pPr>
              <w:pStyle w:val="35"/>
              <w:keepNext w:val="0"/>
              <w:keepLines w:val="0"/>
              <w:suppressLineNumbers w:val="0"/>
              <w:spacing w:before="0" w:beforeAutospacing="0" w:after="0" w:afterAutospacing="0" w:line="360" w:lineRule="auto"/>
              <w:ind w:left="0" w:right="0"/>
              <w:rPr>
                <w:rFonts w:hint="default" w:ascii="Times New Roman" w:hAnsi="Times New Roman"/>
                <w:b/>
                <w:bCs/>
                <w:color w:val="auto"/>
                <w:sz w:val="24"/>
              </w:rPr>
            </w:pPr>
            <w:r>
              <w:rPr>
                <w:rFonts w:hint="default" w:ascii="Times New Roman" w:hAnsi="Times New Roman"/>
                <w:b/>
                <w:bCs/>
                <w:color w:val="auto"/>
                <w:sz w:val="24"/>
              </w:rPr>
              <w:t>表1-1</w:t>
            </w:r>
            <w:r>
              <w:rPr>
                <w:rFonts w:hint="eastAsia" w:ascii="Times New Roman" w:hAnsi="Times New Roman"/>
                <w:b/>
                <w:bCs/>
                <w:color w:val="auto"/>
                <w:sz w:val="24"/>
              </w:rPr>
              <w:t>专项评价设置分析情况表</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01"/>
              <w:gridCol w:w="3251"/>
              <w:gridCol w:w="2898"/>
            </w:tblGrid>
            <w:tr w14:paraId="189DD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pct"/>
                  <w:vAlign w:val="center"/>
                </w:tcPr>
                <w:p w14:paraId="28B99E79">
                  <w:pPr>
                    <w:pStyle w:val="21"/>
                    <w:keepNext w:val="0"/>
                    <w:keepLines w:val="0"/>
                    <w:suppressLineNumbers w:val="0"/>
                    <w:bidi w:val="0"/>
                    <w:spacing w:before="0" w:beforeAutospacing="0" w:after="0" w:afterAutospacing="0"/>
                    <w:ind w:left="0" w:right="0"/>
                    <w:rPr>
                      <w:rFonts w:hint="default"/>
                      <w:b/>
                      <w:bCs/>
                      <w:color w:val="auto"/>
                    </w:rPr>
                  </w:pPr>
                  <w:r>
                    <w:rPr>
                      <w:rFonts w:hint="eastAsia"/>
                      <w:b/>
                      <w:bCs/>
                      <w:color w:val="auto"/>
                    </w:rPr>
                    <w:t>专项类别</w:t>
                  </w:r>
                </w:p>
              </w:tc>
              <w:tc>
                <w:tcPr>
                  <w:tcW w:w="2444" w:type="pct"/>
                  <w:vAlign w:val="center"/>
                </w:tcPr>
                <w:p w14:paraId="74015CB3">
                  <w:pPr>
                    <w:pStyle w:val="21"/>
                    <w:keepNext w:val="0"/>
                    <w:keepLines w:val="0"/>
                    <w:suppressLineNumbers w:val="0"/>
                    <w:bidi w:val="0"/>
                    <w:spacing w:before="0" w:beforeAutospacing="0" w:after="0" w:afterAutospacing="0"/>
                    <w:ind w:left="0" w:right="0"/>
                    <w:rPr>
                      <w:rFonts w:hint="default"/>
                      <w:b/>
                      <w:bCs/>
                      <w:color w:val="auto"/>
                    </w:rPr>
                  </w:pPr>
                  <w:r>
                    <w:rPr>
                      <w:rFonts w:hint="eastAsia"/>
                      <w:b/>
                      <w:bCs/>
                      <w:color w:val="auto"/>
                    </w:rPr>
                    <w:t>设置原则</w:t>
                  </w:r>
                </w:p>
              </w:tc>
              <w:tc>
                <w:tcPr>
                  <w:tcW w:w="2179" w:type="pct"/>
                  <w:vAlign w:val="center"/>
                </w:tcPr>
                <w:p w14:paraId="734E2993">
                  <w:pPr>
                    <w:pStyle w:val="21"/>
                    <w:keepNext w:val="0"/>
                    <w:keepLines w:val="0"/>
                    <w:suppressLineNumbers w:val="0"/>
                    <w:bidi w:val="0"/>
                    <w:spacing w:before="0" w:beforeAutospacing="0" w:after="0" w:afterAutospacing="0"/>
                    <w:ind w:left="0" w:right="0"/>
                    <w:rPr>
                      <w:rFonts w:hint="default"/>
                      <w:b/>
                      <w:bCs/>
                      <w:color w:val="auto"/>
                    </w:rPr>
                  </w:pPr>
                  <w:r>
                    <w:rPr>
                      <w:rFonts w:hint="eastAsia"/>
                      <w:b/>
                      <w:bCs/>
                      <w:color w:val="auto"/>
                    </w:rPr>
                    <w:t>本项目情况</w:t>
                  </w:r>
                </w:p>
              </w:tc>
            </w:tr>
            <w:tr w14:paraId="5D780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pct"/>
                  <w:vAlign w:val="center"/>
                </w:tcPr>
                <w:p w14:paraId="797FF69C">
                  <w:pPr>
                    <w:pStyle w:val="21"/>
                    <w:keepNext w:val="0"/>
                    <w:keepLines w:val="0"/>
                    <w:suppressLineNumbers w:val="0"/>
                    <w:bidi w:val="0"/>
                    <w:spacing w:before="0" w:beforeAutospacing="0" w:after="0" w:afterAutospacing="0"/>
                    <w:ind w:left="0" w:right="0"/>
                    <w:rPr>
                      <w:rFonts w:hint="default"/>
                      <w:color w:val="auto"/>
                    </w:rPr>
                  </w:pPr>
                  <w:r>
                    <w:rPr>
                      <w:rFonts w:hint="eastAsia"/>
                      <w:color w:val="auto"/>
                    </w:rPr>
                    <w:t>大气</w:t>
                  </w:r>
                </w:p>
              </w:tc>
              <w:tc>
                <w:tcPr>
                  <w:tcW w:w="2444" w:type="pct"/>
                  <w:vAlign w:val="center"/>
                </w:tcPr>
                <w:p w14:paraId="3D24B8CE">
                  <w:pPr>
                    <w:pStyle w:val="21"/>
                    <w:keepNext w:val="0"/>
                    <w:keepLines w:val="0"/>
                    <w:suppressLineNumbers w:val="0"/>
                    <w:bidi w:val="0"/>
                    <w:spacing w:before="0" w:beforeAutospacing="0" w:after="0" w:afterAutospacing="0"/>
                    <w:ind w:left="0" w:right="0"/>
                    <w:rPr>
                      <w:rFonts w:hint="default"/>
                      <w:color w:val="auto"/>
                    </w:rPr>
                  </w:pPr>
                  <w:r>
                    <w:rPr>
                      <w:rFonts w:hint="eastAsia"/>
                      <w:color w:val="auto"/>
                    </w:rPr>
                    <w:t>排放废气含有毒有害污染物</w:t>
                  </w:r>
                  <w:r>
                    <w:rPr>
                      <w:rFonts w:hint="default"/>
                      <w:color w:val="auto"/>
                      <w:vertAlign w:val="superscript"/>
                    </w:rPr>
                    <w:t>1</w:t>
                  </w:r>
                  <w:r>
                    <w:rPr>
                      <w:rFonts w:hint="default"/>
                      <w:color w:val="auto"/>
                    </w:rPr>
                    <w:t>、二噁英、苯并[a]芘、氰化物、氯气且厂界外500米范围内有环境空气保护目标</w:t>
                  </w:r>
                  <w:r>
                    <w:rPr>
                      <w:rFonts w:hint="default"/>
                      <w:color w:val="auto"/>
                      <w:vertAlign w:val="superscript"/>
                    </w:rPr>
                    <w:t>2</w:t>
                  </w:r>
                  <w:r>
                    <w:rPr>
                      <w:rFonts w:hint="default"/>
                      <w:color w:val="auto"/>
                    </w:rPr>
                    <w:t>的建设项目</w:t>
                  </w:r>
                </w:p>
              </w:tc>
              <w:tc>
                <w:tcPr>
                  <w:tcW w:w="2179" w:type="pct"/>
                  <w:vAlign w:val="center"/>
                </w:tcPr>
                <w:p w14:paraId="44D293AC">
                  <w:pPr>
                    <w:pStyle w:val="21"/>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本项目排放乙醛属于废气有毒有害污染物，但项目厂界500米范围内无环境空气保护目标</w:t>
                  </w:r>
                  <w:r>
                    <w:rPr>
                      <w:rFonts w:hint="eastAsia"/>
                      <w:color w:val="auto"/>
                    </w:rPr>
                    <w:t>，不需设置大气专项评价。</w:t>
                  </w:r>
                </w:p>
              </w:tc>
            </w:tr>
            <w:tr w14:paraId="491B6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pct"/>
                  <w:vAlign w:val="center"/>
                </w:tcPr>
                <w:p w14:paraId="610B6955">
                  <w:pPr>
                    <w:pStyle w:val="21"/>
                    <w:keepNext w:val="0"/>
                    <w:keepLines w:val="0"/>
                    <w:suppressLineNumbers w:val="0"/>
                    <w:bidi w:val="0"/>
                    <w:spacing w:before="0" w:beforeAutospacing="0" w:after="0" w:afterAutospacing="0"/>
                    <w:ind w:left="0" w:right="0"/>
                    <w:rPr>
                      <w:rFonts w:hint="default"/>
                      <w:color w:val="auto"/>
                    </w:rPr>
                  </w:pPr>
                  <w:r>
                    <w:rPr>
                      <w:rFonts w:hint="eastAsia"/>
                      <w:color w:val="auto"/>
                    </w:rPr>
                    <w:t>地表水</w:t>
                  </w:r>
                </w:p>
              </w:tc>
              <w:tc>
                <w:tcPr>
                  <w:tcW w:w="2444" w:type="pct"/>
                  <w:vAlign w:val="center"/>
                </w:tcPr>
                <w:p w14:paraId="20D06F4A">
                  <w:pPr>
                    <w:pStyle w:val="21"/>
                    <w:keepNext w:val="0"/>
                    <w:keepLines w:val="0"/>
                    <w:suppressLineNumbers w:val="0"/>
                    <w:bidi w:val="0"/>
                    <w:spacing w:before="0" w:beforeAutospacing="0" w:after="0" w:afterAutospacing="0"/>
                    <w:ind w:left="0" w:right="0"/>
                    <w:rPr>
                      <w:rFonts w:hint="default"/>
                      <w:color w:val="auto"/>
                    </w:rPr>
                  </w:pPr>
                  <w:r>
                    <w:rPr>
                      <w:rFonts w:hint="eastAsia"/>
                      <w:color w:val="auto"/>
                    </w:rPr>
                    <w:t>新增工业废水直排建设项目（槽罐车外送污水处理厂的除外）；</w:t>
                  </w:r>
                </w:p>
                <w:p w14:paraId="0DD4BF18">
                  <w:pPr>
                    <w:pStyle w:val="21"/>
                    <w:keepNext w:val="0"/>
                    <w:keepLines w:val="0"/>
                    <w:suppressLineNumbers w:val="0"/>
                    <w:bidi w:val="0"/>
                    <w:spacing w:before="0" w:beforeAutospacing="0" w:after="0" w:afterAutospacing="0"/>
                    <w:ind w:left="0" w:right="0"/>
                    <w:rPr>
                      <w:rFonts w:hint="default"/>
                      <w:color w:val="auto"/>
                    </w:rPr>
                  </w:pPr>
                  <w:r>
                    <w:rPr>
                      <w:rFonts w:hint="eastAsia"/>
                      <w:color w:val="auto"/>
                    </w:rPr>
                    <w:t>新增废水直排的污水集中处理厂</w:t>
                  </w:r>
                </w:p>
              </w:tc>
              <w:tc>
                <w:tcPr>
                  <w:tcW w:w="2179" w:type="pct"/>
                  <w:vAlign w:val="center"/>
                </w:tcPr>
                <w:p w14:paraId="35B3ADB2">
                  <w:pPr>
                    <w:pStyle w:val="21"/>
                    <w:keepNext w:val="0"/>
                    <w:keepLines w:val="0"/>
                    <w:suppressLineNumbers w:val="0"/>
                    <w:bidi w:val="0"/>
                    <w:spacing w:before="0" w:beforeAutospacing="0" w:after="0" w:afterAutospacing="0"/>
                    <w:ind w:left="0" w:right="0"/>
                    <w:rPr>
                      <w:rFonts w:hint="default"/>
                      <w:color w:val="auto"/>
                    </w:rPr>
                  </w:pPr>
                  <w:r>
                    <w:rPr>
                      <w:rFonts w:hint="eastAsia"/>
                      <w:color w:val="auto"/>
                    </w:rPr>
                    <w:t>本项目不直接排放工业废水，不属于污水集中处理厂，不需设置地表水专项评价。</w:t>
                  </w:r>
                </w:p>
              </w:tc>
            </w:tr>
            <w:tr w14:paraId="275CA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pct"/>
                  <w:vAlign w:val="center"/>
                </w:tcPr>
                <w:p w14:paraId="3B0EBF52">
                  <w:pPr>
                    <w:pStyle w:val="21"/>
                    <w:keepNext w:val="0"/>
                    <w:keepLines w:val="0"/>
                    <w:suppressLineNumbers w:val="0"/>
                    <w:bidi w:val="0"/>
                    <w:spacing w:before="0" w:beforeAutospacing="0" w:after="0" w:afterAutospacing="0"/>
                    <w:ind w:left="0" w:right="0"/>
                    <w:rPr>
                      <w:rFonts w:hint="default"/>
                      <w:color w:val="auto"/>
                    </w:rPr>
                  </w:pPr>
                  <w:r>
                    <w:rPr>
                      <w:rFonts w:hint="eastAsia"/>
                      <w:color w:val="auto"/>
                    </w:rPr>
                    <w:t>环境风险</w:t>
                  </w:r>
                </w:p>
              </w:tc>
              <w:tc>
                <w:tcPr>
                  <w:tcW w:w="2444" w:type="pct"/>
                  <w:vAlign w:val="center"/>
                </w:tcPr>
                <w:p w14:paraId="3FCE7386">
                  <w:pPr>
                    <w:pStyle w:val="21"/>
                    <w:keepNext w:val="0"/>
                    <w:keepLines w:val="0"/>
                    <w:suppressLineNumbers w:val="0"/>
                    <w:bidi w:val="0"/>
                    <w:spacing w:before="0" w:beforeAutospacing="0" w:after="0" w:afterAutospacing="0"/>
                    <w:ind w:left="0" w:right="0"/>
                    <w:rPr>
                      <w:rFonts w:hint="default"/>
                      <w:color w:val="auto"/>
                    </w:rPr>
                  </w:pPr>
                  <w:r>
                    <w:rPr>
                      <w:rFonts w:hint="eastAsia"/>
                      <w:color w:val="auto"/>
                    </w:rPr>
                    <w:t>有毒有害和易燃易爆危险物质存储量超过临界量</w:t>
                  </w:r>
                  <w:r>
                    <w:rPr>
                      <w:rFonts w:hint="default"/>
                      <w:color w:val="auto"/>
                      <w:vertAlign w:val="superscript"/>
                    </w:rPr>
                    <w:t>3</w:t>
                  </w:r>
                  <w:r>
                    <w:rPr>
                      <w:rFonts w:hint="default"/>
                      <w:color w:val="auto"/>
                    </w:rPr>
                    <w:t>的建设项目</w:t>
                  </w:r>
                </w:p>
              </w:tc>
              <w:tc>
                <w:tcPr>
                  <w:tcW w:w="2179" w:type="pct"/>
                  <w:vAlign w:val="center"/>
                </w:tcPr>
                <w:p w14:paraId="6E32A123">
                  <w:pPr>
                    <w:pStyle w:val="21"/>
                    <w:keepNext w:val="0"/>
                    <w:keepLines w:val="0"/>
                    <w:suppressLineNumbers w:val="0"/>
                    <w:bidi w:val="0"/>
                    <w:spacing w:before="0" w:beforeAutospacing="0" w:after="0" w:afterAutospacing="0"/>
                    <w:ind w:left="0" w:right="0"/>
                    <w:rPr>
                      <w:rFonts w:hint="default"/>
                      <w:color w:val="auto"/>
                    </w:rPr>
                  </w:pPr>
                  <w:r>
                    <w:rPr>
                      <w:rFonts w:hint="eastAsia"/>
                      <w:color w:val="auto"/>
                    </w:rPr>
                    <w:t>本项目有毒有害和易燃易爆危险物质存储量低于临界量（详细分析见“主要环境影响和保护措施章节-环境风险-环境风险”章节），不需要设置环境风险专项评价。</w:t>
                  </w:r>
                </w:p>
              </w:tc>
            </w:tr>
            <w:tr w14:paraId="6A3C7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pct"/>
                  <w:vAlign w:val="center"/>
                </w:tcPr>
                <w:p w14:paraId="66F1A98B">
                  <w:pPr>
                    <w:pStyle w:val="21"/>
                    <w:keepNext w:val="0"/>
                    <w:keepLines w:val="0"/>
                    <w:suppressLineNumbers w:val="0"/>
                    <w:bidi w:val="0"/>
                    <w:spacing w:before="0" w:beforeAutospacing="0" w:after="0" w:afterAutospacing="0"/>
                    <w:ind w:left="0" w:right="0"/>
                    <w:rPr>
                      <w:rFonts w:hint="default"/>
                      <w:color w:val="auto"/>
                    </w:rPr>
                  </w:pPr>
                  <w:r>
                    <w:rPr>
                      <w:rFonts w:hint="eastAsia"/>
                      <w:color w:val="auto"/>
                    </w:rPr>
                    <w:t>生态</w:t>
                  </w:r>
                </w:p>
              </w:tc>
              <w:tc>
                <w:tcPr>
                  <w:tcW w:w="2444" w:type="pct"/>
                  <w:vAlign w:val="center"/>
                </w:tcPr>
                <w:p w14:paraId="20987031">
                  <w:pPr>
                    <w:pStyle w:val="21"/>
                    <w:keepNext w:val="0"/>
                    <w:keepLines w:val="0"/>
                    <w:suppressLineNumbers w:val="0"/>
                    <w:bidi w:val="0"/>
                    <w:spacing w:before="0" w:beforeAutospacing="0" w:after="0" w:afterAutospacing="0"/>
                    <w:ind w:left="0" w:right="0"/>
                    <w:rPr>
                      <w:rFonts w:hint="default"/>
                      <w:color w:val="auto"/>
                    </w:rPr>
                  </w:pPr>
                  <w:r>
                    <w:rPr>
                      <w:rFonts w:hint="eastAsia"/>
                      <w:color w:val="auto"/>
                    </w:rPr>
                    <w:t>取水口下游</w:t>
                  </w:r>
                  <w:r>
                    <w:rPr>
                      <w:rFonts w:hint="default"/>
                      <w:color w:val="auto"/>
                    </w:rPr>
                    <w:t>500米范围内有重要水生生物的自然产卵场、索饵场、越冬场和</w:t>
                  </w:r>
                </w:p>
                <w:p w14:paraId="6002240B">
                  <w:pPr>
                    <w:pStyle w:val="21"/>
                    <w:keepNext w:val="0"/>
                    <w:keepLines w:val="0"/>
                    <w:suppressLineNumbers w:val="0"/>
                    <w:bidi w:val="0"/>
                    <w:spacing w:before="0" w:beforeAutospacing="0" w:after="0" w:afterAutospacing="0"/>
                    <w:ind w:left="0" w:right="0"/>
                    <w:rPr>
                      <w:rFonts w:hint="default"/>
                      <w:color w:val="auto"/>
                    </w:rPr>
                  </w:pPr>
                  <w:r>
                    <w:rPr>
                      <w:rFonts w:hint="eastAsia"/>
                      <w:color w:val="auto"/>
                    </w:rPr>
                    <w:t>洄游通道的新增河道取水的污染类建设项目</w:t>
                  </w:r>
                </w:p>
              </w:tc>
              <w:tc>
                <w:tcPr>
                  <w:tcW w:w="2179" w:type="pct"/>
                  <w:vAlign w:val="center"/>
                </w:tcPr>
                <w:p w14:paraId="4D2D9F13">
                  <w:pPr>
                    <w:pStyle w:val="21"/>
                    <w:keepNext w:val="0"/>
                    <w:keepLines w:val="0"/>
                    <w:suppressLineNumbers w:val="0"/>
                    <w:bidi w:val="0"/>
                    <w:spacing w:before="0" w:beforeAutospacing="0" w:after="0" w:afterAutospacing="0"/>
                    <w:ind w:left="0" w:right="0"/>
                    <w:rPr>
                      <w:rFonts w:hint="default"/>
                      <w:color w:val="auto"/>
                    </w:rPr>
                  </w:pPr>
                  <w:r>
                    <w:rPr>
                      <w:rFonts w:hint="eastAsia"/>
                      <w:color w:val="auto"/>
                    </w:rPr>
                    <w:t>本项目用水来源于区域自来水管网，不新增河道取水，不需设置生态专项评价。</w:t>
                  </w:r>
                </w:p>
              </w:tc>
            </w:tr>
            <w:tr w14:paraId="45958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7" w:type="pct"/>
                  <w:vAlign w:val="center"/>
                </w:tcPr>
                <w:p w14:paraId="61982665">
                  <w:pPr>
                    <w:pStyle w:val="21"/>
                    <w:keepNext w:val="0"/>
                    <w:keepLines w:val="0"/>
                    <w:suppressLineNumbers w:val="0"/>
                    <w:bidi w:val="0"/>
                    <w:spacing w:before="0" w:beforeAutospacing="0" w:after="0" w:afterAutospacing="0"/>
                    <w:ind w:left="0" w:right="0"/>
                    <w:rPr>
                      <w:rFonts w:hint="default"/>
                      <w:color w:val="auto"/>
                    </w:rPr>
                  </w:pPr>
                  <w:r>
                    <w:rPr>
                      <w:rFonts w:hint="eastAsia"/>
                      <w:color w:val="auto"/>
                    </w:rPr>
                    <w:t>海洋</w:t>
                  </w:r>
                </w:p>
              </w:tc>
              <w:tc>
                <w:tcPr>
                  <w:tcW w:w="2444" w:type="pct"/>
                  <w:vAlign w:val="center"/>
                </w:tcPr>
                <w:p w14:paraId="2505DD1D">
                  <w:pPr>
                    <w:pStyle w:val="21"/>
                    <w:keepNext w:val="0"/>
                    <w:keepLines w:val="0"/>
                    <w:suppressLineNumbers w:val="0"/>
                    <w:bidi w:val="0"/>
                    <w:spacing w:before="0" w:beforeAutospacing="0" w:after="0" w:afterAutospacing="0"/>
                    <w:ind w:left="0" w:right="0"/>
                    <w:rPr>
                      <w:rFonts w:hint="default"/>
                      <w:color w:val="auto"/>
                    </w:rPr>
                  </w:pPr>
                  <w:r>
                    <w:rPr>
                      <w:rFonts w:hint="eastAsia"/>
                      <w:color w:val="auto"/>
                    </w:rPr>
                    <w:t>直接向海排放污染物的海洋工程建设项目。</w:t>
                  </w:r>
                </w:p>
              </w:tc>
              <w:tc>
                <w:tcPr>
                  <w:tcW w:w="2179" w:type="pct"/>
                  <w:vAlign w:val="center"/>
                </w:tcPr>
                <w:p w14:paraId="6D007501">
                  <w:pPr>
                    <w:pStyle w:val="21"/>
                    <w:keepNext w:val="0"/>
                    <w:keepLines w:val="0"/>
                    <w:suppressLineNumbers w:val="0"/>
                    <w:bidi w:val="0"/>
                    <w:spacing w:before="0" w:beforeAutospacing="0" w:after="0" w:afterAutospacing="0"/>
                    <w:ind w:left="0" w:right="0"/>
                    <w:rPr>
                      <w:rFonts w:hint="default"/>
                      <w:color w:val="auto"/>
                    </w:rPr>
                  </w:pPr>
                  <w:r>
                    <w:rPr>
                      <w:rFonts w:hint="eastAsia"/>
                      <w:color w:val="auto"/>
                    </w:rPr>
                    <w:t>本项目地处内陆，不向海洋排放污染物，不需设置海洋专项评价。</w:t>
                  </w:r>
                </w:p>
              </w:tc>
            </w:tr>
          </w:tbl>
          <w:p w14:paraId="16251942">
            <w:pPr>
              <w:pStyle w:val="35"/>
              <w:keepNext w:val="0"/>
              <w:keepLines w:val="0"/>
              <w:suppressLineNumbers w:val="0"/>
              <w:spacing w:before="0" w:beforeAutospacing="0" w:after="0" w:afterAutospacing="0" w:line="360" w:lineRule="auto"/>
              <w:ind w:left="0" w:right="0"/>
              <w:jc w:val="both"/>
              <w:rPr>
                <w:rFonts w:hint="default" w:ascii="Times New Roman" w:hAnsi="Times New Roman"/>
                <w:b/>
                <w:bCs/>
                <w:color w:val="auto"/>
                <w:sz w:val="21"/>
                <w:szCs w:val="16"/>
              </w:rPr>
            </w:pPr>
            <w:r>
              <w:rPr>
                <w:rFonts w:hint="eastAsia" w:ascii="Times New Roman" w:hAnsi="Times New Roman"/>
                <w:b/>
                <w:bCs/>
                <w:color w:val="auto"/>
                <w:sz w:val="21"/>
                <w:szCs w:val="16"/>
              </w:rPr>
              <w:t>注：</w:t>
            </w:r>
            <w:r>
              <w:rPr>
                <w:rFonts w:hint="default" w:ascii="Times New Roman" w:hAnsi="Times New Roman"/>
                <w:b/>
                <w:bCs/>
                <w:color w:val="auto"/>
                <w:sz w:val="21"/>
                <w:szCs w:val="16"/>
              </w:rPr>
              <w:t>1.废气中有毒有害污染物指纳入《有毒有害大气污染物名录》的污染物（不包括无排放标准</w:t>
            </w:r>
            <w:r>
              <w:rPr>
                <w:rFonts w:hint="eastAsia" w:ascii="Times New Roman" w:hAnsi="Times New Roman"/>
                <w:b/>
                <w:bCs/>
                <w:color w:val="auto"/>
                <w:sz w:val="21"/>
                <w:szCs w:val="16"/>
              </w:rPr>
              <w:t>的污染物）。</w:t>
            </w:r>
          </w:p>
          <w:p w14:paraId="3A24B1E2">
            <w:pPr>
              <w:pStyle w:val="35"/>
              <w:keepNext w:val="0"/>
              <w:keepLines w:val="0"/>
              <w:suppressLineNumbers w:val="0"/>
              <w:spacing w:before="0" w:beforeAutospacing="0" w:after="0" w:afterAutospacing="0" w:line="360" w:lineRule="auto"/>
              <w:ind w:left="0" w:right="0"/>
              <w:jc w:val="both"/>
              <w:rPr>
                <w:rFonts w:hint="default" w:ascii="Times New Roman" w:hAnsi="Times New Roman"/>
                <w:b/>
                <w:bCs/>
                <w:color w:val="auto"/>
                <w:sz w:val="21"/>
                <w:szCs w:val="16"/>
              </w:rPr>
            </w:pPr>
            <w:r>
              <w:rPr>
                <w:rFonts w:hint="default" w:ascii="Times New Roman" w:hAnsi="Times New Roman"/>
                <w:b/>
                <w:bCs/>
                <w:color w:val="auto"/>
                <w:sz w:val="21"/>
                <w:szCs w:val="16"/>
              </w:rPr>
              <w:t>2.环境空气保护目标指自然保护区、风景名胜区、居住区、文化区和农村地区中人群较集中</w:t>
            </w:r>
            <w:r>
              <w:rPr>
                <w:rFonts w:hint="eastAsia" w:ascii="Times New Roman" w:hAnsi="Times New Roman"/>
                <w:b/>
                <w:bCs/>
                <w:color w:val="auto"/>
                <w:sz w:val="21"/>
                <w:szCs w:val="16"/>
              </w:rPr>
              <w:t>的区域。</w:t>
            </w:r>
          </w:p>
          <w:p w14:paraId="1EBF1CB0">
            <w:pPr>
              <w:pStyle w:val="35"/>
              <w:keepNext w:val="0"/>
              <w:keepLines w:val="0"/>
              <w:suppressLineNumbers w:val="0"/>
              <w:spacing w:before="0" w:beforeAutospacing="0" w:after="0" w:afterAutospacing="0" w:line="360" w:lineRule="auto"/>
              <w:ind w:left="0" w:right="0"/>
              <w:jc w:val="both"/>
              <w:rPr>
                <w:rFonts w:hint="default" w:ascii="Times New Roman" w:hAnsi="Times New Roman"/>
                <w:b/>
                <w:bCs/>
                <w:color w:val="auto"/>
                <w:sz w:val="21"/>
                <w:szCs w:val="16"/>
              </w:rPr>
            </w:pPr>
            <w:r>
              <w:rPr>
                <w:rFonts w:hint="default" w:ascii="Times New Roman" w:hAnsi="Times New Roman"/>
                <w:b/>
                <w:bCs/>
                <w:color w:val="auto"/>
                <w:sz w:val="21"/>
                <w:szCs w:val="16"/>
              </w:rPr>
              <w:t>3.临界量及其计算方法可参考《建设项目环境风险评价技术导则》（HJ169）附录B、附录C。</w:t>
            </w:r>
          </w:p>
          <w:p w14:paraId="73A165AC">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eastAsia="zh-CN"/>
              </w:rPr>
            </w:pPr>
            <w:r>
              <w:rPr>
                <w:rFonts w:hint="eastAsia" w:ascii="Times New Roman" w:hAnsi="Times New Roman"/>
                <w:color w:val="auto"/>
                <w:sz w:val="24"/>
              </w:rPr>
              <w:t>综上，本项目不需设置专项评价。</w:t>
            </w:r>
          </w:p>
        </w:tc>
      </w:tr>
      <w:tr w14:paraId="5DA017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16" w:type="dxa"/>
            <w:tcMar>
              <w:top w:w="16" w:type="dxa"/>
              <w:left w:w="16" w:type="dxa"/>
              <w:right w:w="16" w:type="dxa"/>
            </w:tcMar>
            <w:vAlign w:val="center"/>
          </w:tcPr>
          <w:p w14:paraId="05BF4E8E">
            <w:pPr>
              <w:pStyle w:val="29"/>
              <w:keepNext w:val="0"/>
              <w:keepLines w:val="0"/>
              <w:suppressLineNumbers w:val="0"/>
              <w:spacing w:before="0" w:beforeAutospacing="0" w:after="0" w:afterAutospacing="0"/>
              <w:ind w:left="0" w:right="0"/>
              <w:rPr>
                <w:rFonts w:hint="eastAsia" w:ascii="Times New Roman" w:hAnsi="Times New Roman" w:eastAsia="宋体"/>
                <w:color w:val="auto"/>
                <w:highlight w:val="none"/>
                <w:lang w:eastAsia="zh-CN"/>
              </w:rPr>
            </w:pPr>
          </w:p>
        </w:tc>
        <w:tc>
          <w:tcPr>
            <w:tcW w:w="6716" w:type="dxa"/>
            <w:gridSpan w:val="3"/>
            <w:vAlign w:val="center"/>
          </w:tcPr>
          <w:p w14:paraId="173541B4">
            <w:pPr>
              <w:keepNext w:val="0"/>
              <w:keepLines w:val="0"/>
              <w:suppressLineNumbers w:val="0"/>
              <w:spacing w:before="0" w:beforeAutospacing="0" w:after="0" w:afterAutospacing="0"/>
              <w:ind w:left="0" w:right="0" w:firstLine="0" w:firstLineChars="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规划名称：《江宁经济技术开发区总体发展规划（2020—2035年）》</w:t>
            </w:r>
          </w:p>
          <w:p w14:paraId="71265EFE">
            <w:pPr>
              <w:keepNext w:val="0"/>
              <w:keepLines w:val="0"/>
              <w:suppressLineNumbers w:val="0"/>
              <w:spacing w:before="0" w:beforeAutospacing="0" w:after="0" w:afterAutospacing="0"/>
              <w:ind w:left="0" w:right="0" w:firstLine="0" w:firstLineChars="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审查机关：/</w:t>
            </w:r>
          </w:p>
          <w:p w14:paraId="681736D9">
            <w:pPr>
              <w:keepNext w:val="0"/>
              <w:keepLines w:val="0"/>
              <w:suppressLineNumbers w:val="0"/>
              <w:spacing w:before="0" w:beforeAutospacing="0" w:after="0" w:afterAutospacing="0"/>
              <w:ind w:left="0" w:right="0" w:firstLine="0" w:firstLineChars="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审查文件名称及文号：/</w:t>
            </w:r>
          </w:p>
        </w:tc>
      </w:tr>
      <w:tr w14:paraId="4BF5AC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16" w:type="dxa"/>
            <w:tcMar>
              <w:top w:w="16" w:type="dxa"/>
              <w:left w:w="16" w:type="dxa"/>
              <w:right w:w="16" w:type="dxa"/>
            </w:tcMar>
            <w:vAlign w:val="center"/>
          </w:tcPr>
          <w:p w14:paraId="61AC761D">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规划环境影响</w:t>
            </w:r>
          </w:p>
          <w:p w14:paraId="303C2D00">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评价情况</w:t>
            </w:r>
          </w:p>
        </w:tc>
        <w:tc>
          <w:tcPr>
            <w:tcW w:w="6716" w:type="dxa"/>
            <w:gridSpan w:val="3"/>
            <w:vAlign w:val="center"/>
          </w:tcPr>
          <w:p w14:paraId="0F971326">
            <w:pPr>
              <w:keepNext w:val="0"/>
              <w:keepLines w:val="0"/>
              <w:suppressLineNumbers w:val="0"/>
              <w:spacing w:before="0" w:beforeAutospacing="0" w:after="0" w:afterAutospacing="0"/>
              <w:ind w:left="0" w:right="0" w:firstLine="0" w:firstLineChars="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规划环境影响评价文件名称：《江宁经济技术开发区总体发展规划（2020—2035年）环境影响报告书》</w:t>
            </w:r>
          </w:p>
          <w:p w14:paraId="31C64A7C">
            <w:pPr>
              <w:keepNext w:val="0"/>
              <w:keepLines w:val="0"/>
              <w:suppressLineNumbers w:val="0"/>
              <w:spacing w:before="0" w:beforeAutospacing="0" w:after="0" w:afterAutospacing="0"/>
              <w:ind w:left="0" w:right="0" w:firstLine="0" w:firstLineChars="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审查机关：中华人民共和国生态环境部</w:t>
            </w:r>
          </w:p>
          <w:p w14:paraId="1F243AEF">
            <w:pPr>
              <w:keepNext w:val="0"/>
              <w:keepLines w:val="0"/>
              <w:suppressLineNumbers w:val="0"/>
              <w:spacing w:before="0" w:beforeAutospacing="0" w:after="0" w:afterAutospacing="0"/>
              <w:ind w:left="0" w:right="0" w:firstLine="0" w:firstLineChars="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审查文件名称及文号：环审</w:t>
            </w:r>
            <w:r>
              <w:rPr>
                <w:rFonts w:hint="eastAsia" w:ascii="Times New Roman" w:hAnsi="Times New Roman" w:eastAsia="宋体"/>
                <w:color w:val="auto"/>
                <w:highlight w:val="none"/>
                <w:lang w:val="en-US" w:eastAsia="zh-CN"/>
              </w:rPr>
              <w:t>〔2022〕46号</w:t>
            </w:r>
          </w:p>
        </w:tc>
      </w:tr>
      <w:tr w14:paraId="54E3A4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20" w:hRule="atLeast"/>
          <w:jc w:val="center"/>
        </w:trPr>
        <w:tc>
          <w:tcPr>
            <w:tcW w:w="1616" w:type="dxa"/>
            <w:tcMar>
              <w:top w:w="16" w:type="dxa"/>
              <w:left w:w="16" w:type="dxa"/>
              <w:right w:w="16" w:type="dxa"/>
            </w:tcMar>
            <w:vAlign w:val="center"/>
          </w:tcPr>
          <w:p w14:paraId="2AD57424">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规划及规划环境影响评价符合性分析</w:t>
            </w:r>
          </w:p>
        </w:tc>
        <w:tc>
          <w:tcPr>
            <w:tcW w:w="6716" w:type="dxa"/>
            <w:gridSpan w:val="3"/>
            <w:vAlign w:val="center"/>
          </w:tcPr>
          <w:p w14:paraId="59D55C9F">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1、与规划相符性分析</w:t>
            </w:r>
          </w:p>
          <w:p w14:paraId="694F2DE7">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（1）产业发展规划</w:t>
            </w:r>
          </w:p>
          <w:p w14:paraId="1DA0F792">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根据《江宁经济技术开发区总体发展规划（2020—2035年）》，江宁经济技术开发区规划范围：东至青龙山－大连山，东南至汤铜公路，南至禄口新城、城市三环，西至吉山及吉山水库，和牛首山、祖堂山沿线，北至秦淮新河、东山老城和上坊地区，规划总面积348.7平方公里。</w:t>
            </w:r>
          </w:p>
          <w:p w14:paraId="43467128">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规划期限：</w:t>
            </w:r>
            <w:r>
              <w:rPr>
                <w:rFonts w:hint="eastAsia" w:ascii="Times New Roman" w:hAnsi="Times New Roman" w:eastAsia="宋体"/>
                <w:color w:val="auto"/>
                <w:highlight w:val="none"/>
                <w:lang w:val="en-US"/>
              </w:rPr>
              <w:t>2020—2035</w:t>
            </w:r>
            <w:r>
              <w:rPr>
                <w:rFonts w:hint="default" w:ascii="Times New Roman" w:hAnsi="Times New Roman" w:eastAsia="宋体"/>
                <w:color w:val="auto"/>
                <w:highlight w:val="none"/>
                <w:lang w:val="en-US"/>
              </w:rPr>
              <w:t>年，其中规划近期至2025年，远期至2035年。</w:t>
            </w:r>
          </w:p>
          <w:p w14:paraId="7FE389AF">
            <w:pPr>
              <w:keepNext w:val="0"/>
              <w:keepLines w:val="0"/>
              <w:suppressLineNumbers w:val="0"/>
              <w:spacing w:before="0" w:beforeAutospacing="0" w:after="0" w:afterAutospacing="0"/>
              <w:ind w:left="0" w:right="0" w:firstLine="480"/>
              <w:rPr>
                <w:rFonts w:hint="default"/>
                <w:color w:val="auto"/>
                <w:highlight w:val="none"/>
                <w:lang w:val="en-US"/>
              </w:rPr>
            </w:pPr>
            <w:r>
              <w:rPr>
                <w:rFonts w:hint="eastAsia"/>
                <w:color w:val="auto"/>
                <w:highlight w:val="none"/>
                <w:lang w:val="en-US"/>
              </w:rPr>
              <w:t>产业发展方向：</w:t>
            </w:r>
            <w:r>
              <w:rPr>
                <w:rFonts w:hint="eastAsia"/>
                <w:b/>
                <w:bCs/>
                <w:color w:val="auto"/>
                <w:highlight w:val="none"/>
                <w:lang w:val="en-US"/>
              </w:rPr>
              <w:t>禄口空港片区主导产业方向：</w:t>
            </w:r>
            <w:r>
              <w:rPr>
                <w:rFonts w:hint="eastAsia"/>
                <w:color w:val="auto"/>
                <w:highlight w:val="none"/>
                <w:lang w:val="en-US"/>
              </w:rPr>
              <w:t>航空及其配套产业、航空制造业、临空高科技产业等。</w:t>
            </w:r>
            <w:r>
              <w:rPr>
                <w:rFonts w:hint="eastAsia"/>
                <w:b/>
                <w:bCs/>
                <w:color w:val="auto"/>
                <w:highlight w:val="none"/>
                <w:lang w:val="en-US"/>
              </w:rPr>
              <w:t>重点发展：</w:t>
            </w:r>
            <w:r>
              <w:rPr>
                <w:rFonts w:hint="eastAsia"/>
                <w:color w:val="auto"/>
                <w:highlight w:val="none"/>
                <w:lang w:val="en-US"/>
              </w:rPr>
              <w:t>航空制造、航空维修等。</w:t>
            </w:r>
          </w:p>
          <w:p w14:paraId="61B9286C">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color w:val="auto"/>
                <w:highlight w:val="none"/>
                <w:lang w:val="en-US"/>
              </w:rPr>
              <w:t>本项目位于</w:t>
            </w:r>
            <w:r>
              <w:rPr>
                <w:rFonts w:hint="default" w:ascii="Times New Roman" w:hAnsi="Times New Roman" w:eastAsia="宋体"/>
                <w:color w:val="auto"/>
                <w:highlight w:val="none"/>
              </w:rPr>
              <w:t>南京江宁区空港工业园东西京路以东、双塘路以南（吴歌路36号）</w:t>
            </w:r>
            <w:r>
              <w:rPr>
                <w:rFonts w:hint="eastAsia" w:ascii="Times New Roman" w:hAnsi="Times New Roman" w:eastAsia="宋体"/>
                <w:color w:val="auto"/>
                <w:highlight w:val="none"/>
              </w:rPr>
              <w:t>，</w:t>
            </w:r>
            <w:r>
              <w:rPr>
                <w:rFonts w:hint="eastAsia" w:ascii="Times New Roman" w:hAnsi="Times New Roman" w:eastAsia="宋体"/>
                <w:color w:val="auto"/>
                <w:highlight w:val="none"/>
                <w:lang w:val="en-US"/>
              </w:rPr>
              <w:t>属于江宁经济技术开发区</w:t>
            </w:r>
            <w:r>
              <w:rPr>
                <w:rFonts w:hint="eastAsia"/>
                <w:color w:val="auto"/>
                <w:highlight w:val="none"/>
                <w:lang w:val="en-US" w:eastAsia="zh-CN"/>
              </w:rPr>
              <w:t>空港</w:t>
            </w:r>
            <w:r>
              <w:rPr>
                <w:rFonts w:hint="eastAsia" w:ascii="Times New Roman" w:hAnsi="Times New Roman" w:eastAsia="宋体"/>
                <w:color w:val="auto"/>
                <w:highlight w:val="none"/>
                <w:lang w:val="en-US"/>
              </w:rPr>
              <w:t>片区，项目主要从事</w:t>
            </w:r>
            <w:r>
              <w:rPr>
                <w:rFonts w:hint="eastAsia" w:ascii="Times New Roman" w:hAnsi="Times New Roman" w:eastAsia="宋体"/>
                <w:color w:val="auto"/>
                <w:highlight w:val="none"/>
              </w:rPr>
              <w:t>瓶装纯净水生产</w:t>
            </w:r>
            <w:r>
              <w:rPr>
                <w:rFonts w:hint="eastAsia" w:ascii="Times New Roman" w:hAnsi="Times New Roman" w:eastAsia="宋体"/>
                <w:color w:val="auto"/>
                <w:highlight w:val="none"/>
                <w:lang w:val="en-US"/>
              </w:rPr>
              <w:t>，属于</w:t>
            </w:r>
            <w:r>
              <w:rPr>
                <w:rFonts w:hint="eastAsia"/>
                <w:color w:val="auto"/>
                <w:highlight w:val="none"/>
                <w:lang w:val="en-US" w:eastAsia="zh-CN"/>
              </w:rPr>
              <w:t>C1522</w:t>
            </w:r>
            <w:r>
              <w:rPr>
                <w:rFonts w:hint="eastAsia" w:ascii="Times New Roman" w:hAnsi="Times New Roman" w:eastAsia="宋体"/>
                <w:color w:val="auto"/>
                <w:highlight w:val="none"/>
                <w:lang w:val="en-US"/>
              </w:rPr>
              <w:t>瓶（罐）装饮用水制造，对照江宁经济技术开发区生态环境准入清单，本项目不属于其中限制、禁止发展产业，因此属于允许发展类产业，本项目符合江宁经济技术开发区产业发展规划。本项目与园区准入条件对照分析情况见下表：</w:t>
            </w:r>
          </w:p>
          <w:p w14:paraId="17509439">
            <w:pPr>
              <w:pStyle w:val="23"/>
              <w:keepNext w:val="0"/>
              <w:keepLines w:val="0"/>
              <w:suppressLineNumbers w:val="0"/>
              <w:spacing w:before="0" w:beforeAutospacing="0" w:after="0" w:afterAutospacing="0"/>
              <w:ind w:left="0" w:right="0"/>
              <w:rPr>
                <w:rFonts w:ascii="Times New Roman" w:hAnsi="Times New Roman" w:eastAsia="宋体"/>
                <w:color w:val="auto"/>
                <w:highlight w:val="none"/>
              </w:rPr>
            </w:pPr>
            <w:r>
              <w:rPr>
                <w:rFonts w:ascii="Times New Roman" w:hAnsi="Times New Roman" w:eastAsia="宋体"/>
                <w:color w:val="auto"/>
                <w:highlight w:val="none"/>
              </w:rPr>
              <w:t>表1-1本项目与园区产业准入条件相符性分析</w:t>
            </w:r>
          </w:p>
          <w:tbl>
            <w:tblPr>
              <w:tblStyle w:val="30"/>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669"/>
              <w:gridCol w:w="516"/>
              <w:gridCol w:w="503"/>
              <w:gridCol w:w="4152"/>
              <w:gridCol w:w="820"/>
            </w:tblGrid>
            <w:tr w14:paraId="3B86587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2" w:type="dxa"/>
                  <w:tcBorders>
                    <w:tl2br w:val="nil"/>
                    <w:tr2bl w:val="nil"/>
                  </w:tcBorders>
                  <w:vAlign w:val="center"/>
                </w:tcPr>
                <w:p w14:paraId="3EA125EC">
                  <w:pPr>
                    <w:pStyle w:val="21"/>
                    <w:bidi w:val="0"/>
                    <w:rPr>
                      <w:b/>
                      <w:bCs/>
                      <w:color w:val="auto"/>
                    </w:rPr>
                  </w:pPr>
                  <w:r>
                    <w:rPr>
                      <w:b/>
                      <w:bCs/>
                      <w:color w:val="auto"/>
                    </w:rPr>
                    <w:t>产业片区名称</w:t>
                  </w:r>
                </w:p>
              </w:tc>
              <w:tc>
                <w:tcPr>
                  <w:tcW w:w="518" w:type="dxa"/>
                  <w:tcBorders>
                    <w:tl2br w:val="nil"/>
                    <w:tr2bl w:val="nil"/>
                  </w:tcBorders>
                  <w:vAlign w:val="center"/>
                </w:tcPr>
                <w:p w14:paraId="25ACAD21">
                  <w:pPr>
                    <w:pStyle w:val="21"/>
                    <w:bidi w:val="0"/>
                    <w:rPr>
                      <w:b/>
                      <w:bCs/>
                      <w:color w:val="auto"/>
                    </w:rPr>
                  </w:pPr>
                  <w:r>
                    <w:rPr>
                      <w:rFonts w:hint="eastAsia"/>
                      <w:b/>
                      <w:bCs/>
                      <w:color w:val="auto"/>
                      <w:lang w:val="en-US"/>
                    </w:rPr>
                    <w:t>准入</w:t>
                  </w:r>
                  <w:r>
                    <w:rPr>
                      <w:b/>
                      <w:bCs/>
                      <w:color w:val="auto"/>
                    </w:rPr>
                    <w:t>类别</w:t>
                  </w:r>
                </w:p>
              </w:tc>
              <w:tc>
                <w:tcPr>
                  <w:tcW w:w="4677" w:type="dxa"/>
                  <w:gridSpan w:val="2"/>
                  <w:tcBorders>
                    <w:tl2br w:val="nil"/>
                    <w:tr2bl w:val="nil"/>
                  </w:tcBorders>
                  <w:vAlign w:val="center"/>
                </w:tcPr>
                <w:p w14:paraId="615D99B1">
                  <w:pPr>
                    <w:pStyle w:val="21"/>
                    <w:bidi w:val="0"/>
                    <w:rPr>
                      <w:b/>
                      <w:bCs/>
                      <w:color w:val="auto"/>
                    </w:rPr>
                  </w:pPr>
                  <w:r>
                    <w:rPr>
                      <w:b/>
                      <w:bCs/>
                      <w:color w:val="auto"/>
                    </w:rPr>
                    <w:t>要求</w:t>
                  </w:r>
                </w:p>
              </w:tc>
              <w:tc>
                <w:tcPr>
                  <w:tcW w:w="824" w:type="dxa"/>
                  <w:tcBorders>
                    <w:tl2br w:val="nil"/>
                    <w:tr2bl w:val="nil"/>
                  </w:tcBorders>
                  <w:vAlign w:val="center"/>
                </w:tcPr>
                <w:p w14:paraId="2122D4AA">
                  <w:pPr>
                    <w:pStyle w:val="21"/>
                    <w:bidi w:val="0"/>
                    <w:rPr>
                      <w:b/>
                      <w:bCs/>
                      <w:color w:val="auto"/>
                    </w:rPr>
                  </w:pPr>
                  <w:r>
                    <w:rPr>
                      <w:b/>
                      <w:bCs/>
                      <w:color w:val="auto"/>
                    </w:rPr>
                    <w:t>本项目情况</w:t>
                  </w:r>
                </w:p>
              </w:tc>
            </w:tr>
            <w:tr w14:paraId="03F1357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2" w:type="dxa"/>
                  <w:vMerge w:val="restart"/>
                  <w:tcBorders>
                    <w:tl2br w:val="nil"/>
                    <w:tr2bl w:val="nil"/>
                  </w:tcBorders>
                  <w:vAlign w:val="center"/>
                </w:tcPr>
                <w:p w14:paraId="6ACCCBDA">
                  <w:pPr>
                    <w:pStyle w:val="21"/>
                    <w:rPr>
                      <w:rFonts w:hint="eastAsia"/>
                      <w:color w:val="auto"/>
                      <w:highlight w:val="none"/>
                    </w:rPr>
                  </w:pPr>
                  <w:r>
                    <w:rPr>
                      <w:rFonts w:hint="eastAsia"/>
                      <w:color w:val="auto"/>
                      <w:highlight w:val="none"/>
                    </w:rPr>
                    <w:t>禄口空港片区</w:t>
                  </w:r>
                </w:p>
              </w:tc>
              <w:tc>
                <w:tcPr>
                  <w:tcW w:w="518" w:type="dxa"/>
                  <w:vMerge w:val="restart"/>
                  <w:tcBorders>
                    <w:tl2br w:val="nil"/>
                    <w:tr2bl w:val="nil"/>
                  </w:tcBorders>
                  <w:vAlign w:val="center"/>
                </w:tcPr>
                <w:p w14:paraId="31D86781">
                  <w:pPr>
                    <w:pStyle w:val="21"/>
                    <w:rPr>
                      <w:color w:val="auto"/>
                      <w:highlight w:val="none"/>
                    </w:rPr>
                  </w:pPr>
                  <w:r>
                    <w:rPr>
                      <w:rFonts w:hint="eastAsia"/>
                      <w:color w:val="auto"/>
                      <w:highlight w:val="none"/>
                    </w:rPr>
                    <w:t>主导产业发展方向</w:t>
                  </w:r>
                </w:p>
              </w:tc>
              <w:tc>
                <w:tcPr>
                  <w:tcW w:w="4677" w:type="dxa"/>
                  <w:gridSpan w:val="2"/>
                  <w:tcBorders>
                    <w:tl2br w:val="nil"/>
                    <w:tr2bl w:val="nil"/>
                  </w:tcBorders>
                  <w:vAlign w:val="center"/>
                </w:tcPr>
                <w:p w14:paraId="0988E8A4">
                  <w:pPr>
                    <w:pStyle w:val="21"/>
                    <w:rPr>
                      <w:color w:val="auto"/>
                      <w:highlight w:val="none"/>
                    </w:rPr>
                  </w:pPr>
                  <w:r>
                    <w:rPr>
                      <w:rFonts w:hint="eastAsia"/>
                      <w:color w:val="auto"/>
                      <w:highlight w:val="none"/>
                    </w:rPr>
                    <w:t>航空及其配套产业、航空制造业、航空维修、临空高科技产业等</w:t>
                  </w:r>
                </w:p>
              </w:tc>
              <w:tc>
                <w:tcPr>
                  <w:tcW w:w="824" w:type="dxa"/>
                  <w:vMerge w:val="restart"/>
                  <w:tcBorders>
                    <w:tl2br w:val="nil"/>
                    <w:tr2bl w:val="nil"/>
                  </w:tcBorders>
                  <w:vAlign w:val="center"/>
                </w:tcPr>
                <w:p w14:paraId="4B30936D">
                  <w:pPr>
                    <w:pStyle w:val="21"/>
                    <w:rPr>
                      <w:color w:val="auto"/>
                      <w:highlight w:val="none"/>
                      <w:lang w:val="en-US"/>
                    </w:rPr>
                  </w:pPr>
                  <w:r>
                    <w:rPr>
                      <w:rFonts w:hint="eastAsia" w:ascii="Times New Roman" w:hAnsi="Times New Roman" w:eastAsia="宋体"/>
                      <w:color w:val="auto"/>
                      <w:highlight w:val="none"/>
                    </w:rPr>
                    <w:t>本项目</w:t>
                  </w:r>
                  <w:r>
                    <w:rPr>
                      <w:rFonts w:hint="eastAsia" w:ascii="Times New Roman" w:hAnsi="Times New Roman" w:eastAsia="宋体"/>
                      <w:color w:val="auto"/>
                      <w:highlight w:val="none"/>
                      <w:lang w:val="en-US"/>
                    </w:rPr>
                    <w:t>从事</w:t>
                  </w:r>
                  <w:r>
                    <w:rPr>
                      <w:rFonts w:hint="eastAsia" w:ascii="Times New Roman" w:hAnsi="Times New Roman" w:eastAsia="宋体"/>
                      <w:color w:val="auto"/>
                      <w:highlight w:val="none"/>
                    </w:rPr>
                    <w:t>瓶装纯净水生产</w:t>
                  </w:r>
                  <w:r>
                    <w:rPr>
                      <w:rFonts w:hint="eastAsia" w:ascii="Times New Roman" w:hAnsi="Times New Roman" w:eastAsia="宋体"/>
                      <w:color w:val="auto"/>
                      <w:highlight w:val="none"/>
                      <w:lang w:val="en-US"/>
                    </w:rPr>
                    <w:t>，属于</w:t>
                  </w:r>
                  <w:r>
                    <w:rPr>
                      <w:rFonts w:hint="eastAsia"/>
                      <w:color w:val="auto"/>
                      <w:highlight w:val="none"/>
                      <w:lang w:val="en-US" w:eastAsia="zh-CN"/>
                    </w:rPr>
                    <w:t>C1522</w:t>
                  </w:r>
                  <w:r>
                    <w:rPr>
                      <w:rFonts w:hint="eastAsia" w:ascii="Times New Roman" w:hAnsi="Times New Roman" w:eastAsia="宋体"/>
                      <w:color w:val="auto"/>
                      <w:highlight w:val="none"/>
                      <w:lang w:val="en-US"/>
                    </w:rPr>
                    <w:t>瓶（罐）装饮用水制造</w:t>
                  </w:r>
                  <w:r>
                    <w:rPr>
                      <w:rFonts w:hint="eastAsia" w:ascii="Times New Roman" w:hAnsi="Times New Roman"/>
                      <w:color w:val="auto"/>
                      <w:highlight w:val="none"/>
                      <w:lang w:val="en-US" w:eastAsia="zh-CN"/>
                    </w:rPr>
                    <w:t>行业</w:t>
                  </w:r>
                  <w:r>
                    <w:rPr>
                      <w:rFonts w:hint="eastAsia" w:ascii="Times New Roman" w:hAnsi="Times New Roman" w:eastAsia="宋体"/>
                      <w:color w:val="auto"/>
                      <w:highlight w:val="none"/>
                    </w:rPr>
                    <w:t>，</w:t>
                  </w:r>
                  <w:r>
                    <w:rPr>
                      <w:rFonts w:hint="eastAsia"/>
                      <w:color w:val="auto"/>
                      <w:highlight w:val="none"/>
                      <w:lang w:val="en-US" w:eastAsia="zh-CN"/>
                    </w:rPr>
                    <w:t>运营期使用的油墨属于低VOCs含量油墨，使用的清洗剂不含VOCs成分</w:t>
                  </w:r>
                  <w:r>
                    <w:rPr>
                      <w:rFonts w:hint="eastAsia"/>
                      <w:color w:val="auto"/>
                      <w:highlight w:val="none"/>
                      <w:lang w:eastAsia="zh-CN"/>
                    </w:rPr>
                    <w:t>，</w:t>
                  </w:r>
                  <w:r>
                    <w:rPr>
                      <w:rFonts w:hint="eastAsia" w:ascii="Times New Roman" w:hAnsi="Times New Roman" w:eastAsia="宋体"/>
                      <w:color w:val="auto"/>
                      <w:highlight w:val="none"/>
                      <w:lang w:val="en-US" w:eastAsia="zh-CN"/>
                    </w:rPr>
                    <w:t>既</w:t>
                  </w:r>
                  <w:r>
                    <w:rPr>
                      <w:rFonts w:hint="eastAsia" w:ascii="Times New Roman" w:hAnsi="Times New Roman" w:eastAsia="宋体"/>
                      <w:color w:val="auto"/>
                      <w:highlight w:val="none"/>
                      <w:lang w:val="en-US"/>
                    </w:rPr>
                    <w:t>不属于主导产业发展方向项目，也不属于限制、禁止发展产业，属于</w:t>
                  </w:r>
                  <w:r>
                    <w:rPr>
                      <w:rFonts w:hint="eastAsia"/>
                      <w:color w:val="auto"/>
                      <w:highlight w:val="none"/>
                      <w:lang w:val="en-US" w:eastAsia="zh-CN"/>
                    </w:rPr>
                    <w:t>允许</w:t>
                  </w:r>
                  <w:r>
                    <w:rPr>
                      <w:rFonts w:hint="eastAsia" w:ascii="Times New Roman" w:hAnsi="Times New Roman" w:eastAsia="宋体"/>
                      <w:color w:val="auto"/>
                      <w:highlight w:val="none"/>
                      <w:lang w:val="en-US"/>
                    </w:rPr>
                    <w:t>进入项目，符合要求。</w:t>
                  </w:r>
                </w:p>
              </w:tc>
            </w:tr>
            <w:tr w14:paraId="1949473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2" w:type="dxa"/>
                  <w:vMerge w:val="continue"/>
                  <w:tcBorders>
                    <w:tl2br w:val="nil"/>
                    <w:tr2bl w:val="nil"/>
                  </w:tcBorders>
                  <w:vAlign w:val="center"/>
                </w:tcPr>
                <w:p w14:paraId="173232A1">
                  <w:pPr>
                    <w:pStyle w:val="21"/>
                    <w:rPr>
                      <w:color w:val="auto"/>
                      <w:highlight w:val="none"/>
                    </w:rPr>
                  </w:pPr>
                </w:p>
              </w:tc>
              <w:tc>
                <w:tcPr>
                  <w:tcW w:w="518" w:type="dxa"/>
                  <w:vMerge w:val="continue"/>
                  <w:tcBorders>
                    <w:tl2br w:val="nil"/>
                    <w:tr2bl w:val="nil"/>
                  </w:tcBorders>
                  <w:vAlign w:val="center"/>
                </w:tcPr>
                <w:p w14:paraId="51C50D78">
                  <w:pPr>
                    <w:pStyle w:val="21"/>
                    <w:rPr>
                      <w:color w:val="auto"/>
                      <w:highlight w:val="none"/>
                    </w:rPr>
                  </w:pPr>
                </w:p>
              </w:tc>
              <w:tc>
                <w:tcPr>
                  <w:tcW w:w="505" w:type="dxa"/>
                  <w:tcBorders>
                    <w:tl2br w:val="nil"/>
                    <w:tr2bl w:val="nil"/>
                  </w:tcBorders>
                  <w:vAlign w:val="center"/>
                </w:tcPr>
                <w:p w14:paraId="5BF919E9">
                  <w:pPr>
                    <w:pStyle w:val="21"/>
                    <w:rPr>
                      <w:rFonts w:hint="default" w:eastAsia="宋体"/>
                      <w:color w:val="auto"/>
                      <w:highlight w:val="none"/>
                      <w:lang w:val="en-US" w:eastAsia="zh-CN"/>
                    </w:rPr>
                  </w:pPr>
                  <w:r>
                    <w:rPr>
                      <w:rFonts w:hint="eastAsia"/>
                      <w:color w:val="auto"/>
                      <w:highlight w:val="none"/>
                      <w:lang w:val="en-US" w:eastAsia="zh-CN"/>
                    </w:rPr>
                    <w:t>重点发展</w:t>
                  </w:r>
                </w:p>
              </w:tc>
              <w:tc>
                <w:tcPr>
                  <w:tcW w:w="4172" w:type="dxa"/>
                  <w:tcBorders>
                    <w:tl2br w:val="nil"/>
                    <w:tr2bl w:val="nil"/>
                  </w:tcBorders>
                  <w:vAlign w:val="center"/>
                </w:tcPr>
                <w:p w14:paraId="7D0647FD">
                  <w:pPr>
                    <w:pStyle w:val="21"/>
                    <w:jc w:val="both"/>
                    <w:rPr>
                      <w:rFonts w:hint="eastAsia"/>
                      <w:b w:val="0"/>
                      <w:bCs w:val="0"/>
                      <w:color w:val="auto"/>
                      <w:highlight w:val="none"/>
                    </w:rPr>
                  </w:pPr>
                  <w:r>
                    <w:rPr>
                      <w:rFonts w:hint="eastAsia"/>
                      <w:b/>
                      <w:bCs/>
                      <w:color w:val="auto"/>
                      <w:highlight w:val="none"/>
                    </w:rPr>
                    <w:t>航空制造：</w:t>
                  </w:r>
                  <w:r>
                    <w:rPr>
                      <w:rFonts w:hint="eastAsia"/>
                      <w:b w:val="0"/>
                      <w:bCs w:val="0"/>
                      <w:color w:val="auto"/>
                      <w:highlight w:val="none"/>
                    </w:rPr>
                    <w:t>围绕航空发动机、机电、飞控、航电系统、飞行器设计、航空材料、MRO及客改货等重点产业环节，促进产业高端化发展，掌握一批关键核心技术，积极争取进入大飞机、航空发动机等国家战略项目。引导拓展附加值高的部件、发动机、复合材料维修和客舱翻新、客改货、公务机改装等业务，建设公共机修平台，发展航空制造、航空维修等，支持发展航空总部基地、航空培训、航空维修、航空金融等领域发展。</w:t>
                  </w:r>
                </w:p>
                <w:p w14:paraId="17A1FF1F">
                  <w:pPr>
                    <w:pStyle w:val="21"/>
                    <w:jc w:val="both"/>
                    <w:rPr>
                      <w:rFonts w:hint="eastAsia"/>
                      <w:b w:val="0"/>
                      <w:bCs w:val="0"/>
                      <w:color w:val="auto"/>
                      <w:highlight w:val="none"/>
                    </w:rPr>
                  </w:pPr>
                  <w:r>
                    <w:rPr>
                      <w:rFonts w:hint="eastAsia"/>
                      <w:b/>
                      <w:bCs/>
                      <w:color w:val="auto"/>
                      <w:highlight w:val="none"/>
                    </w:rPr>
                    <w:t>临空高科技产业：</w:t>
                  </w:r>
                  <w:r>
                    <w:rPr>
                      <w:rFonts w:hint="eastAsia"/>
                      <w:b w:val="0"/>
                      <w:bCs w:val="0"/>
                      <w:color w:val="auto"/>
                      <w:highlight w:val="none"/>
                    </w:rPr>
                    <w:t>加强空港产业资源整合，依托重点龙头项目，发展电子通信、高端医疗器械、生命大健康、智能制造等临空指向性强、高技术密集度、高附加值的高端制造业。</w:t>
                  </w:r>
                </w:p>
                <w:p w14:paraId="2E09CEF8">
                  <w:pPr>
                    <w:pStyle w:val="21"/>
                    <w:jc w:val="both"/>
                    <w:rPr>
                      <w:rFonts w:hint="eastAsia"/>
                      <w:b w:val="0"/>
                      <w:bCs w:val="0"/>
                      <w:color w:val="auto"/>
                      <w:highlight w:val="none"/>
                    </w:rPr>
                  </w:pPr>
                  <w:r>
                    <w:rPr>
                      <w:rFonts w:hint="eastAsia"/>
                      <w:b w:val="0"/>
                      <w:bCs w:val="0"/>
                      <w:color w:val="auto"/>
                      <w:highlight w:val="none"/>
                    </w:rPr>
                    <w:t>其中生命大健康产业重点发展：先进生物医药产品和影像设备、植介入、影像设备、植介入器械、医疗机器人、体外诊断设备和配套试剂、高值耗材等高端医疗器械。</w:t>
                  </w:r>
                </w:p>
              </w:tc>
              <w:tc>
                <w:tcPr>
                  <w:tcW w:w="824" w:type="dxa"/>
                  <w:vMerge w:val="continue"/>
                  <w:tcBorders>
                    <w:tl2br w:val="nil"/>
                    <w:tr2bl w:val="nil"/>
                  </w:tcBorders>
                  <w:vAlign w:val="center"/>
                </w:tcPr>
                <w:p w14:paraId="509FD6DE">
                  <w:pPr>
                    <w:pStyle w:val="21"/>
                    <w:rPr>
                      <w:color w:val="auto"/>
                      <w:highlight w:val="none"/>
                    </w:rPr>
                  </w:pPr>
                </w:p>
              </w:tc>
            </w:tr>
            <w:tr w14:paraId="3989D21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72" w:type="dxa"/>
                  <w:vMerge w:val="continue"/>
                  <w:tcBorders>
                    <w:tl2br w:val="nil"/>
                    <w:tr2bl w:val="nil"/>
                  </w:tcBorders>
                  <w:vAlign w:val="center"/>
                </w:tcPr>
                <w:p w14:paraId="0DC05B88">
                  <w:pPr>
                    <w:pStyle w:val="21"/>
                    <w:rPr>
                      <w:color w:val="auto"/>
                      <w:highlight w:val="none"/>
                    </w:rPr>
                  </w:pPr>
                </w:p>
              </w:tc>
              <w:tc>
                <w:tcPr>
                  <w:tcW w:w="518" w:type="dxa"/>
                  <w:tcBorders>
                    <w:tl2br w:val="nil"/>
                    <w:tr2bl w:val="nil"/>
                  </w:tcBorders>
                  <w:vAlign w:val="center"/>
                </w:tcPr>
                <w:p w14:paraId="14D37EEE">
                  <w:pPr>
                    <w:pStyle w:val="21"/>
                    <w:rPr>
                      <w:color w:val="auto"/>
                      <w:highlight w:val="none"/>
                    </w:rPr>
                  </w:pPr>
                  <w:r>
                    <w:rPr>
                      <w:rFonts w:hint="eastAsia"/>
                      <w:color w:val="auto"/>
                      <w:highlight w:val="none"/>
                    </w:rPr>
                    <w:t>限制、禁止发展产业清单</w:t>
                  </w:r>
                </w:p>
              </w:tc>
              <w:tc>
                <w:tcPr>
                  <w:tcW w:w="4677" w:type="dxa"/>
                  <w:gridSpan w:val="2"/>
                  <w:tcBorders>
                    <w:tl2br w:val="nil"/>
                    <w:tr2bl w:val="nil"/>
                  </w:tcBorders>
                  <w:vAlign w:val="center"/>
                </w:tcPr>
                <w:p w14:paraId="7B495BF0">
                  <w:pPr>
                    <w:pStyle w:val="21"/>
                    <w:jc w:val="both"/>
                    <w:rPr>
                      <w:rFonts w:hint="eastAsia"/>
                      <w:color w:val="auto"/>
                      <w:highlight w:val="none"/>
                    </w:rPr>
                  </w:pPr>
                  <w:r>
                    <w:rPr>
                      <w:rFonts w:hint="eastAsia"/>
                      <w:color w:val="auto"/>
                      <w:highlight w:val="none"/>
                      <w:lang w:eastAsia="zh-CN"/>
                    </w:rPr>
                    <w:t>（</w:t>
                  </w:r>
                  <w:r>
                    <w:rPr>
                      <w:rFonts w:hint="eastAsia"/>
                      <w:color w:val="auto"/>
                      <w:highlight w:val="none"/>
                    </w:rPr>
                    <w:t>1</w:t>
                  </w:r>
                  <w:r>
                    <w:rPr>
                      <w:rFonts w:hint="eastAsia"/>
                      <w:color w:val="auto"/>
                      <w:highlight w:val="none"/>
                      <w:lang w:eastAsia="zh-CN"/>
                    </w:rPr>
                    <w:t>）</w:t>
                  </w:r>
                  <w:r>
                    <w:rPr>
                      <w:rFonts w:hint="eastAsia"/>
                      <w:color w:val="auto"/>
                      <w:highlight w:val="none"/>
                    </w:rPr>
                    <w:t>航空制造：禁止新</w:t>
                  </w:r>
                  <w:r>
                    <w:rPr>
                      <w:rFonts w:hint="eastAsia"/>
                      <w:color w:val="auto"/>
                      <w:highlight w:val="none"/>
                      <w:lang w:eastAsia="zh-CN"/>
                    </w:rPr>
                    <w:t>（</w:t>
                  </w:r>
                  <w:r>
                    <w:rPr>
                      <w:rFonts w:hint="eastAsia"/>
                      <w:color w:val="auto"/>
                      <w:highlight w:val="none"/>
                    </w:rPr>
                    <w:t>扩</w:t>
                  </w:r>
                  <w:r>
                    <w:rPr>
                      <w:rFonts w:hint="eastAsia"/>
                      <w:color w:val="auto"/>
                      <w:highlight w:val="none"/>
                      <w:lang w:eastAsia="zh-CN"/>
                    </w:rPr>
                    <w:t>）</w:t>
                  </w:r>
                  <w:r>
                    <w:rPr>
                      <w:rFonts w:hint="eastAsia"/>
                      <w:color w:val="auto"/>
                      <w:highlight w:val="none"/>
                    </w:rPr>
                    <w:t>建电镀项目，确属工艺需要、不能剥离电镀工序的项目，需由环保部门会同经济主管部门组织专家技术论证，通过专家论证同意后方可审批建设。</w:t>
                  </w:r>
                </w:p>
                <w:p w14:paraId="3A1EA6B3">
                  <w:pPr>
                    <w:pStyle w:val="21"/>
                    <w:jc w:val="both"/>
                    <w:rPr>
                      <w:rFonts w:hint="eastAsia"/>
                      <w:color w:val="auto"/>
                      <w:highlight w:val="none"/>
                    </w:rPr>
                  </w:pPr>
                  <w:r>
                    <w:rPr>
                      <w:rFonts w:hint="eastAsia"/>
                      <w:color w:val="auto"/>
                      <w:highlight w:val="none"/>
                      <w:lang w:eastAsia="zh-CN"/>
                    </w:rPr>
                    <w:t>（</w:t>
                  </w:r>
                  <w:r>
                    <w:rPr>
                      <w:rFonts w:hint="eastAsia"/>
                      <w:color w:val="auto"/>
                      <w:highlight w:val="none"/>
                    </w:rPr>
                    <w:t>2</w:t>
                  </w:r>
                  <w:r>
                    <w:rPr>
                      <w:rFonts w:hint="eastAsia"/>
                      <w:color w:val="auto"/>
                      <w:highlight w:val="none"/>
                      <w:lang w:eastAsia="zh-CN"/>
                    </w:rPr>
                    <w:t>）</w:t>
                  </w:r>
                  <w:r>
                    <w:rPr>
                      <w:rFonts w:hint="eastAsia"/>
                      <w:color w:val="auto"/>
                      <w:highlight w:val="none"/>
                    </w:rPr>
                    <w:t>临空高科技产业：根据淳化-湖熟片区和江南主城东山片区同类型产业准入要求执行。</w:t>
                  </w:r>
                </w:p>
                <w:p w14:paraId="251DFA01">
                  <w:pPr>
                    <w:pStyle w:val="21"/>
                    <w:jc w:val="both"/>
                    <w:rPr>
                      <w:rFonts w:hint="eastAsia"/>
                      <w:color w:val="auto"/>
                      <w:highlight w:val="none"/>
                    </w:rPr>
                  </w:pPr>
                  <w:r>
                    <w:rPr>
                      <w:rFonts w:hint="eastAsia"/>
                      <w:color w:val="auto"/>
                      <w:highlight w:val="none"/>
                      <w:lang w:eastAsia="zh-CN"/>
                    </w:rPr>
                    <w:t>（</w:t>
                  </w:r>
                  <w:r>
                    <w:rPr>
                      <w:rFonts w:hint="eastAsia"/>
                      <w:color w:val="auto"/>
                      <w:highlight w:val="none"/>
                    </w:rPr>
                    <w:t>3</w:t>
                  </w:r>
                  <w:r>
                    <w:rPr>
                      <w:rFonts w:hint="eastAsia"/>
                      <w:color w:val="auto"/>
                      <w:highlight w:val="none"/>
                      <w:lang w:eastAsia="zh-CN"/>
                    </w:rPr>
                    <w:t>）</w:t>
                  </w:r>
                  <w:r>
                    <w:rPr>
                      <w:rFonts w:hint="eastAsia"/>
                      <w:color w:val="auto"/>
                      <w:highlight w:val="none"/>
                    </w:rPr>
                    <w:t>禁止新</w:t>
                  </w:r>
                  <w:r>
                    <w:rPr>
                      <w:rFonts w:hint="eastAsia"/>
                      <w:color w:val="auto"/>
                      <w:highlight w:val="none"/>
                      <w:lang w:eastAsia="zh-CN"/>
                    </w:rPr>
                    <w:t>（</w:t>
                  </w:r>
                  <w:r>
                    <w:rPr>
                      <w:rFonts w:hint="eastAsia"/>
                      <w:color w:val="auto"/>
                      <w:highlight w:val="none"/>
                    </w:rPr>
                    <w:t>扩</w:t>
                  </w:r>
                  <w:r>
                    <w:rPr>
                      <w:rFonts w:hint="eastAsia"/>
                      <w:color w:val="auto"/>
                      <w:highlight w:val="none"/>
                      <w:lang w:eastAsia="zh-CN"/>
                    </w:rPr>
                    <w:t>）</w:t>
                  </w:r>
                  <w:r>
                    <w:rPr>
                      <w:rFonts w:hint="eastAsia"/>
                      <w:color w:val="auto"/>
                      <w:highlight w:val="none"/>
                    </w:rPr>
                    <w:t>建酿造、制革等水污染重的项目，禁止新</w:t>
                  </w:r>
                  <w:r>
                    <w:rPr>
                      <w:rFonts w:hint="eastAsia"/>
                      <w:color w:val="auto"/>
                      <w:highlight w:val="none"/>
                      <w:lang w:eastAsia="zh-CN"/>
                    </w:rPr>
                    <w:t>（</w:t>
                  </w:r>
                  <w:r>
                    <w:rPr>
                      <w:rFonts w:hint="eastAsia"/>
                      <w:color w:val="auto"/>
                      <w:highlight w:val="none"/>
                    </w:rPr>
                    <w:t>扩</w:t>
                  </w:r>
                  <w:r>
                    <w:rPr>
                      <w:rFonts w:hint="eastAsia"/>
                      <w:color w:val="auto"/>
                      <w:highlight w:val="none"/>
                      <w:lang w:eastAsia="zh-CN"/>
                    </w:rPr>
                    <w:t>）</w:t>
                  </w:r>
                  <w:r>
                    <w:rPr>
                      <w:rFonts w:hint="eastAsia"/>
                      <w:color w:val="auto"/>
                      <w:highlight w:val="none"/>
                    </w:rPr>
                    <w:t>建工业生产废水排水量大于1000吨/日的项目。</w:t>
                  </w:r>
                </w:p>
                <w:p w14:paraId="2B94ADF1">
                  <w:pPr>
                    <w:pStyle w:val="21"/>
                    <w:jc w:val="both"/>
                    <w:rPr>
                      <w:rFonts w:hint="eastAsia"/>
                      <w:color w:val="auto"/>
                      <w:highlight w:val="none"/>
                    </w:rPr>
                  </w:pPr>
                  <w:r>
                    <w:rPr>
                      <w:rFonts w:hint="eastAsia"/>
                      <w:color w:val="auto"/>
                      <w:highlight w:val="none"/>
                      <w:lang w:eastAsia="zh-CN"/>
                    </w:rPr>
                    <w:t>（</w:t>
                  </w:r>
                  <w:r>
                    <w:rPr>
                      <w:rFonts w:hint="eastAsia"/>
                      <w:color w:val="auto"/>
                      <w:highlight w:val="none"/>
                    </w:rPr>
                    <w:t>4</w:t>
                  </w:r>
                  <w:r>
                    <w:rPr>
                      <w:rFonts w:hint="eastAsia"/>
                      <w:color w:val="auto"/>
                      <w:highlight w:val="none"/>
                      <w:lang w:eastAsia="zh-CN"/>
                    </w:rPr>
                    <w:t>）</w:t>
                  </w:r>
                  <w:r>
                    <w:rPr>
                      <w:rFonts w:hint="eastAsia"/>
                      <w:color w:val="auto"/>
                      <w:highlight w:val="none"/>
                    </w:rPr>
                    <w:t>禁止新</w:t>
                  </w:r>
                  <w:r>
                    <w:rPr>
                      <w:rFonts w:hint="eastAsia"/>
                      <w:color w:val="auto"/>
                      <w:highlight w:val="none"/>
                      <w:lang w:eastAsia="zh-CN"/>
                    </w:rPr>
                    <w:t>（</w:t>
                  </w:r>
                  <w:r>
                    <w:rPr>
                      <w:rFonts w:hint="eastAsia"/>
                      <w:color w:val="auto"/>
                      <w:highlight w:val="none"/>
                    </w:rPr>
                    <w:t>扩</w:t>
                  </w:r>
                  <w:r>
                    <w:rPr>
                      <w:rFonts w:hint="eastAsia"/>
                      <w:color w:val="auto"/>
                      <w:highlight w:val="none"/>
                      <w:lang w:eastAsia="zh-CN"/>
                    </w:rPr>
                    <w:t>）</w:t>
                  </w:r>
                  <w:r>
                    <w:rPr>
                      <w:rFonts w:hint="eastAsia"/>
                      <w:color w:val="auto"/>
                      <w:highlight w:val="none"/>
                    </w:rPr>
                    <w:t>建排放含汞、砷、镉、铬、铅等重金属以及持久性有机污染物的工业项目。</w:t>
                  </w:r>
                </w:p>
                <w:p w14:paraId="499D9B82">
                  <w:pPr>
                    <w:pStyle w:val="21"/>
                    <w:jc w:val="both"/>
                    <w:rPr>
                      <w:rFonts w:hint="eastAsia"/>
                      <w:color w:val="auto"/>
                      <w:highlight w:val="none"/>
                    </w:rPr>
                  </w:pPr>
                  <w:r>
                    <w:rPr>
                      <w:rFonts w:hint="eastAsia"/>
                      <w:color w:val="auto"/>
                      <w:highlight w:val="none"/>
                      <w:lang w:eastAsia="zh-CN"/>
                    </w:rPr>
                    <w:t>（</w:t>
                  </w:r>
                  <w:r>
                    <w:rPr>
                      <w:rFonts w:hint="eastAsia"/>
                      <w:color w:val="auto"/>
                      <w:highlight w:val="none"/>
                    </w:rPr>
                    <w:t>5</w:t>
                  </w:r>
                  <w:r>
                    <w:rPr>
                      <w:rFonts w:hint="eastAsia"/>
                      <w:color w:val="auto"/>
                      <w:highlight w:val="none"/>
                      <w:lang w:eastAsia="zh-CN"/>
                    </w:rPr>
                    <w:t>）</w:t>
                  </w:r>
                  <w:r>
                    <w:rPr>
                      <w:rFonts w:hint="eastAsia"/>
                      <w:color w:val="auto"/>
                      <w:highlight w:val="none"/>
                    </w:rPr>
                    <w:t>禁止建设生产和使用高VOCs含量的溶剂型涂料、油墨、胶粘剂等项目。</w:t>
                  </w:r>
                </w:p>
                <w:p w14:paraId="49351E99">
                  <w:pPr>
                    <w:pStyle w:val="21"/>
                    <w:jc w:val="both"/>
                    <w:rPr>
                      <w:rFonts w:hint="eastAsia"/>
                      <w:color w:val="auto"/>
                      <w:highlight w:val="none"/>
                    </w:rPr>
                  </w:pPr>
                  <w:r>
                    <w:rPr>
                      <w:rFonts w:hint="eastAsia"/>
                      <w:color w:val="auto"/>
                      <w:highlight w:val="none"/>
                      <w:lang w:eastAsia="zh-CN"/>
                    </w:rPr>
                    <w:t>（</w:t>
                  </w:r>
                  <w:r>
                    <w:rPr>
                      <w:rFonts w:hint="eastAsia"/>
                      <w:color w:val="auto"/>
                      <w:highlight w:val="none"/>
                    </w:rPr>
                    <w:t>6</w:t>
                  </w:r>
                  <w:r>
                    <w:rPr>
                      <w:rFonts w:hint="eastAsia"/>
                      <w:color w:val="auto"/>
                      <w:highlight w:val="none"/>
                      <w:lang w:eastAsia="zh-CN"/>
                    </w:rPr>
                    <w:t>）</w:t>
                  </w:r>
                  <w:r>
                    <w:rPr>
                      <w:rFonts w:hint="eastAsia"/>
                      <w:color w:val="auto"/>
                      <w:highlight w:val="none"/>
                    </w:rPr>
                    <w:t>禁止引入燃用高污染燃料的项目和设施。</w:t>
                  </w:r>
                </w:p>
              </w:tc>
              <w:tc>
                <w:tcPr>
                  <w:tcW w:w="824" w:type="dxa"/>
                  <w:vMerge w:val="continue"/>
                  <w:tcBorders>
                    <w:tl2br w:val="nil"/>
                    <w:tr2bl w:val="nil"/>
                  </w:tcBorders>
                  <w:vAlign w:val="center"/>
                </w:tcPr>
                <w:p w14:paraId="77E03870">
                  <w:pPr>
                    <w:pStyle w:val="21"/>
                    <w:rPr>
                      <w:color w:val="auto"/>
                      <w:highlight w:val="none"/>
                    </w:rPr>
                  </w:pPr>
                </w:p>
              </w:tc>
            </w:tr>
          </w:tbl>
          <w:p w14:paraId="62AAB768">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2）用地相符性分析</w:t>
            </w:r>
          </w:p>
          <w:p w14:paraId="4A4AF1E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根据</w:t>
            </w:r>
            <w:r>
              <w:rPr>
                <w:rFonts w:hint="eastAsia" w:ascii="Times New Roman" w:hAnsi="Times New Roman" w:eastAsia="宋体"/>
                <w:color w:val="auto"/>
                <w:highlight w:val="none"/>
                <w:lang w:val="en-US" w:eastAsia="zh-CN"/>
              </w:rPr>
              <w:t>建设单位提供的不动产权证及</w:t>
            </w:r>
            <w:r>
              <w:rPr>
                <w:rFonts w:hint="eastAsia" w:ascii="Times New Roman" w:hAnsi="Times New Roman" w:eastAsia="宋体"/>
                <w:color w:val="auto"/>
                <w:highlight w:val="none"/>
                <w:lang w:val="en-US"/>
              </w:rPr>
              <w:t>江宁经济技术开发区总体发展规划（2020—2035年）近期、远期用地规划，本项目</w:t>
            </w:r>
            <w:r>
              <w:rPr>
                <w:rFonts w:hint="eastAsia" w:ascii="Times New Roman" w:hAnsi="Times New Roman" w:eastAsia="宋体"/>
                <w:color w:val="auto"/>
                <w:highlight w:val="none"/>
                <w:lang w:val="en-US" w:eastAsia="zh-CN"/>
              </w:rPr>
              <w:t>所在厂区用地性质为工业用地，本项目建设符合用地规划要求</w:t>
            </w:r>
            <w:r>
              <w:rPr>
                <w:rFonts w:hint="eastAsia" w:ascii="Times New Roman" w:hAnsi="Times New Roman" w:eastAsia="宋体"/>
                <w:color w:val="auto"/>
                <w:highlight w:val="none"/>
                <w:lang w:val="en-US"/>
              </w:rPr>
              <w:t>。江宁经济技术开发区近期土地利用规划图见附图</w:t>
            </w:r>
            <w:r>
              <w:rPr>
                <w:rFonts w:hint="eastAsia" w:ascii="Times New Roman" w:hAnsi="Times New Roman" w:eastAsia="宋体"/>
                <w:color w:val="auto"/>
                <w:highlight w:val="none"/>
                <w:lang w:val="en-US" w:eastAsia="zh-CN"/>
              </w:rPr>
              <w:t>6</w:t>
            </w:r>
            <w:r>
              <w:rPr>
                <w:rFonts w:hint="eastAsia" w:ascii="Times New Roman" w:hAnsi="Times New Roman" w:eastAsia="宋体"/>
                <w:color w:val="auto"/>
                <w:highlight w:val="none"/>
                <w:lang w:val="en-US"/>
              </w:rPr>
              <w:t>，江宁经济技术开发区远期土地利用规划图见附图</w:t>
            </w:r>
            <w:r>
              <w:rPr>
                <w:rFonts w:hint="eastAsia" w:ascii="Times New Roman" w:hAnsi="Times New Roman" w:eastAsia="宋体"/>
                <w:color w:val="auto"/>
                <w:highlight w:val="none"/>
                <w:lang w:val="en-US" w:eastAsia="zh-CN"/>
              </w:rPr>
              <w:t>7</w:t>
            </w:r>
            <w:r>
              <w:rPr>
                <w:rFonts w:hint="eastAsia" w:ascii="Times New Roman" w:hAnsi="Times New Roman" w:eastAsia="宋体"/>
                <w:color w:val="auto"/>
                <w:highlight w:val="none"/>
                <w:lang w:val="en-US"/>
              </w:rPr>
              <w:t>。</w:t>
            </w:r>
          </w:p>
          <w:p w14:paraId="382E7AE4">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2、与开发区生态环境准入清单相符性分析</w:t>
            </w:r>
          </w:p>
          <w:p w14:paraId="6A2D461B">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本项目与开发区生态环境准入清单相符性分析见下表：</w:t>
            </w:r>
          </w:p>
          <w:p w14:paraId="65E76C5F">
            <w:pPr>
              <w:pStyle w:val="23"/>
              <w:keepNext w:val="0"/>
              <w:keepLines w:val="0"/>
              <w:suppressLineNumbers w:val="0"/>
              <w:spacing w:before="0" w:beforeAutospacing="0" w:after="0" w:afterAutospacing="0"/>
              <w:ind w:left="0" w:right="0"/>
              <w:rPr>
                <w:rFonts w:ascii="Times New Roman" w:hAnsi="Times New Roman" w:eastAsia="宋体"/>
                <w:color w:val="auto"/>
                <w:highlight w:val="none"/>
              </w:rPr>
            </w:pPr>
            <w:r>
              <w:rPr>
                <w:rFonts w:ascii="Times New Roman" w:hAnsi="Times New Roman" w:eastAsia="宋体"/>
                <w:color w:val="auto"/>
                <w:highlight w:val="none"/>
              </w:rPr>
              <w:t>表1-2本项目与开发区生态环境准入清单相符性分析</w:t>
            </w:r>
          </w:p>
          <w:tbl>
            <w:tblPr>
              <w:tblStyle w:val="30"/>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503"/>
              <w:gridCol w:w="3819"/>
              <w:gridCol w:w="2338"/>
            </w:tblGrid>
            <w:tr w14:paraId="0FD411D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01" w:type="dxa"/>
                  <w:tcBorders>
                    <w:tl2br w:val="nil"/>
                    <w:tr2bl w:val="nil"/>
                  </w:tcBorders>
                  <w:vAlign w:val="center"/>
                </w:tcPr>
                <w:p w14:paraId="68B64009">
                  <w:pPr>
                    <w:pStyle w:val="21"/>
                    <w:bidi w:val="0"/>
                    <w:rPr>
                      <w:b/>
                      <w:bCs/>
                      <w:color w:val="auto"/>
                      <w:lang w:val="en-US"/>
                    </w:rPr>
                  </w:pPr>
                  <w:r>
                    <w:rPr>
                      <w:rFonts w:hint="eastAsia"/>
                      <w:b/>
                      <w:bCs/>
                      <w:color w:val="auto"/>
                      <w:lang w:val="en-US"/>
                    </w:rPr>
                    <w:t>清单类型</w:t>
                  </w:r>
                </w:p>
              </w:tc>
              <w:tc>
                <w:tcPr>
                  <w:tcW w:w="3815" w:type="dxa"/>
                  <w:tcBorders>
                    <w:tl2br w:val="nil"/>
                    <w:tr2bl w:val="nil"/>
                  </w:tcBorders>
                  <w:vAlign w:val="center"/>
                </w:tcPr>
                <w:p w14:paraId="4121C7A0">
                  <w:pPr>
                    <w:pStyle w:val="21"/>
                    <w:bidi w:val="0"/>
                    <w:rPr>
                      <w:b/>
                      <w:bCs/>
                      <w:color w:val="auto"/>
                      <w:lang w:val="en-US"/>
                    </w:rPr>
                  </w:pPr>
                  <w:r>
                    <w:rPr>
                      <w:rFonts w:hint="eastAsia"/>
                      <w:b/>
                      <w:bCs/>
                      <w:color w:val="auto"/>
                      <w:lang w:val="en-US"/>
                    </w:rPr>
                    <w:t>准入条件</w:t>
                  </w:r>
                </w:p>
              </w:tc>
              <w:tc>
                <w:tcPr>
                  <w:tcW w:w="2334" w:type="dxa"/>
                  <w:tcBorders>
                    <w:tl2br w:val="nil"/>
                    <w:tr2bl w:val="nil"/>
                  </w:tcBorders>
                  <w:vAlign w:val="center"/>
                </w:tcPr>
                <w:p w14:paraId="15F65254">
                  <w:pPr>
                    <w:pStyle w:val="21"/>
                    <w:bidi w:val="0"/>
                    <w:rPr>
                      <w:b/>
                      <w:bCs/>
                      <w:color w:val="auto"/>
                      <w:lang w:val="en-US"/>
                    </w:rPr>
                  </w:pPr>
                  <w:r>
                    <w:rPr>
                      <w:rFonts w:hint="eastAsia"/>
                      <w:b/>
                      <w:bCs/>
                      <w:color w:val="auto"/>
                      <w:lang w:val="en-US"/>
                    </w:rPr>
                    <w:t>本项目情况</w:t>
                  </w:r>
                </w:p>
              </w:tc>
            </w:tr>
            <w:tr w14:paraId="7B66976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01" w:type="dxa"/>
                  <w:tcBorders>
                    <w:tl2br w:val="nil"/>
                    <w:tr2bl w:val="nil"/>
                  </w:tcBorders>
                  <w:vAlign w:val="center"/>
                </w:tcPr>
                <w:p w14:paraId="31C65AD8">
                  <w:pPr>
                    <w:pStyle w:val="21"/>
                    <w:rPr>
                      <w:color w:val="auto"/>
                      <w:highlight w:val="none"/>
                      <w:lang w:val="en-US"/>
                    </w:rPr>
                  </w:pPr>
                  <w:r>
                    <w:rPr>
                      <w:rFonts w:hint="eastAsia"/>
                      <w:color w:val="auto"/>
                      <w:highlight w:val="none"/>
                      <w:lang w:val="en-US"/>
                    </w:rPr>
                    <w:t>环境准入基本要求</w:t>
                  </w:r>
                </w:p>
              </w:tc>
              <w:tc>
                <w:tcPr>
                  <w:tcW w:w="3815" w:type="dxa"/>
                  <w:tcBorders>
                    <w:tl2br w:val="nil"/>
                    <w:tr2bl w:val="nil"/>
                  </w:tcBorders>
                  <w:vAlign w:val="center"/>
                </w:tcPr>
                <w:p w14:paraId="4C47A583">
                  <w:pPr>
                    <w:pStyle w:val="21"/>
                    <w:rPr>
                      <w:color w:val="auto"/>
                      <w:highlight w:val="none"/>
                      <w:lang w:val="en-US"/>
                    </w:rPr>
                  </w:pPr>
                  <w:r>
                    <w:rPr>
                      <w:rFonts w:hint="eastAsia"/>
                      <w:color w:val="auto"/>
                      <w:highlight w:val="none"/>
                      <w:lang w:val="en-US"/>
                    </w:rPr>
                    <w:t>（1）引进的项目需符合国家和地方产业政策，积极引进鼓励类项目，优先引进上下游产业协同发展的项目。</w:t>
                  </w:r>
                </w:p>
                <w:p w14:paraId="1B993C72">
                  <w:pPr>
                    <w:pStyle w:val="21"/>
                    <w:rPr>
                      <w:color w:val="auto"/>
                      <w:highlight w:val="none"/>
                      <w:lang w:val="en-US"/>
                    </w:rPr>
                  </w:pPr>
                  <w:r>
                    <w:rPr>
                      <w:rFonts w:hint="eastAsia"/>
                      <w:color w:val="auto"/>
                      <w:highlight w:val="none"/>
                      <w:lang w:val="en-US"/>
                    </w:rPr>
                    <w:t>（2）引进的项目生产工艺、装备技术、清洁生产水平等应达到同行业先进水平，优先引进资源能源消耗小、污染物排放少、产品附加值高的工艺技术、产品或项目。</w:t>
                  </w:r>
                </w:p>
                <w:p w14:paraId="3551F741">
                  <w:pPr>
                    <w:pStyle w:val="21"/>
                    <w:rPr>
                      <w:color w:val="auto"/>
                      <w:highlight w:val="none"/>
                      <w:lang w:val="en-US"/>
                    </w:rPr>
                  </w:pPr>
                  <w:r>
                    <w:rPr>
                      <w:rFonts w:hint="eastAsia"/>
                      <w:color w:val="auto"/>
                      <w:highlight w:val="none"/>
                      <w:lang w:val="en-US"/>
                    </w:rPr>
                    <w:t>（2）引进的项目必须具备完善、有效的“三废”治理措施，能够实现废水、废气等污染物的稳定达标排放，保障区域环境功能区达标。</w:t>
                  </w:r>
                </w:p>
                <w:p w14:paraId="28ACE784">
                  <w:pPr>
                    <w:pStyle w:val="21"/>
                    <w:rPr>
                      <w:color w:val="auto"/>
                      <w:highlight w:val="none"/>
                      <w:lang w:val="en-US"/>
                    </w:rPr>
                  </w:pPr>
                  <w:r>
                    <w:rPr>
                      <w:rFonts w:hint="eastAsia"/>
                      <w:color w:val="auto"/>
                      <w:highlight w:val="none"/>
                      <w:lang w:val="en-US"/>
                    </w:rPr>
                    <w:t>（3）强化污染物排放强度指标约束，引进的项目污染物排放总量必须在基地允许排放总量范围内。</w:t>
                  </w:r>
                </w:p>
              </w:tc>
              <w:tc>
                <w:tcPr>
                  <w:tcW w:w="2334" w:type="dxa"/>
                  <w:tcBorders>
                    <w:tl2br w:val="nil"/>
                    <w:tr2bl w:val="nil"/>
                  </w:tcBorders>
                  <w:vAlign w:val="center"/>
                </w:tcPr>
                <w:p w14:paraId="078163BD">
                  <w:pPr>
                    <w:pStyle w:val="21"/>
                    <w:rPr>
                      <w:color w:val="auto"/>
                      <w:highlight w:val="none"/>
                      <w:lang w:val="en-US"/>
                    </w:rPr>
                  </w:pPr>
                  <w:r>
                    <w:rPr>
                      <w:rFonts w:hint="eastAsia"/>
                      <w:color w:val="auto"/>
                      <w:highlight w:val="none"/>
                      <w:lang w:val="en-US"/>
                    </w:rPr>
                    <w:t>本项目符合相关国家和地方产业政策；</w:t>
                  </w:r>
                  <w:r>
                    <w:rPr>
                      <w:rFonts w:hint="eastAsia"/>
                      <w:color w:val="auto"/>
                      <w:highlight w:val="none"/>
                      <w:lang w:val="en-US" w:eastAsia="zh-CN"/>
                    </w:rPr>
                    <w:t>采用先进生产工艺和装备</w:t>
                  </w:r>
                  <w:r>
                    <w:rPr>
                      <w:rFonts w:hint="eastAsia"/>
                      <w:color w:val="auto"/>
                      <w:highlight w:val="none"/>
                      <w:lang w:val="en-US"/>
                    </w:rPr>
                    <w:t>，</w:t>
                  </w:r>
                  <w:r>
                    <w:rPr>
                      <w:rFonts w:hint="eastAsia"/>
                      <w:color w:val="auto"/>
                      <w:highlight w:val="none"/>
                      <w:lang w:val="en-US" w:eastAsia="zh-CN"/>
                    </w:rPr>
                    <w:t>清洁生产水平</w:t>
                  </w:r>
                  <w:r>
                    <w:rPr>
                      <w:rFonts w:hint="eastAsia"/>
                      <w:color w:val="auto"/>
                      <w:highlight w:val="none"/>
                      <w:lang w:val="en-US"/>
                    </w:rPr>
                    <w:t>可达到</w:t>
                  </w:r>
                  <w:r>
                    <w:rPr>
                      <w:rFonts w:hint="eastAsia"/>
                      <w:color w:val="auto"/>
                      <w:highlight w:val="none"/>
                      <w:lang w:val="en-US" w:eastAsia="zh-CN"/>
                    </w:rPr>
                    <w:t>同行业</w:t>
                  </w:r>
                  <w:r>
                    <w:rPr>
                      <w:rFonts w:hint="eastAsia"/>
                      <w:color w:val="auto"/>
                      <w:highlight w:val="none"/>
                      <w:lang w:val="en-US"/>
                    </w:rPr>
                    <w:t>先进水平；</w:t>
                  </w:r>
                  <w:r>
                    <w:rPr>
                      <w:rFonts w:hint="eastAsia"/>
                      <w:color w:val="auto"/>
                      <w:highlight w:val="none"/>
                      <w:lang w:val="en-US" w:eastAsia="zh-CN"/>
                    </w:rPr>
                    <w:t>项目</w:t>
                  </w:r>
                  <w:r>
                    <w:rPr>
                      <w:rFonts w:hint="eastAsia"/>
                      <w:color w:val="auto"/>
                      <w:highlight w:val="none"/>
                      <w:lang w:val="en-US"/>
                    </w:rPr>
                    <w:t>三废均得到妥善处理，对区域环境影响较小；本项目</w:t>
                  </w:r>
                  <w:r>
                    <w:rPr>
                      <w:rFonts w:hint="eastAsia"/>
                      <w:color w:val="auto"/>
                      <w:highlight w:val="none"/>
                      <w:lang w:val="en-US" w:eastAsia="zh-CN"/>
                    </w:rPr>
                    <w:t>在环评报批之前</w:t>
                  </w:r>
                  <w:r>
                    <w:rPr>
                      <w:rFonts w:hint="eastAsia"/>
                      <w:color w:val="auto"/>
                      <w:highlight w:val="none"/>
                      <w:lang w:val="en-US"/>
                    </w:rPr>
                    <w:t>落实</w:t>
                  </w:r>
                  <w:r>
                    <w:rPr>
                      <w:rFonts w:hint="eastAsia"/>
                      <w:color w:val="auto"/>
                      <w:highlight w:val="none"/>
                      <w:lang w:val="en-US" w:eastAsia="zh-CN"/>
                    </w:rPr>
                    <w:t>主要</w:t>
                  </w:r>
                  <w:r>
                    <w:rPr>
                      <w:rFonts w:hint="eastAsia"/>
                      <w:color w:val="auto"/>
                      <w:highlight w:val="none"/>
                      <w:lang w:val="en-US"/>
                    </w:rPr>
                    <w:t>污染物排放总量指标；项目实施后将严格落实污染物总量控制制度。</w:t>
                  </w:r>
                </w:p>
              </w:tc>
            </w:tr>
            <w:tr w14:paraId="3E5CFD1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01" w:type="dxa"/>
                  <w:tcBorders>
                    <w:tl2br w:val="nil"/>
                    <w:tr2bl w:val="nil"/>
                  </w:tcBorders>
                  <w:vAlign w:val="center"/>
                </w:tcPr>
                <w:p w14:paraId="1098CFE9">
                  <w:pPr>
                    <w:pStyle w:val="21"/>
                    <w:rPr>
                      <w:color w:val="auto"/>
                      <w:highlight w:val="none"/>
                      <w:lang w:val="en-US"/>
                    </w:rPr>
                  </w:pPr>
                  <w:r>
                    <w:rPr>
                      <w:rFonts w:hint="eastAsia"/>
                      <w:color w:val="auto"/>
                      <w:highlight w:val="none"/>
                      <w:lang w:val="en-US"/>
                    </w:rPr>
                    <w:t>空间布局约束</w:t>
                  </w:r>
                </w:p>
              </w:tc>
              <w:tc>
                <w:tcPr>
                  <w:tcW w:w="3815" w:type="dxa"/>
                  <w:tcBorders>
                    <w:tl2br w:val="nil"/>
                    <w:tr2bl w:val="nil"/>
                  </w:tcBorders>
                  <w:vAlign w:val="center"/>
                </w:tcPr>
                <w:p w14:paraId="580CD7C1">
                  <w:pPr>
                    <w:pStyle w:val="21"/>
                    <w:rPr>
                      <w:color w:val="auto"/>
                      <w:highlight w:val="none"/>
                      <w:lang w:val="en-US"/>
                    </w:rPr>
                  </w:pPr>
                  <w:r>
                    <w:rPr>
                      <w:rFonts w:hint="eastAsia"/>
                      <w:color w:val="auto"/>
                      <w:highlight w:val="none"/>
                      <w:lang w:val="en-US"/>
                    </w:rPr>
                    <w:t>（1）邻近生活区的工业用地，禁止引进废气污染物排放量大、无组织污染严重的项目，距离居住用地100m范围内不布置含喷涂、酸洗等排放异味气体的生产工序和危化品仓库。</w:t>
                  </w:r>
                </w:p>
                <w:p w14:paraId="62210343">
                  <w:pPr>
                    <w:pStyle w:val="21"/>
                    <w:rPr>
                      <w:color w:val="auto"/>
                      <w:highlight w:val="none"/>
                      <w:lang w:val="en-US"/>
                    </w:rPr>
                  </w:pPr>
                  <w:r>
                    <w:rPr>
                      <w:rFonts w:hint="eastAsia"/>
                      <w:color w:val="auto"/>
                      <w:highlight w:val="none"/>
                      <w:lang w:val="en-US"/>
                    </w:rPr>
                    <w:t>（2）邻近重要湿地等生态红线区域的工业用地，加强入区企业跑冒滴漏管理，设置符合规范的事故应急池，确保企业废水不排入上述敏感区域。</w:t>
                  </w:r>
                </w:p>
                <w:p w14:paraId="10E8DD57">
                  <w:pPr>
                    <w:pStyle w:val="21"/>
                    <w:rPr>
                      <w:color w:val="auto"/>
                      <w:highlight w:val="none"/>
                      <w:lang w:val="en-US"/>
                    </w:rPr>
                  </w:pPr>
                  <w:r>
                    <w:rPr>
                      <w:rFonts w:hint="eastAsia"/>
                      <w:color w:val="auto"/>
                      <w:highlight w:val="none"/>
                      <w:lang w:val="en-US"/>
                    </w:rPr>
                    <w:t>（3）符合本次评价提出的生态保护红线、环境质量底线、资源利用上线相对应的管控要求。</w:t>
                  </w:r>
                </w:p>
              </w:tc>
              <w:tc>
                <w:tcPr>
                  <w:tcW w:w="2334" w:type="dxa"/>
                  <w:tcBorders>
                    <w:tl2br w:val="nil"/>
                    <w:tr2bl w:val="nil"/>
                  </w:tcBorders>
                  <w:vAlign w:val="center"/>
                </w:tcPr>
                <w:p w14:paraId="06013FDF">
                  <w:pPr>
                    <w:pStyle w:val="21"/>
                    <w:rPr>
                      <w:color w:val="auto"/>
                      <w:highlight w:val="none"/>
                      <w:lang w:val="en-US"/>
                    </w:rPr>
                  </w:pPr>
                  <w:r>
                    <w:rPr>
                      <w:rFonts w:hint="eastAsia"/>
                      <w:color w:val="auto"/>
                      <w:highlight w:val="none"/>
                      <w:lang w:val="en-US"/>
                    </w:rPr>
                    <w:t>本项目</w:t>
                  </w:r>
                  <w:r>
                    <w:rPr>
                      <w:rFonts w:hint="eastAsia"/>
                      <w:color w:val="auto"/>
                      <w:highlight w:val="none"/>
                      <w:lang w:val="en-US" w:eastAsia="zh-CN"/>
                    </w:rPr>
                    <w:t>周边100米范围内无居住区</w:t>
                  </w:r>
                  <w:r>
                    <w:rPr>
                      <w:rFonts w:hint="eastAsia"/>
                      <w:color w:val="auto"/>
                      <w:highlight w:val="none"/>
                      <w:lang w:val="en-US"/>
                    </w:rPr>
                    <w:t>；</w:t>
                  </w:r>
                  <w:r>
                    <w:rPr>
                      <w:rFonts w:hint="eastAsia"/>
                      <w:color w:val="auto"/>
                      <w:highlight w:val="none"/>
                      <w:lang w:val="en-US" w:eastAsia="zh-CN"/>
                    </w:rPr>
                    <w:t>项目建成后采取分区防渗措施，落实跑冒滴漏防范管理措施，按相关要求设置事故应急池；</w:t>
                  </w:r>
                  <w:r>
                    <w:rPr>
                      <w:rFonts w:hint="eastAsia"/>
                      <w:color w:val="auto"/>
                      <w:highlight w:val="none"/>
                      <w:lang w:val="en-US"/>
                    </w:rPr>
                    <w:t>项目符合“三线一单管控要求”。</w:t>
                  </w:r>
                </w:p>
              </w:tc>
            </w:tr>
            <w:tr w14:paraId="39EADC1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01" w:type="dxa"/>
                  <w:tcBorders>
                    <w:tl2br w:val="nil"/>
                    <w:tr2bl w:val="nil"/>
                  </w:tcBorders>
                  <w:vAlign w:val="center"/>
                </w:tcPr>
                <w:p w14:paraId="211D48D9">
                  <w:pPr>
                    <w:pStyle w:val="21"/>
                    <w:rPr>
                      <w:color w:val="auto"/>
                      <w:highlight w:val="none"/>
                      <w:lang w:val="en-US"/>
                    </w:rPr>
                  </w:pPr>
                  <w:r>
                    <w:rPr>
                      <w:rFonts w:hint="eastAsia"/>
                      <w:color w:val="auto"/>
                      <w:highlight w:val="none"/>
                      <w:lang w:val="en-US"/>
                    </w:rPr>
                    <w:t>污染物排放管控</w:t>
                  </w:r>
                </w:p>
              </w:tc>
              <w:tc>
                <w:tcPr>
                  <w:tcW w:w="3815" w:type="dxa"/>
                  <w:tcBorders>
                    <w:tl2br w:val="nil"/>
                    <w:tr2bl w:val="nil"/>
                  </w:tcBorders>
                  <w:vAlign w:val="center"/>
                </w:tcPr>
                <w:p w14:paraId="151BDB67">
                  <w:pPr>
                    <w:pStyle w:val="21"/>
                    <w:rPr>
                      <w:color w:val="auto"/>
                      <w:highlight w:val="none"/>
                      <w:lang w:val="en-US"/>
                    </w:rPr>
                  </w:pPr>
                  <w:r>
                    <w:rPr>
                      <w:rFonts w:hint="eastAsia"/>
                      <w:color w:val="auto"/>
                      <w:highlight w:val="none"/>
                      <w:lang w:val="en-US"/>
                    </w:rPr>
                    <w:t>2025年，开发区工业废水污染物（外排量）：化学需氧量、氨氮、总氮、总磷不得超过4414.52吨/年、434.43吨/年、1692.94吨/年、69.99吨/年；</w:t>
                  </w:r>
                </w:p>
                <w:p w14:paraId="79B4A797">
                  <w:pPr>
                    <w:pStyle w:val="21"/>
                    <w:rPr>
                      <w:color w:val="auto"/>
                      <w:highlight w:val="none"/>
                      <w:lang w:val="en-US"/>
                    </w:rPr>
                  </w:pPr>
                  <w:r>
                    <w:rPr>
                      <w:rFonts w:hint="eastAsia"/>
                      <w:color w:val="auto"/>
                      <w:highlight w:val="none"/>
                      <w:lang w:val="en-US"/>
                    </w:rPr>
                    <w:t>开发区大气污染物：二氧化硫、氮氧化物、颗粒物、VOCs排放量不得超过385.048吨/年、1217.047吨/年、209.44吨/年、467.798吨/年。</w:t>
                  </w:r>
                </w:p>
                <w:p w14:paraId="445A53A2">
                  <w:pPr>
                    <w:pStyle w:val="21"/>
                    <w:rPr>
                      <w:color w:val="auto"/>
                      <w:highlight w:val="none"/>
                      <w:lang w:val="en-US"/>
                    </w:rPr>
                  </w:pPr>
                  <w:r>
                    <w:rPr>
                      <w:rFonts w:hint="eastAsia"/>
                      <w:color w:val="auto"/>
                      <w:highlight w:val="none"/>
                      <w:lang w:val="en-US"/>
                    </w:rPr>
                    <w:t>2035年，开发区工业废水污染物（外排量）：化学需氧量、氨氮、总氮、总磷不得超过4169.46吨/年、324.71吨/年、1950.43吨/年、66.80吨/年；</w:t>
                  </w:r>
                </w:p>
                <w:p w14:paraId="151F72EB">
                  <w:pPr>
                    <w:pStyle w:val="21"/>
                    <w:rPr>
                      <w:color w:val="auto"/>
                      <w:highlight w:val="none"/>
                      <w:lang w:val="en-US"/>
                    </w:rPr>
                  </w:pPr>
                  <w:r>
                    <w:rPr>
                      <w:rFonts w:hint="eastAsia"/>
                      <w:color w:val="auto"/>
                      <w:highlight w:val="none"/>
                      <w:lang w:val="en-US"/>
                    </w:rPr>
                    <w:t>开发区大气污染物：二氧化硫、氮氧化物、颗粒物、VOCs排放量不得超过387.644吨/年、1221.512吨/年、213.394吨/年、475.388吨/年。</w:t>
                  </w:r>
                </w:p>
              </w:tc>
              <w:tc>
                <w:tcPr>
                  <w:tcW w:w="2334" w:type="dxa"/>
                  <w:tcBorders>
                    <w:tl2br w:val="nil"/>
                    <w:tr2bl w:val="nil"/>
                  </w:tcBorders>
                  <w:vAlign w:val="center"/>
                </w:tcPr>
                <w:p w14:paraId="33316783">
                  <w:pPr>
                    <w:pStyle w:val="21"/>
                    <w:rPr>
                      <w:color w:val="auto"/>
                      <w:highlight w:val="none"/>
                      <w:lang w:val="en-US"/>
                    </w:rPr>
                  </w:pPr>
                  <w:r>
                    <w:rPr>
                      <w:rFonts w:hint="eastAsia"/>
                      <w:color w:val="auto"/>
                      <w:highlight w:val="none"/>
                      <w:lang w:val="en-US"/>
                    </w:rPr>
                    <w:t>本项目新增废水排放总量由江宁区水减排项目平衡；本项目新增废气排放总量由江宁区大气减排项目平衡；项目实施后将严格落实污染物总量控制制度。</w:t>
                  </w:r>
                </w:p>
              </w:tc>
            </w:tr>
            <w:tr w14:paraId="5ED31CE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01" w:type="dxa"/>
                  <w:tcBorders>
                    <w:tl2br w:val="nil"/>
                    <w:tr2bl w:val="nil"/>
                  </w:tcBorders>
                  <w:vAlign w:val="center"/>
                </w:tcPr>
                <w:p w14:paraId="1021FF87">
                  <w:pPr>
                    <w:pStyle w:val="21"/>
                    <w:rPr>
                      <w:color w:val="auto"/>
                      <w:highlight w:val="none"/>
                      <w:lang w:val="en-US"/>
                    </w:rPr>
                  </w:pPr>
                  <w:r>
                    <w:rPr>
                      <w:rFonts w:hint="eastAsia"/>
                      <w:color w:val="auto"/>
                      <w:highlight w:val="none"/>
                      <w:lang w:val="en-US"/>
                    </w:rPr>
                    <w:t>环境风险防控</w:t>
                  </w:r>
                </w:p>
              </w:tc>
              <w:tc>
                <w:tcPr>
                  <w:tcW w:w="3815" w:type="dxa"/>
                  <w:tcBorders>
                    <w:tl2br w:val="nil"/>
                    <w:tr2bl w:val="nil"/>
                  </w:tcBorders>
                  <w:vAlign w:val="center"/>
                </w:tcPr>
                <w:p w14:paraId="5FECFDD7">
                  <w:pPr>
                    <w:pStyle w:val="21"/>
                    <w:rPr>
                      <w:color w:val="auto"/>
                      <w:highlight w:val="none"/>
                      <w:lang w:val="en-US"/>
                    </w:rPr>
                  </w:pPr>
                  <w:r>
                    <w:rPr>
                      <w:rFonts w:hint="eastAsia"/>
                      <w:color w:val="auto"/>
                      <w:highlight w:val="none"/>
                      <w:lang w:val="en-US"/>
                    </w:rPr>
                    <w:t>建立区域监测预警系统，建立省市县上下联动、区域之间左右联动等联动应急响应体系，实行联防联控。生产、使用、储存危险化学品或其他存在环境风险的企业事业单位，应当采取风险防范措施，并根据《企业事业单位突发环境事件应急预案备案管理办法（试行）》的要求编制环境风险应急预案，防止发生环境污染事故。</w:t>
                  </w:r>
                </w:p>
              </w:tc>
              <w:tc>
                <w:tcPr>
                  <w:tcW w:w="2334" w:type="dxa"/>
                  <w:tcBorders>
                    <w:tl2br w:val="nil"/>
                    <w:tr2bl w:val="nil"/>
                  </w:tcBorders>
                  <w:vAlign w:val="center"/>
                </w:tcPr>
                <w:p w14:paraId="052D5F7C">
                  <w:pPr>
                    <w:pStyle w:val="21"/>
                    <w:rPr>
                      <w:color w:val="auto"/>
                      <w:highlight w:val="none"/>
                      <w:lang w:val="en-US"/>
                    </w:rPr>
                  </w:pPr>
                  <w:r>
                    <w:rPr>
                      <w:rFonts w:hint="eastAsia"/>
                      <w:color w:val="auto"/>
                      <w:highlight w:val="none"/>
                      <w:lang w:val="en-US"/>
                    </w:rPr>
                    <w:t>本项目后续将加强企业风险管理，防止发生环境污染事故。依法完善突发环境事件应急预案等手续。</w:t>
                  </w:r>
                </w:p>
              </w:tc>
            </w:tr>
            <w:tr w14:paraId="79625CA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01" w:type="dxa"/>
                  <w:tcBorders>
                    <w:tl2br w:val="nil"/>
                    <w:tr2bl w:val="nil"/>
                  </w:tcBorders>
                  <w:vAlign w:val="center"/>
                </w:tcPr>
                <w:p w14:paraId="7071F310">
                  <w:pPr>
                    <w:pStyle w:val="21"/>
                    <w:rPr>
                      <w:color w:val="auto"/>
                      <w:highlight w:val="none"/>
                      <w:lang w:val="en-US"/>
                    </w:rPr>
                  </w:pPr>
                  <w:r>
                    <w:rPr>
                      <w:rFonts w:hint="eastAsia"/>
                      <w:color w:val="auto"/>
                      <w:highlight w:val="none"/>
                      <w:lang w:val="en-US"/>
                    </w:rPr>
                    <w:t>资源开发利用要求</w:t>
                  </w:r>
                </w:p>
              </w:tc>
              <w:tc>
                <w:tcPr>
                  <w:tcW w:w="3815" w:type="dxa"/>
                  <w:tcBorders>
                    <w:tl2br w:val="nil"/>
                    <w:tr2bl w:val="nil"/>
                  </w:tcBorders>
                  <w:vAlign w:val="center"/>
                </w:tcPr>
                <w:p w14:paraId="1EE135EC">
                  <w:pPr>
                    <w:pStyle w:val="21"/>
                    <w:jc w:val="both"/>
                    <w:rPr>
                      <w:color w:val="auto"/>
                      <w:highlight w:val="none"/>
                      <w:lang w:val="en-US"/>
                    </w:rPr>
                  </w:pPr>
                  <w:r>
                    <w:rPr>
                      <w:rFonts w:hint="eastAsia"/>
                      <w:color w:val="auto"/>
                      <w:highlight w:val="none"/>
                      <w:lang w:val="en-US"/>
                    </w:rPr>
                    <w:t>水资源利用总量要求：</w:t>
                  </w:r>
                </w:p>
                <w:p w14:paraId="6C0E85B8">
                  <w:pPr>
                    <w:pStyle w:val="21"/>
                    <w:jc w:val="both"/>
                    <w:rPr>
                      <w:color w:val="auto"/>
                      <w:highlight w:val="none"/>
                      <w:lang w:val="en-US"/>
                    </w:rPr>
                  </w:pPr>
                  <w:r>
                    <w:rPr>
                      <w:rFonts w:hint="eastAsia"/>
                      <w:color w:val="auto"/>
                      <w:highlight w:val="none"/>
                      <w:lang w:val="en-US"/>
                    </w:rPr>
                    <w:t>到2035年，开发区用水总量不得超过89.54万m</w:t>
                  </w:r>
                  <w:r>
                    <w:rPr>
                      <w:rFonts w:hint="eastAsia"/>
                      <w:color w:val="auto"/>
                      <w:highlight w:val="none"/>
                      <w:vertAlign w:val="superscript"/>
                      <w:lang w:val="en-US"/>
                    </w:rPr>
                    <w:t>3</w:t>
                  </w:r>
                  <w:r>
                    <w:rPr>
                      <w:rFonts w:hint="eastAsia"/>
                      <w:color w:val="auto"/>
                      <w:highlight w:val="none"/>
                      <w:lang w:val="en-US"/>
                    </w:rPr>
                    <w:t>/d。单位工业增加值新鲜水耗不高于1.80</w:t>
                  </w:r>
                </w:p>
                <w:p w14:paraId="1F37FEED">
                  <w:pPr>
                    <w:pStyle w:val="21"/>
                    <w:jc w:val="both"/>
                    <w:rPr>
                      <w:color w:val="auto"/>
                      <w:highlight w:val="none"/>
                      <w:lang w:val="en-US"/>
                    </w:rPr>
                  </w:pPr>
                  <w:r>
                    <w:rPr>
                      <w:rFonts w:hint="eastAsia"/>
                      <w:color w:val="auto"/>
                      <w:highlight w:val="none"/>
                      <w:lang w:val="en-US"/>
                    </w:rPr>
                    <w:t>立方米/万元，工业用水重复利用率达到85%。能源利用总量及效率要求：</w:t>
                  </w:r>
                </w:p>
                <w:p w14:paraId="4FBACFF0">
                  <w:pPr>
                    <w:pStyle w:val="21"/>
                    <w:jc w:val="both"/>
                    <w:rPr>
                      <w:color w:val="auto"/>
                      <w:highlight w:val="none"/>
                      <w:lang w:val="en-US"/>
                    </w:rPr>
                  </w:pPr>
                  <w:r>
                    <w:rPr>
                      <w:rFonts w:hint="eastAsia"/>
                      <w:color w:val="auto"/>
                      <w:highlight w:val="none"/>
                      <w:lang w:val="en-US"/>
                    </w:rPr>
                    <w:t>到2035年，单位工业增加值综合能耗不高于0.05吨标煤/万元。土地资源利用总量要求：</w:t>
                  </w:r>
                </w:p>
                <w:p w14:paraId="0F240E95">
                  <w:pPr>
                    <w:pStyle w:val="21"/>
                    <w:jc w:val="both"/>
                    <w:rPr>
                      <w:color w:val="auto"/>
                      <w:highlight w:val="none"/>
                      <w:lang w:val="en-US"/>
                    </w:rPr>
                  </w:pPr>
                  <w:r>
                    <w:rPr>
                      <w:rFonts w:hint="eastAsia"/>
                      <w:color w:val="auto"/>
                      <w:highlight w:val="none"/>
                      <w:lang w:val="en-US"/>
                    </w:rPr>
                    <w:t>到2035年，开发区城市建设用地应不突破193.93km</w:t>
                  </w:r>
                  <w:r>
                    <w:rPr>
                      <w:rFonts w:hint="eastAsia"/>
                      <w:color w:val="auto"/>
                      <w:highlight w:val="none"/>
                      <w:vertAlign w:val="superscript"/>
                      <w:lang w:val="en-US"/>
                    </w:rPr>
                    <w:t>2</w:t>
                  </w:r>
                  <w:r>
                    <w:rPr>
                      <w:rFonts w:hint="eastAsia"/>
                      <w:color w:val="auto"/>
                      <w:highlight w:val="none"/>
                      <w:lang w:val="en-US"/>
                    </w:rPr>
                    <w:t>，工业用地不突破43.67km</w:t>
                  </w:r>
                  <w:r>
                    <w:rPr>
                      <w:rFonts w:hint="eastAsia"/>
                      <w:color w:val="auto"/>
                      <w:highlight w:val="none"/>
                      <w:vertAlign w:val="superscript"/>
                      <w:lang w:val="en-US"/>
                    </w:rPr>
                    <w:t>2</w:t>
                  </w:r>
                  <w:r>
                    <w:rPr>
                      <w:rFonts w:hint="eastAsia"/>
                      <w:color w:val="auto"/>
                      <w:highlight w:val="none"/>
                      <w:lang w:val="en-US"/>
                    </w:rPr>
                    <w:t>。禁燃区要求：</w:t>
                  </w:r>
                </w:p>
                <w:p w14:paraId="0B59E6FE">
                  <w:pPr>
                    <w:pStyle w:val="21"/>
                    <w:jc w:val="both"/>
                    <w:rPr>
                      <w:color w:val="auto"/>
                      <w:highlight w:val="none"/>
                      <w:lang w:val="en-US"/>
                    </w:rPr>
                  </w:pPr>
                  <w:r>
                    <w:rPr>
                      <w:rFonts w:hint="eastAsia"/>
                      <w:color w:val="auto"/>
                      <w:highlight w:val="none"/>
                      <w:lang w:val="en-US"/>
                    </w:rPr>
                    <w:t>禁燃区禁止新建、扩建燃用高污染燃料的项目和设施，已建成的应逐步或依法限期改用天然气、电或者其他清洁能源。</w:t>
                  </w:r>
                </w:p>
              </w:tc>
              <w:tc>
                <w:tcPr>
                  <w:tcW w:w="2334" w:type="dxa"/>
                  <w:tcBorders>
                    <w:tl2br w:val="nil"/>
                    <w:tr2bl w:val="nil"/>
                  </w:tcBorders>
                  <w:vAlign w:val="center"/>
                </w:tcPr>
                <w:p w14:paraId="1D8010C5">
                  <w:pPr>
                    <w:pStyle w:val="21"/>
                    <w:rPr>
                      <w:color w:val="auto"/>
                      <w:highlight w:val="none"/>
                      <w:lang w:val="en-US"/>
                    </w:rPr>
                  </w:pPr>
                  <w:r>
                    <w:rPr>
                      <w:rFonts w:hint="eastAsia"/>
                      <w:color w:val="auto"/>
                      <w:highlight w:val="none"/>
                      <w:lang w:val="en-US"/>
                    </w:rPr>
                    <w:t>本项目营运期用水、用电</w:t>
                  </w:r>
                  <w:r>
                    <w:rPr>
                      <w:rFonts w:hint="eastAsia"/>
                      <w:color w:val="auto"/>
                      <w:highlight w:val="none"/>
                      <w:lang w:val="en-US" w:eastAsia="zh-CN"/>
                    </w:rPr>
                    <w:t>不会超出</w:t>
                  </w:r>
                  <w:r>
                    <w:rPr>
                      <w:rFonts w:hint="eastAsia"/>
                      <w:color w:val="auto"/>
                      <w:highlight w:val="none"/>
                      <w:lang w:val="en-US"/>
                    </w:rPr>
                    <w:t>开发区水资源、能源利用总量控制要求。项目利用现有厂房进行建设，不新增工业用地，项目不使用煤炭等高污染燃料。</w:t>
                  </w:r>
                </w:p>
              </w:tc>
            </w:tr>
          </w:tbl>
          <w:p w14:paraId="4B144D14">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根据上表分析，本项目建设符合江宁经济技术开发区生态环境准入要求。</w:t>
            </w:r>
          </w:p>
          <w:p w14:paraId="64DDDE8A">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3、与开发区规划环评及审查意见相符性分析</w:t>
            </w:r>
          </w:p>
          <w:p w14:paraId="2EAF5204">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本项目与江宁经济技术开发区规划环评审查意见相符性分析见下表：</w:t>
            </w:r>
          </w:p>
          <w:p w14:paraId="16EA1CED">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ascii="Times New Roman" w:hAnsi="Times New Roman" w:eastAsia="宋体"/>
                <w:color w:val="auto"/>
                <w:highlight w:val="none"/>
              </w:rPr>
              <w:t>表1-3与江宁经济技术开发区规划环评审查意见相符性分析表</w:t>
            </w:r>
          </w:p>
          <w:tbl>
            <w:tblPr>
              <w:tblStyle w:val="30"/>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442"/>
              <w:gridCol w:w="3821"/>
              <w:gridCol w:w="1733"/>
              <w:gridCol w:w="664"/>
            </w:tblGrid>
            <w:tr w14:paraId="20A2DFD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42" w:type="dxa"/>
                  <w:tcBorders>
                    <w:tl2br w:val="nil"/>
                    <w:tr2bl w:val="nil"/>
                  </w:tcBorders>
                  <w:vAlign w:val="center"/>
                </w:tcPr>
                <w:p w14:paraId="2E646FCA">
                  <w:pPr>
                    <w:pStyle w:val="21"/>
                    <w:rPr>
                      <w:rFonts w:ascii="Times New Roman" w:hAnsi="Times New Roman" w:eastAsia="宋体"/>
                      <w:b/>
                      <w:bCs/>
                      <w:color w:val="auto"/>
                      <w:highlight w:val="none"/>
                    </w:rPr>
                  </w:pPr>
                  <w:r>
                    <w:rPr>
                      <w:rFonts w:ascii="Times New Roman" w:hAnsi="Times New Roman" w:eastAsia="宋体"/>
                      <w:b/>
                      <w:bCs/>
                      <w:color w:val="auto"/>
                      <w:highlight w:val="none"/>
                    </w:rPr>
                    <w:t>序号</w:t>
                  </w:r>
                </w:p>
              </w:tc>
              <w:tc>
                <w:tcPr>
                  <w:tcW w:w="3821" w:type="dxa"/>
                  <w:tcBorders>
                    <w:tl2br w:val="nil"/>
                    <w:tr2bl w:val="nil"/>
                  </w:tcBorders>
                  <w:vAlign w:val="center"/>
                </w:tcPr>
                <w:p w14:paraId="5E215AFE">
                  <w:pPr>
                    <w:pStyle w:val="21"/>
                    <w:rPr>
                      <w:rFonts w:ascii="Times New Roman" w:hAnsi="Times New Roman" w:eastAsia="宋体"/>
                      <w:b/>
                      <w:bCs/>
                      <w:color w:val="auto"/>
                      <w:highlight w:val="none"/>
                    </w:rPr>
                  </w:pPr>
                  <w:r>
                    <w:rPr>
                      <w:rFonts w:ascii="Times New Roman" w:hAnsi="Times New Roman" w:eastAsia="宋体"/>
                      <w:b/>
                      <w:bCs/>
                      <w:color w:val="auto"/>
                      <w:highlight w:val="none"/>
                    </w:rPr>
                    <w:t>要求</w:t>
                  </w:r>
                </w:p>
              </w:tc>
              <w:tc>
                <w:tcPr>
                  <w:tcW w:w="1733" w:type="dxa"/>
                  <w:tcBorders>
                    <w:tl2br w:val="nil"/>
                    <w:tr2bl w:val="nil"/>
                  </w:tcBorders>
                  <w:vAlign w:val="center"/>
                </w:tcPr>
                <w:p w14:paraId="40ACAE78">
                  <w:pPr>
                    <w:pStyle w:val="21"/>
                    <w:rPr>
                      <w:rFonts w:ascii="Times New Roman" w:hAnsi="Times New Roman" w:eastAsia="宋体"/>
                      <w:b/>
                      <w:bCs/>
                      <w:color w:val="auto"/>
                      <w:highlight w:val="none"/>
                    </w:rPr>
                  </w:pPr>
                  <w:r>
                    <w:rPr>
                      <w:rFonts w:ascii="Times New Roman" w:hAnsi="Times New Roman" w:eastAsia="宋体"/>
                      <w:b/>
                      <w:bCs/>
                      <w:color w:val="auto"/>
                      <w:highlight w:val="none"/>
                    </w:rPr>
                    <w:t>符合性分析</w:t>
                  </w:r>
                </w:p>
              </w:tc>
              <w:tc>
                <w:tcPr>
                  <w:tcW w:w="664" w:type="dxa"/>
                  <w:tcBorders>
                    <w:tl2br w:val="nil"/>
                    <w:tr2bl w:val="nil"/>
                  </w:tcBorders>
                  <w:vAlign w:val="center"/>
                </w:tcPr>
                <w:p w14:paraId="3BAE1686">
                  <w:pPr>
                    <w:pStyle w:val="21"/>
                    <w:rPr>
                      <w:rFonts w:ascii="Times New Roman" w:hAnsi="Times New Roman" w:eastAsia="宋体"/>
                      <w:b/>
                      <w:bCs/>
                      <w:color w:val="auto"/>
                      <w:highlight w:val="none"/>
                    </w:rPr>
                  </w:pPr>
                  <w:r>
                    <w:rPr>
                      <w:rFonts w:ascii="Times New Roman" w:hAnsi="Times New Roman" w:eastAsia="宋体"/>
                      <w:b/>
                      <w:bCs/>
                      <w:color w:val="auto"/>
                      <w:highlight w:val="none"/>
                    </w:rPr>
                    <w:t>相符性</w:t>
                  </w:r>
                </w:p>
              </w:tc>
            </w:tr>
            <w:tr w14:paraId="75C683F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42" w:type="dxa"/>
                  <w:tcBorders>
                    <w:tl2br w:val="nil"/>
                    <w:tr2bl w:val="nil"/>
                  </w:tcBorders>
                  <w:vAlign w:val="center"/>
                </w:tcPr>
                <w:p w14:paraId="2372B1D9">
                  <w:pPr>
                    <w:pStyle w:val="21"/>
                    <w:rPr>
                      <w:rFonts w:ascii="Times New Roman" w:hAnsi="Times New Roman" w:eastAsia="宋体"/>
                      <w:color w:val="auto"/>
                      <w:highlight w:val="none"/>
                    </w:rPr>
                  </w:pPr>
                  <w:r>
                    <w:rPr>
                      <w:rFonts w:ascii="Times New Roman" w:hAnsi="Times New Roman" w:eastAsia="宋体"/>
                      <w:color w:val="auto"/>
                      <w:highlight w:val="none"/>
                    </w:rPr>
                    <w:t>1</w:t>
                  </w:r>
                </w:p>
              </w:tc>
              <w:tc>
                <w:tcPr>
                  <w:tcW w:w="3821" w:type="dxa"/>
                  <w:tcBorders>
                    <w:tl2br w:val="nil"/>
                    <w:tr2bl w:val="nil"/>
                  </w:tcBorders>
                  <w:vAlign w:val="center"/>
                </w:tcPr>
                <w:p w14:paraId="021D8AC8">
                  <w:pPr>
                    <w:pStyle w:val="21"/>
                    <w:rPr>
                      <w:rFonts w:ascii="Times New Roman" w:hAnsi="Times New Roman" w:eastAsia="宋体"/>
                      <w:color w:val="auto"/>
                      <w:highlight w:val="none"/>
                    </w:rPr>
                  </w:pPr>
                  <w:r>
                    <w:rPr>
                      <w:rFonts w:ascii="Times New Roman" w:hAnsi="Times New Roman" w:eastAsia="宋体"/>
                      <w:color w:val="auto"/>
                      <w:highlight w:val="none"/>
                    </w:rPr>
                    <w:t>开发区定位为国际性科技创新先行区、制造业高质量发展示范区、江苏国际航空枢纽核心区、南京主城南部中心标志区、江宁生态人文融合活力区；总体空间结构为：“1核2元、2轴连心、3楔2廊、分片统筹”；制造业分布主要集中在三大片区，包括江南主城东山片区、淳化</w:t>
                  </w:r>
                  <w:r>
                    <w:rPr>
                      <w:rFonts w:hint="eastAsia" w:ascii="Times New Roman" w:hAnsi="Times New Roman" w:eastAsia="宋体"/>
                      <w:color w:val="auto"/>
                      <w:highlight w:val="none"/>
                    </w:rPr>
                    <w:t>－</w:t>
                  </w:r>
                  <w:r>
                    <w:rPr>
                      <w:rFonts w:ascii="Times New Roman" w:hAnsi="Times New Roman" w:eastAsia="宋体"/>
                      <w:color w:val="auto"/>
                      <w:highlight w:val="none"/>
                    </w:rPr>
                    <w:t>湖熟片区、禄口空港片区三大片区。淳化</w:t>
                  </w:r>
                  <w:r>
                    <w:rPr>
                      <w:rFonts w:hint="eastAsia" w:ascii="Times New Roman" w:hAnsi="Times New Roman" w:eastAsia="宋体"/>
                      <w:color w:val="auto"/>
                      <w:highlight w:val="none"/>
                    </w:rPr>
                    <w:t>－</w:t>
                  </w:r>
                  <w:r>
                    <w:rPr>
                      <w:rFonts w:ascii="Times New Roman" w:hAnsi="Times New Roman" w:eastAsia="宋体"/>
                      <w:color w:val="auto"/>
                      <w:highlight w:val="none"/>
                    </w:rPr>
                    <w:t>湖熟片区的主导产业方向：生物医药、新能源、高端装备制造、节能环保和新材料等。</w:t>
                  </w:r>
                </w:p>
              </w:tc>
              <w:tc>
                <w:tcPr>
                  <w:tcW w:w="1733" w:type="dxa"/>
                  <w:tcBorders>
                    <w:tl2br w:val="nil"/>
                    <w:tr2bl w:val="nil"/>
                  </w:tcBorders>
                  <w:vAlign w:val="center"/>
                </w:tcPr>
                <w:p w14:paraId="4261CFEE">
                  <w:pPr>
                    <w:pStyle w:val="21"/>
                    <w:rPr>
                      <w:rFonts w:ascii="Times New Roman" w:hAnsi="Times New Roman" w:eastAsia="宋体"/>
                      <w:color w:val="auto"/>
                      <w:highlight w:val="none"/>
                    </w:rPr>
                  </w:pPr>
                  <w:r>
                    <w:rPr>
                      <w:rFonts w:ascii="Times New Roman" w:hAnsi="Times New Roman" w:eastAsia="宋体"/>
                      <w:color w:val="auto"/>
                      <w:highlight w:val="none"/>
                    </w:rPr>
                    <w:t>本项目位于</w:t>
                  </w:r>
                  <w:r>
                    <w:rPr>
                      <w:rFonts w:hint="eastAsia"/>
                      <w:color w:val="auto"/>
                      <w:highlight w:val="none"/>
                      <w:lang w:val="en-US" w:eastAsia="zh-CN"/>
                    </w:rPr>
                    <w:t>空港</w:t>
                  </w:r>
                  <w:r>
                    <w:rPr>
                      <w:rFonts w:ascii="Times New Roman" w:hAnsi="Times New Roman" w:eastAsia="宋体"/>
                      <w:color w:val="auto"/>
                      <w:highlight w:val="none"/>
                    </w:rPr>
                    <w:t>片区，</w:t>
                  </w:r>
                  <w:r>
                    <w:rPr>
                      <w:rFonts w:hint="eastAsia" w:ascii="Times New Roman" w:hAnsi="Times New Roman" w:eastAsia="宋体"/>
                      <w:color w:val="auto"/>
                      <w:highlight w:val="none"/>
                      <w:lang w:val="en-US"/>
                    </w:rPr>
                    <w:t>不属于开发区限制、禁止发展产业，属于可以进</w:t>
                  </w:r>
                  <w:r>
                    <w:rPr>
                      <w:rFonts w:hint="eastAsia" w:ascii="Times New Roman" w:hAnsi="Times New Roman" w:eastAsia="宋体"/>
                      <w:color w:val="auto"/>
                      <w:highlight w:val="none"/>
                      <w:lang w:val="en-US" w:eastAsia="zh-CN"/>
                    </w:rPr>
                    <w:t>入的</w:t>
                  </w:r>
                  <w:r>
                    <w:rPr>
                      <w:rFonts w:hint="eastAsia" w:ascii="Times New Roman" w:hAnsi="Times New Roman" w:eastAsia="宋体"/>
                      <w:color w:val="auto"/>
                      <w:highlight w:val="none"/>
                      <w:lang w:val="en-US"/>
                    </w:rPr>
                    <w:t>项目</w:t>
                  </w:r>
                  <w:r>
                    <w:rPr>
                      <w:rFonts w:ascii="Times New Roman" w:hAnsi="Times New Roman" w:eastAsia="宋体"/>
                      <w:color w:val="auto"/>
                      <w:highlight w:val="none"/>
                    </w:rPr>
                    <w:t>。</w:t>
                  </w:r>
                </w:p>
              </w:tc>
              <w:tc>
                <w:tcPr>
                  <w:tcW w:w="664" w:type="dxa"/>
                  <w:tcBorders>
                    <w:tl2br w:val="nil"/>
                    <w:tr2bl w:val="nil"/>
                  </w:tcBorders>
                  <w:vAlign w:val="center"/>
                </w:tcPr>
                <w:p w14:paraId="3D72BCEC">
                  <w:pPr>
                    <w:pStyle w:val="21"/>
                    <w:rPr>
                      <w:rFonts w:ascii="Times New Roman" w:hAnsi="Times New Roman" w:eastAsia="宋体"/>
                      <w:color w:val="auto"/>
                      <w:highlight w:val="none"/>
                    </w:rPr>
                  </w:pPr>
                  <w:r>
                    <w:rPr>
                      <w:rFonts w:ascii="Times New Roman" w:hAnsi="Times New Roman" w:eastAsia="宋体"/>
                      <w:color w:val="auto"/>
                      <w:highlight w:val="none"/>
                    </w:rPr>
                    <w:t>符合</w:t>
                  </w:r>
                </w:p>
              </w:tc>
            </w:tr>
            <w:tr w14:paraId="5CF956D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42" w:type="dxa"/>
                  <w:tcBorders>
                    <w:tl2br w:val="nil"/>
                    <w:tr2bl w:val="nil"/>
                  </w:tcBorders>
                  <w:vAlign w:val="center"/>
                </w:tcPr>
                <w:p w14:paraId="5BC0CF6D">
                  <w:pPr>
                    <w:pStyle w:val="21"/>
                    <w:rPr>
                      <w:rFonts w:ascii="Times New Roman" w:hAnsi="Times New Roman" w:eastAsia="宋体"/>
                      <w:color w:val="auto"/>
                      <w:highlight w:val="none"/>
                    </w:rPr>
                  </w:pPr>
                  <w:r>
                    <w:rPr>
                      <w:rFonts w:ascii="Times New Roman" w:hAnsi="Times New Roman" w:eastAsia="宋体"/>
                      <w:color w:val="auto"/>
                      <w:highlight w:val="none"/>
                    </w:rPr>
                    <w:t>2</w:t>
                  </w:r>
                </w:p>
              </w:tc>
              <w:tc>
                <w:tcPr>
                  <w:tcW w:w="3821" w:type="dxa"/>
                  <w:tcBorders>
                    <w:tl2br w:val="nil"/>
                    <w:tr2bl w:val="nil"/>
                  </w:tcBorders>
                  <w:vAlign w:val="center"/>
                </w:tcPr>
                <w:p w14:paraId="0EE273D3">
                  <w:pPr>
                    <w:pStyle w:val="21"/>
                    <w:rPr>
                      <w:rFonts w:ascii="Times New Roman" w:hAnsi="Times New Roman" w:eastAsia="宋体"/>
                      <w:color w:val="auto"/>
                      <w:highlight w:val="none"/>
                    </w:rPr>
                  </w:pPr>
                  <w:r>
                    <w:rPr>
                      <w:rFonts w:ascii="Times New Roman" w:hAnsi="Times New Roman" w:eastAsia="宋体"/>
                      <w:color w:val="auto"/>
                      <w:highlight w:val="none"/>
                    </w:rPr>
                    <w:t>坚持绿色发展和协调发展理念，加强《规划》引导。落实国家、区域发展战略，坚持生态优先、集约高效，以生态环境质量改善为核心，做好与各级国土空间规划和“三线一单”生态环境分区管控体系的协调衔接，进一步优化《规划》布局、产业定位和发展规模。</w:t>
                  </w:r>
                </w:p>
              </w:tc>
              <w:tc>
                <w:tcPr>
                  <w:tcW w:w="1733" w:type="dxa"/>
                  <w:tcBorders>
                    <w:tl2br w:val="nil"/>
                    <w:tr2bl w:val="nil"/>
                  </w:tcBorders>
                  <w:vAlign w:val="center"/>
                </w:tcPr>
                <w:p w14:paraId="2082165C">
                  <w:pPr>
                    <w:pStyle w:val="21"/>
                    <w:rPr>
                      <w:rFonts w:ascii="Times New Roman" w:hAnsi="Times New Roman" w:eastAsia="宋体"/>
                      <w:color w:val="auto"/>
                      <w:highlight w:val="none"/>
                    </w:rPr>
                  </w:pPr>
                  <w:r>
                    <w:rPr>
                      <w:rFonts w:ascii="Times New Roman" w:hAnsi="Times New Roman" w:eastAsia="宋体"/>
                      <w:color w:val="auto"/>
                      <w:highlight w:val="none"/>
                    </w:rPr>
                    <w:t>本项目所在地为工业用地，符合土地利用现状以及近期国土空间规划，满足“三线一单”生态环境分区管控准入要求。</w:t>
                  </w:r>
                </w:p>
              </w:tc>
              <w:tc>
                <w:tcPr>
                  <w:tcW w:w="664" w:type="dxa"/>
                  <w:tcBorders>
                    <w:tl2br w:val="nil"/>
                    <w:tr2bl w:val="nil"/>
                  </w:tcBorders>
                  <w:vAlign w:val="center"/>
                </w:tcPr>
                <w:p w14:paraId="39A07D72">
                  <w:pPr>
                    <w:pStyle w:val="21"/>
                    <w:rPr>
                      <w:rFonts w:ascii="Times New Roman" w:hAnsi="Times New Roman" w:eastAsia="宋体"/>
                      <w:color w:val="auto"/>
                      <w:highlight w:val="none"/>
                    </w:rPr>
                  </w:pPr>
                  <w:r>
                    <w:rPr>
                      <w:rFonts w:ascii="Times New Roman" w:hAnsi="Times New Roman" w:eastAsia="宋体"/>
                      <w:color w:val="auto"/>
                      <w:highlight w:val="none"/>
                    </w:rPr>
                    <w:t>符合</w:t>
                  </w:r>
                </w:p>
              </w:tc>
            </w:tr>
            <w:tr w14:paraId="2A996DF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42" w:type="dxa"/>
                  <w:tcBorders>
                    <w:tl2br w:val="nil"/>
                    <w:tr2bl w:val="nil"/>
                  </w:tcBorders>
                  <w:vAlign w:val="center"/>
                </w:tcPr>
                <w:p w14:paraId="6484E9BE">
                  <w:pPr>
                    <w:pStyle w:val="21"/>
                    <w:rPr>
                      <w:rFonts w:ascii="Times New Roman" w:hAnsi="Times New Roman" w:eastAsia="宋体"/>
                      <w:color w:val="auto"/>
                      <w:highlight w:val="none"/>
                    </w:rPr>
                  </w:pPr>
                  <w:r>
                    <w:rPr>
                      <w:rFonts w:ascii="Times New Roman" w:hAnsi="Times New Roman" w:eastAsia="宋体"/>
                      <w:color w:val="auto"/>
                      <w:highlight w:val="none"/>
                    </w:rPr>
                    <w:t>3</w:t>
                  </w:r>
                </w:p>
              </w:tc>
              <w:tc>
                <w:tcPr>
                  <w:tcW w:w="3821" w:type="dxa"/>
                  <w:tcBorders>
                    <w:tl2br w:val="nil"/>
                    <w:tr2bl w:val="nil"/>
                  </w:tcBorders>
                  <w:vAlign w:val="center"/>
                </w:tcPr>
                <w:p w14:paraId="5A07F8FC">
                  <w:pPr>
                    <w:pStyle w:val="21"/>
                    <w:rPr>
                      <w:rFonts w:ascii="Times New Roman" w:hAnsi="Times New Roman" w:eastAsia="宋体"/>
                      <w:color w:val="auto"/>
                      <w:highlight w:val="none"/>
                    </w:rPr>
                  </w:pPr>
                  <w:r>
                    <w:rPr>
                      <w:rFonts w:ascii="Times New Roman" w:hAnsi="Times New Roman" w:eastAsia="宋体"/>
                      <w:color w:val="auto"/>
                      <w:highlight w:val="none"/>
                    </w:rPr>
                    <w:t>根据国家及地方碳达峰行动方案和节能减排工作要求，推进经开区绿色低碳转型发展。优化产业结构、能源结构、交通运输结构等规划内容，促进实现减污降碳协同增效目标。</w:t>
                  </w:r>
                </w:p>
              </w:tc>
              <w:tc>
                <w:tcPr>
                  <w:tcW w:w="1733" w:type="dxa"/>
                  <w:tcBorders>
                    <w:tl2br w:val="nil"/>
                    <w:tr2bl w:val="nil"/>
                  </w:tcBorders>
                  <w:vAlign w:val="center"/>
                </w:tcPr>
                <w:p w14:paraId="7EE7C903">
                  <w:pPr>
                    <w:pStyle w:val="21"/>
                    <w:rPr>
                      <w:rFonts w:ascii="Times New Roman" w:hAnsi="Times New Roman" w:eastAsia="宋体"/>
                      <w:color w:val="auto"/>
                      <w:highlight w:val="none"/>
                    </w:rPr>
                  </w:pPr>
                  <w:r>
                    <w:rPr>
                      <w:rFonts w:ascii="Times New Roman" w:hAnsi="Times New Roman" w:eastAsia="宋体"/>
                      <w:color w:val="auto"/>
                      <w:highlight w:val="none"/>
                    </w:rPr>
                    <w:t>本项目落实节水、节电、节气各项措施，节能减排，促进实现减污降碳协同增效目标。</w:t>
                  </w:r>
                </w:p>
              </w:tc>
              <w:tc>
                <w:tcPr>
                  <w:tcW w:w="664" w:type="dxa"/>
                  <w:tcBorders>
                    <w:tl2br w:val="nil"/>
                    <w:tr2bl w:val="nil"/>
                  </w:tcBorders>
                  <w:vAlign w:val="center"/>
                </w:tcPr>
                <w:p w14:paraId="1D1786C1">
                  <w:pPr>
                    <w:pStyle w:val="21"/>
                    <w:rPr>
                      <w:rFonts w:ascii="Times New Roman" w:hAnsi="Times New Roman" w:eastAsia="宋体"/>
                      <w:color w:val="auto"/>
                      <w:highlight w:val="none"/>
                    </w:rPr>
                  </w:pPr>
                  <w:r>
                    <w:rPr>
                      <w:rFonts w:ascii="Times New Roman" w:hAnsi="Times New Roman" w:eastAsia="宋体"/>
                      <w:color w:val="auto"/>
                      <w:highlight w:val="none"/>
                    </w:rPr>
                    <w:t>符合</w:t>
                  </w:r>
                </w:p>
              </w:tc>
            </w:tr>
            <w:tr w14:paraId="2276956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42" w:type="dxa"/>
                  <w:tcBorders>
                    <w:tl2br w:val="nil"/>
                    <w:tr2bl w:val="nil"/>
                  </w:tcBorders>
                  <w:vAlign w:val="center"/>
                </w:tcPr>
                <w:p w14:paraId="5B1C33A8">
                  <w:pPr>
                    <w:pStyle w:val="21"/>
                    <w:rPr>
                      <w:rFonts w:ascii="Times New Roman" w:hAnsi="Times New Roman" w:eastAsia="宋体"/>
                      <w:color w:val="auto"/>
                      <w:highlight w:val="none"/>
                    </w:rPr>
                  </w:pPr>
                  <w:r>
                    <w:rPr>
                      <w:rFonts w:ascii="Times New Roman" w:hAnsi="Times New Roman" w:eastAsia="宋体"/>
                      <w:color w:val="auto"/>
                      <w:highlight w:val="none"/>
                    </w:rPr>
                    <w:t>4</w:t>
                  </w:r>
                </w:p>
              </w:tc>
              <w:tc>
                <w:tcPr>
                  <w:tcW w:w="3821" w:type="dxa"/>
                  <w:tcBorders>
                    <w:tl2br w:val="nil"/>
                    <w:tr2bl w:val="nil"/>
                  </w:tcBorders>
                  <w:vAlign w:val="center"/>
                </w:tcPr>
                <w:p w14:paraId="63F6A432">
                  <w:pPr>
                    <w:pStyle w:val="21"/>
                    <w:rPr>
                      <w:rFonts w:ascii="Times New Roman" w:hAnsi="Times New Roman" w:eastAsia="宋体"/>
                      <w:color w:val="auto"/>
                      <w:highlight w:val="none"/>
                    </w:rPr>
                  </w:pPr>
                  <w:r>
                    <w:rPr>
                      <w:rFonts w:ascii="Times New Roman" w:hAnsi="Times New Roman" w:eastAsia="宋体"/>
                      <w:color w:val="auto"/>
                      <w:highlight w:val="none"/>
                    </w:rPr>
                    <w:t>着力推动经开区产业结构调整和转型升级。从区域环境质量改善和环境风险防范角度，统筹优化</w:t>
                  </w:r>
                  <w:r>
                    <w:rPr>
                      <w:rFonts w:hint="eastAsia" w:ascii="Times New Roman" w:hAnsi="Times New Roman" w:eastAsia="宋体"/>
                      <w:color w:val="auto"/>
                      <w:highlight w:val="none"/>
                    </w:rPr>
                    <w:t>北</w:t>
                  </w:r>
                  <w:r>
                    <w:rPr>
                      <w:rFonts w:ascii="Times New Roman" w:hAnsi="Times New Roman" w:eastAsia="宋体"/>
                      <w:color w:val="auto"/>
                      <w:highlight w:val="none"/>
                    </w:rPr>
                    <w:t>片区产业定位和发展规模；优化东山片区产业布局及用地布局，限制上海大众、卫岗乳业发展规模，推进产业升级和环保措施提标改造。加快推进实施“优二进三”试点片区企业，以及百家湖、九龙湖片区用地效率低企业搬迁或转型升级工作，加快落实南京美星鹏科技实业有限公司、南京海欣丽宁长毛绒有限公司等企业的相关管控要求，促进经开区产业转型升级与生态环境保护、人居环境安全相协调。</w:t>
                  </w:r>
                </w:p>
              </w:tc>
              <w:tc>
                <w:tcPr>
                  <w:tcW w:w="1733" w:type="dxa"/>
                  <w:tcBorders>
                    <w:tl2br w:val="nil"/>
                    <w:tr2bl w:val="nil"/>
                  </w:tcBorders>
                  <w:vAlign w:val="center"/>
                </w:tcPr>
                <w:p w14:paraId="08060F26">
                  <w:pPr>
                    <w:pStyle w:val="21"/>
                    <w:rPr>
                      <w:rFonts w:ascii="Times New Roman" w:hAnsi="Times New Roman" w:eastAsia="宋体"/>
                      <w:color w:val="auto"/>
                      <w:highlight w:val="none"/>
                    </w:rPr>
                  </w:pPr>
                  <w:r>
                    <w:rPr>
                      <w:rFonts w:ascii="Times New Roman" w:hAnsi="Times New Roman" w:eastAsia="宋体"/>
                      <w:color w:val="auto"/>
                      <w:highlight w:val="none"/>
                    </w:rPr>
                    <w:t>本项目符合开发区产业定位，不属于禁止引入的项目，</w:t>
                  </w:r>
                  <w:r>
                    <w:rPr>
                      <w:rFonts w:hint="eastAsia" w:ascii="Times New Roman" w:hAnsi="Times New Roman" w:eastAsia="宋体"/>
                      <w:color w:val="auto"/>
                      <w:highlight w:val="none"/>
                      <w:lang w:val="en-US"/>
                    </w:rPr>
                    <w:t>不属于上述应限制发展和搬迁或转型企业</w:t>
                  </w:r>
                  <w:r>
                    <w:rPr>
                      <w:rFonts w:ascii="Times New Roman" w:hAnsi="Times New Roman" w:eastAsia="宋体"/>
                      <w:color w:val="auto"/>
                      <w:highlight w:val="none"/>
                    </w:rPr>
                    <w:t>。</w:t>
                  </w:r>
                </w:p>
              </w:tc>
              <w:tc>
                <w:tcPr>
                  <w:tcW w:w="664" w:type="dxa"/>
                  <w:tcBorders>
                    <w:tl2br w:val="nil"/>
                    <w:tr2bl w:val="nil"/>
                  </w:tcBorders>
                  <w:vAlign w:val="center"/>
                </w:tcPr>
                <w:p w14:paraId="6B7FD761">
                  <w:pPr>
                    <w:pStyle w:val="21"/>
                    <w:rPr>
                      <w:rFonts w:ascii="Times New Roman" w:hAnsi="Times New Roman" w:eastAsia="宋体"/>
                      <w:color w:val="auto"/>
                      <w:highlight w:val="none"/>
                    </w:rPr>
                  </w:pPr>
                  <w:r>
                    <w:rPr>
                      <w:rFonts w:ascii="Times New Roman" w:hAnsi="Times New Roman" w:eastAsia="宋体"/>
                      <w:color w:val="auto"/>
                      <w:highlight w:val="none"/>
                    </w:rPr>
                    <w:t>符合</w:t>
                  </w:r>
                </w:p>
              </w:tc>
            </w:tr>
            <w:tr w14:paraId="10BA542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42" w:type="dxa"/>
                  <w:tcBorders>
                    <w:tl2br w:val="nil"/>
                    <w:tr2bl w:val="nil"/>
                  </w:tcBorders>
                  <w:vAlign w:val="center"/>
                </w:tcPr>
                <w:p w14:paraId="3A4D8EDE">
                  <w:pPr>
                    <w:pStyle w:val="21"/>
                    <w:rPr>
                      <w:rFonts w:ascii="Times New Roman" w:hAnsi="Times New Roman" w:eastAsia="宋体"/>
                      <w:color w:val="auto"/>
                      <w:highlight w:val="none"/>
                    </w:rPr>
                  </w:pPr>
                  <w:r>
                    <w:rPr>
                      <w:rFonts w:ascii="Times New Roman" w:hAnsi="Times New Roman" w:eastAsia="宋体"/>
                      <w:color w:val="auto"/>
                      <w:highlight w:val="none"/>
                    </w:rPr>
                    <w:t>5</w:t>
                  </w:r>
                </w:p>
              </w:tc>
              <w:tc>
                <w:tcPr>
                  <w:tcW w:w="3821" w:type="dxa"/>
                  <w:tcBorders>
                    <w:tl2br w:val="nil"/>
                    <w:tr2bl w:val="nil"/>
                  </w:tcBorders>
                  <w:vAlign w:val="center"/>
                </w:tcPr>
                <w:p w14:paraId="4C6EB250">
                  <w:pPr>
                    <w:pStyle w:val="21"/>
                    <w:rPr>
                      <w:rFonts w:ascii="Times New Roman" w:hAnsi="Times New Roman" w:eastAsia="宋体"/>
                      <w:color w:val="auto"/>
                      <w:highlight w:val="none"/>
                    </w:rPr>
                  </w:pPr>
                  <w:r>
                    <w:rPr>
                      <w:rFonts w:ascii="Times New Roman" w:hAnsi="Times New Roman" w:eastAsia="宋体"/>
                      <w:color w:val="auto"/>
                      <w:highlight w:val="none"/>
                    </w:rPr>
                    <w:t>严格空间管控，优化空间布局。做好《规划》控制和生态隔离带建设，加强对经开区内森林公园、地质公园等生态敏感区的保护，严禁不符合管控要求的各类开发建设活动。取消南京大塘金省级森林公园、牛首一祖堂风景名胜区、江宁方山省级森林公园和汤山一方山国家地质公园等生态保护红线和生态空间管控区域内不符合管控要求的规划建设安排。</w:t>
                  </w:r>
                </w:p>
              </w:tc>
              <w:tc>
                <w:tcPr>
                  <w:tcW w:w="1733" w:type="dxa"/>
                  <w:tcBorders>
                    <w:tl2br w:val="nil"/>
                    <w:tr2bl w:val="nil"/>
                  </w:tcBorders>
                  <w:vAlign w:val="center"/>
                </w:tcPr>
                <w:p w14:paraId="4DBB94D5">
                  <w:pPr>
                    <w:pStyle w:val="21"/>
                    <w:rPr>
                      <w:rFonts w:ascii="Times New Roman" w:hAnsi="Times New Roman" w:eastAsia="宋体"/>
                      <w:color w:val="auto"/>
                      <w:highlight w:val="none"/>
                    </w:rPr>
                  </w:pPr>
                  <w:r>
                    <w:rPr>
                      <w:rFonts w:ascii="Times New Roman" w:hAnsi="Times New Roman" w:eastAsia="宋体"/>
                      <w:color w:val="auto"/>
                      <w:highlight w:val="none"/>
                    </w:rPr>
                    <w:t>本项目距最近生态环境保护目标</w:t>
                  </w:r>
                  <w:r>
                    <w:rPr>
                      <w:rFonts w:hint="eastAsia" w:ascii="Times New Roman" w:hAnsi="Times New Roman" w:eastAsia="宋体"/>
                      <w:color w:val="auto"/>
                      <w:highlight w:val="none"/>
                    </w:rPr>
                    <w:t>牛首</w:t>
                  </w:r>
                  <w:r>
                    <w:rPr>
                      <w:rFonts w:hint="eastAsia"/>
                      <w:color w:val="auto"/>
                      <w:highlight w:val="none"/>
                      <w:lang w:eastAsia="zh-CN"/>
                    </w:rPr>
                    <w:t>－</w:t>
                  </w:r>
                  <w:r>
                    <w:rPr>
                      <w:rFonts w:hint="eastAsia" w:ascii="Times New Roman" w:hAnsi="Times New Roman" w:eastAsia="宋体"/>
                      <w:color w:val="auto"/>
                      <w:highlight w:val="none"/>
                    </w:rPr>
                    <w:t>祖堂风景名胜区</w:t>
                  </w:r>
                  <w:r>
                    <w:rPr>
                      <w:rFonts w:hint="eastAsia" w:ascii="Times New Roman" w:hAnsi="Times New Roman" w:eastAsia="宋体"/>
                      <w:color w:val="auto"/>
                      <w:highlight w:val="none"/>
                      <w:lang w:val="en-US" w:eastAsia="zh-CN"/>
                    </w:rPr>
                    <w:t>约</w:t>
                  </w:r>
                  <w:r>
                    <w:rPr>
                      <w:rFonts w:ascii="Times New Roman" w:hAnsi="Times New Roman" w:eastAsia="宋体"/>
                      <w:color w:val="auto"/>
                      <w:highlight w:val="none"/>
                    </w:rPr>
                    <w:t>3</w:t>
                  </w:r>
                  <w:r>
                    <w:rPr>
                      <w:rFonts w:hint="eastAsia"/>
                      <w:color w:val="auto"/>
                      <w:highlight w:val="none"/>
                      <w:lang w:val="en-US" w:eastAsia="zh-CN"/>
                    </w:rPr>
                    <w:t>.2</w:t>
                  </w:r>
                  <w:r>
                    <w:rPr>
                      <w:rFonts w:ascii="Times New Roman" w:hAnsi="Times New Roman" w:eastAsia="宋体"/>
                      <w:color w:val="auto"/>
                      <w:highlight w:val="none"/>
                    </w:rPr>
                    <w:t>km，不涉及生态空间管控区域。</w:t>
                  </w:r>
                </w:p>
              </w:tc>
              <w:tc>
                <w:tcPr>
                  <w:tcW w:w="664" w:type="dxa"/>
                  <w:tcBorders>
                    <w:tl2br w:val="nil"/>
                    <w:tr2bl w:val="nil"/>
                  </w:tcBorders>
                  <w:vAlign w:val="center"/>
                </w:tcPr>
                <w:p w14:paraId="30498D31">
                  <w:pPr>
                    <w:pStyle w:val="21"/>
                    <w:rPr>
                      <w:rFonts w:ascii="Times New Roman" w:hAnsi="Times New Roman" w:eastAsia="宋体"/>
                      <w:color w:val="auto"/>
                      <w:highlight w:val="none"/>
                    </w:rPr>
                  </w:pPr>
                  <w:r>
                    <w:rPr>
                      <w:rFonts w:ascii="Times New Roman" w:hAnsi="Times New Roman" w:eastAsia="宋体"/>
                      <w:color w:val="auto"/>
                      <w:highlight w:val="none"/>
                    </w:rPr>
                    <w:t>符合</w:t>
                  </w:r>
                </w:p>
              </w:tc>
            </w:tr>
            <w:tr w14:paraId="07E2B6E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42" w:type="dxa"/>
                  <w:tcBorders>
                    <w:tl2br w:val="nil"/>
                    <w:tr2bl w:val="nil"/>
                  </w:tcBorders>
                  <w:vAlign w:val="center"/>
                </w:tcPr>
                <w:p w14:paraId="573B8E0C">
                  <w:pPr>
                    <w:pStyle w:val="21"/>
                    <w:rPr>
                      <w:rFonts w:ascii="Times New Roman" w:hAnsi="Times New Roman" w:eastAsia="宋体"/>
                      <w:color w:val="auto"/>
                      <w:highlight w:val="none"/>
                    </w:rPr>
                  </w:pPr>
                  <w:r>
                    <w:rPr>
                      <w:rFonts w:ascii="Times New Roman" w:hAnsi="Times New Roman" w:eastAsia="宋体"/>
                      <w:color w:val="auto"/>
                      <w:highlight w:val="none"/>
                    </w:rPr>
                    <w:t>6</w:t>
                  </w:r>
                </w:p>
              </w:tc>
              <w:tc>
                <w:tcPr>
                  <w:tcW w:w="3821" w:type="dxa"/>
                  <w:tcBorders>
                    <w:tl2br w:val="nil"/>
                    <w:tr2bl w:val="nil"/>
                  </w:tcBorders>
                  <w:vAlign w:val="center"/>
                </w:tcPr>
                <w:p w14:paraId="22C54471">
                  <w:pPr>
                    <w:pStyle w:val="21"/>
                    <w:rPr>
                      <w:rFonts w:ascii="Times New Roman" w:hAnsi="Times New Roman" w:eastAsia="宋体"/>
                      <w:color w:val="auto"/>
                      <w:highlight w:val="none"/>
                    </w:rPr>
                  </w:pPr>
                  <w:r>
                    <w:rPr>
                      <w:rFonts w:ascii="Times New Roman" w:hAnsi="Times New Roman" w:eastAsia="宋体"/>
                      <w:color w:val="auto"/>
                      <w:highlight w:val="none"/>
                    </w:rPr>
                    <w:t>严守环境质量底线，强化污染物排放总量管控。根据国家和江苏省关于大气、水、土壤污染防治和江苏省、南京市“三线一单”生态环境分区管控相关要求，制定经开区污染减排和环境综合治理方案，采取有效措施减少主要污染物和特征污染物的排放量，推进挥发性有机物和氮氧化物协同减排，确保区域生态环境质量持续改善。</w:t>
                  </w:r>
                </w:p>
              </w:tc>
              <w:tc>
                <w:tcPr>
                  <w:tcW w:w="1733" w:type="dxa"/>
                  <w:tcBorders>
                    <w:tl2br w:val="nil"/>
                    <w:tr2bl w:val="nil"/>
                  </w:tcBorders>
                  <w:vAlign w:val="center"/>
                </w:tcPr>
                <w:p w14:paraId="04DF73FA">
                  <w:pPr>
                    <w:pStyle w:val="21"/>
                    <w:rPr>
                      <w:rFonts w:ascii="Times New Roman" w:hAnsi="Times New Roman" w:eastAsia="宋体"/>
                      <w:color w:val="auto"/>
                      <w:highlight w:val="none"/>
                    </w:rPr>
                  </w:pPr>
                  <w:r>
                    <w:rPr>
                      <w:rFonts w:ascii="Times New Roman" w:hAnsi="Times New Roman" w:eastAsia="宋体"/>
                      <w:color w:val="auto"/>
                      <w:highlight w:val="none"/>
                    </w:rPr>
                    <w:t>本项目产生的废水、废气污染物均得到妥善处置，均已取得总量指标。废水废气总量在江宁开发区内平衡。</w:t>
                  </w:r>
                </w:p>
              </w:tc>
              <w:tc>
                <w:tcPr>
                  <w:tcW w:w="664" w:type="dxa"/>
                  <w:tcBorders>
                    <w:tl2br w:val="nil"/>
                    <w:tr2bl w:val="nil"/>
                  </w:tcBorders>
                  <w:vAlign w:val="center"/>
                </w:tcPr>
                <w:p w14:paraId="0B70F7E5">
                  <w:pPr>
                    <w:pStyle w:val="21"/>
                    <w:rPr>
                      <w:rFonts w:ascii="Times New Roman" w:hAnsi="Times New Roman" w:eastAsia="宋体"/>
                      <w:color w:val="auto"/>
                      <w:highlight w:val="none"/>
                    </w:rPr>
                  </w:pPr>
                  <w:r>
                    <w:rPr>
                      <w:rFonts w:ascii="Times New Roman" w:hAnsi="Times New Roman" w:eastAsia="宋体"/>
                      <w:color w:val="auto"/>
                      <w:highlight w:val="none"/>
                    </w:rPr>
                    <w:t>符合</w:t>
                  </w:r>
                </w:p>
              </w:tc>
            </w:tr>
            <w:tr w14:paraId="4986664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42" w:type="dxa"/>
                  <w:tcBorders>
                    <w:tl2br w:val="nil"/>
                    <w:tr2bl w:val="nil"/>
                  </w:tcBorders>
                  <w:vAlign w:val="center"/>
                </w:tcPr>
                <w:p w14:paraId="1F8F83ED">
                  <w:pPr>
                    <w:pStyle w:val="21"/>
                    <w:rPr>
                      <w:rFonts w:ascii="Times New Roman" w:hAnsi="Times New Roman" w:eastAsia="宋体"/>
                      <w:color w:val="auto"/>
                      <w:highlight w:val="none"/>
                    </w:rPr>
                  </w:pPr>
                  <w:r>
                    <w:rPr>
                      <w:rFonts w:ascii="Times New Roman" w:hAnsi="Times New Roman" w:eastAsia="宋体"/>
                      <w:color w:val="auto"/>
                      <w:highlight w:val="none"/>
                    </w:rPr>
                    <w:t>7</w:t>
                  </w:r>
                </w:p>
              </w:tc>
              <w:tc>
                <w:tcPr>
                  <w:tcW w:w="3821" w:type="dxa"/>
                  <w:tcBorders>
                    <w:tl2br w:val="nil"/>
                    <w:tr2bl w:val="nil"/>
                  </w:tcBorders>
                  <w:vAlign w:val="center"/>
                </w:tcPr>
                <w:p w14:paraId="5FC4E3ED">
                  <w:pPr>
                    <w:pStyle w:val="21"/>
                    <w:rPr>
                      <w:rFonts w:ascii="Times New Roman" w:hAnsi="Times New Roman" w:eastAsia="宋体"/>
                      <w:color w:val="auto"/>
                      <w:highlight w:val="none"/>
                    </w:rPr>
                  </w:pPr>
                  <w:r>
                    <w:rPr>
                      <w:rFonts w:ascii="Times New Roman" w:hAnsi="Times New Roman" w:eastAsia="宋体"/>
                      <w:color w:val="auto"/>
                      <w:highlight w:val="none"/>
                    </w:rPr>
                    <w:t>严格入区项目生态环境准入，推动高质量发展。在衔接区域“三线一单”生态环境分区管控要求的前提下，落实《报告书》提出的各片区生态环境准入要求，禁止与主导产业不相关且排污负荷大的项目入区。执行最严格的行业废水、废气排放控制要求，引进项目的生产工艺和设备、资源能源利用效率、污染治理等均需达到同行业国际先进水平，现有企业不断提高清洁生产和污染治理水平，持续降低污染物排放量。</w:t>
                  </w:r>
                </w:p>
              </w:tc>
              <w:tc>
                <w:tcPr>
                  <w:tcW w:w="1733" w:type="dxa"/>
                  <w:tcBorders>
                    <w:tl2br w:val="nil"/>
                    <w:tr2bl w:val="nil"/>
                  </w:tcBorders>
                  <w:vAlign w:val="center"/>
                </w:tcPr>
                <w:p w14:paraId="1F68EA38">
                  <w:pPr>
                    <w:pStyle w:val="21"/>
                    <w:rPr>
                      <w:rFonts w:ascii="Times New Roman" w:hAnsi="Times New Roman" w:eastAsia="宋体"/>
                      <w:color w:val="auto"/>
                      <w:highlight w:val="none"/>
                      <w:lang w:val="en-US"/>
                    </w:rPr>
                  </w:pPr>
                  <w:r>
                    <w:rPr>
                      <w:rFonts w:hint="eastAsia" w:ascii="Times New Roman" w:hAnsi="Times New Roman" w:eastAsia="宋体"/>
                      <w:color w:val="auto"/>
                      <w:highlight w:val="none"/>
                      <w:lang w:val="en-US"/>
                    </w:rPr>
                    <w:t>本项目符合区域“三线一单”生态环境分区管控及开发区</w:t>
                  </w:r>
                  <w:r>
                    <w:rPr>
                      <w:rFonts w:ascii="Times New Roman" w:hAnsi="Times New Roman" w:eastAsia="宋体"/>
                      <w:color w:val="auto"/>
                      <w:highlight w:val="none"/>
                    </w:rPr>
                    <w:t>生态环境准入要求</w:t>
                  </w:r>
                  <w:r>
                    <w:rPr>
                      <w:rFonts w:hint="eastAsia" w:ascii="Times New Roman" w:hAnsi="Times New Roman" w:eastAsia="宋体"/>
                      <w:color w:val="auto"/>
                      <w:highlight w:val="none"/>
                    </w:rPr>
                    <w:t>，</w:t>
                  </w:r>
                  <w:r>
                    <w:rPr>
                      <w:rFonts w:hint="eastAsia" w:ascii="Times New Roman" w:hAnsi="Times New Roman" w:eastAsia="宋体"/>
                      <w:color w:val="auto"/>
                      <w:highlight w:val="none"/>
                      <w:lang w:val="en-US"/>
                    </w:rPr>
                    <w:t>项目</w:t>
                  </w:r>
                  <w:r>
                    <w:rPr>
                      <w:rFonts w:hint="eastAsia" w:ascii="Times New Roman" w:hAnsi="Times New Roman" w:eastAsia="宋体"/>
                      <w:color w:val="auto"/>
                      <w:highlight w:val="none"/>
                      <w:lang w:val="en-US" w:eastAsia="zh-CN"/>
                    </w:rPr>
                    <w:t>采用先进生产设施，清洁生产水平</w:t>
                  </w:r>
                  <w:r>
                    <w:rPr>
                      <w:rFonts w:hint="eastAsia" w:ascii="Times New Roman" w:hAnsi="Times New Roman" w:eastAsia="宋体"/>
                      <w:color w:val="auto"/>
                      <w:highlight w:val="none"/>
                      <w:lang w:val="en-US"/>
                    </w:rPr>
                    <w:t>可达到</w:t>
                  </w:r>
                  <w:r>
                    <w:rPr>
                      <w:rFonts w:hint="eastAsia" w:ascii="Times New Roman" w:hAnsi="Times New Roman" w:eastAsia="宋体"/>
                      <w:color w:val="auto"/>
                      <w:highlight w:val="none"/>
                      <w:lang w:val="en-US" w:eastAsia="zh-CN"/>
                    </w:rPr>
                    <w:t>同行业</w:t>
                  </w:r>
                  <w:r>
                    <w:rPr>
                      <w:rFonts w:hint="eastAsia" w:ascii="Times New Roman" w:hAnsi="Times New Roman" w:eastAsia="宋体"/>
                      <w:color w:val="auto"/>
                      <w:highlight w:val="none"/>
                      <w:lang w:val="en-US"/>
                    </w:rPr>
                    <w:t>先进水平，</w:t>
                  </w:r>
                  <w:r>
                    <w:rPr>
                      <w:rFonts w:hint="eastAsia" w:ascii="Times New Roman" w:hAnsi="Times New Roman" w:eastAsia="宋体"/>
                      <w:color w:val="auto"/>
                      <w:highlight w:val="none"/>
                      <w:lang w:val="en-US" w:eastAsia="zh-CN"/>
                    </w:rPr>
                    <w:t>不属于</w:t>
                  </w:r>
                  <w:r>
                    <w:rPr>
                      <w:rFonts w:hint="eastAsia" w:ascii="Times New Roman" w:hAnsi="Times New Roman" w:eastAsia="宋体"/>
                      <w:color w:val="auto"/>
                      <w:highlight w:val="none"/>
                      <w:lang w:val="en-US"/>
                    </w:rPr>
                    <w:t>排污负荷大</w:t>
                  </w:r>
                  <w:r>
                    <w:rPr>
                      <w:rFonts w:hint="eastAsia" w:ascii="Times New Roman" w:hAnsi="Times New Roman" w:eastAsia="宋体"/>
                      <w:color w:val="auto"/>
                      <w:highlight w:val="none"/>
                      <w:lang w:val="en-US" w:eastAsia="zh-CN"/>
                    </w:rPr>
                    <w:t>的项目</w:t>
                  </w:r>
                  <w:r>
                    <w:rPr>
                      <w:rFonts w:hint="eastAsia" w:ascii="Times New Roman" w:hAnsi="Times New Roman" w:eastAsia="宋体"/>
                      <w:color w:val="auto"/>
                      <w:highlight w:val="none"/>
                      <w:lang w:val="en-US"/>
                    </w:rPr>
                    <w:t>。</w:t>
                  </w:r>
                </w:p>
              </w:tc>
              <w:tc>
                <w:tcPr>
                  <w:tcW w:w="664" w:type="dxa"/>
                  <w:tcBorders>
                    <w:tl2br w:val="nil"/>
                    <w:tr2bl w:val="nil"/>
                  </w:tcBorders>
                  <w:vAlign w:val="center"/>
                </w:tcPr>
                <w:p w14:paraId="16EE2822">
                  <w:pPr>
                    <w:pStyle w:val="21"/>
                    <w:rPr>
                      <w:rFonts w:ascii="Times New Roman" w:hAnsi="Times New Roman" w:eastAsia="宋体"/>
                      <w:color w:val="auto"/>
                      <w:highlight w:val="none"/>
                    </w:rPr>
                  </w:pPr>
                  <w:r>
                    <w:rPr>
                      <w:rFonts w:ascii="Times New Roman" w:hAnsi="Times New Roman" w:eastAsia="宋体"/>
                      <w:color w:val="auto"/>
                      <w:highlight w:val="none"/>
                    </w:rPr>
                    <w:t>符合</w:t>
                  </w:r>
                </w:p>
              </w:tc>
            </w:tr>
            <w:tr w14:paraId="74A38B4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42" w:type="dxa"/>
                  <w:tcBorders>
                    <w:tl2br w:val="nil"/>
                    <w:tr2bl w:val="nil"/>
                  </w:tcBorders>
                  <w:vAlign w:val="center"/>
                </w:tcPr>
                <w:p w14:paraId="440DDDE0">
                  <w:pPr>
                    <w:pStyle w:val="21"/>
                    <w:rPr>
                      <w:rFonts w:ascii="Times New Roman" w:hAnsi="Times New Roman" w:eastAsia="宋体"/>
                      <w:color w:val="auto"/>
                      <w:highlight w:val="none"/>
                    </w:rPr>
                  </w:pPr>
                  <w:r>
                    <w:rPr>
                      <w:rFonts w:ascii="Times New Roman" w:hAnsi="Times New Roman" w:eastAsia="宋体"/>
                      <w:color w:val="auto"/>
                      <w:highlight w:val="none"/>
                    </w:rPr>
                    <w:t>8</w:t>
                  </w:r>
                </w:p>
              </w:tc>
              <w:tc>
                <w:tcPr>
                  <w:tcW w:w="3821" w:type="dxa"/>
                  <w:tcBorders>
                    <w:tl2br w:val="nil"/>
                    <w:tr2bl w:val="nil"/>
                  </w:tcBorders>
                  <w:vAlign w:val="center"/>
                </w:tcPr>
                <w:p w14:paraId="6305A36E">
                  <w:pPr>
                    <w:pStyle w:val="21"/>
                    <w:rPr>
                      <w:rFonts w:ascii="Times New Roman" w:hAnsi="Times New Roman" w:eastAsia="宋体"/>
                      <w:color w:val="auto"/>
                      <w:highlight w:val="none"/>
                    </w:rPr>
                  </w:pPr>
                  <w:r>
                    <w:rPr>
                      <w:rFonts w:ascii="Times New Roman" w:hAnsi="Times New Roman" w:eastAsia="宋体"/>
                      <w:color w:val="auto"/>
                      <w:highlight w:val="none"/>
                    </w:rPr>
                    <w:t>健全完善环境监测体系，强化环境风险防范。完善包括环境空气、地表水、地下水、土壤、底泥等环境要素的监测体系，根据监测结果适时优化《规划》；强化区域环境风险防范体系，建立应急响应联动机制。提升环境风险防控和应急响应能力，保障区域环境安全。</w:t>
                  </w:r>
                </w:p>
              </w:tc>
              <w:tc>
                <w:tcPr>
                  <w:tcW w:w="1733" w:type="dxa"/>
                  <w:tcBorders>
                    <w:tl2br w:val="nil"/>
                    <w:tr2bl w:val="nil"/>
                  </w:tcBorders>
                  <w:vAlign w:val="center"/>
                </w:tcPr>
                <w:p w14:paraId="6A5B909E">
                  <w:pPr>
                    <w:pStyle w:val="21"/>
                    <w:rPr>
                      <w:rFonts w:ascii="Times New Roman" w:hAnsi="Times New Roman" w:eastAsia="宋体"/>
                      <w:color w:val="auto"/>
                      <w:highlight w:val="none"/>
                    </w:rPr>
                  </w:pPr>
                  <w:r>
                    <w:rPr>
                      <w:rFonts w:ascii="Times New Roman" w:hAnsi="Times New Roman" w:eastAsia="宋体"/>
                      <w:color w:val="auto"/>
                      <w:highlight w:val="none"/>
                    </w:rPr>
                    <w:t>本项目将积极做好环境保护规划，建立健全</w:t>
                  </w:r>
                  <w:r>
                    <w:rPr>
                      <w:rFonts w:hint="eastAsia" w:ascii="Times New Roman" w:hAnsi="Times New Roman" w:eastAsia="宋体"/>
                      <w:color w:val="auto"/>
                      <w:highlight w:val="none"/>
                      <w:lang w:val="en-US"/>
                    </w:rPr>
                    <w:t>的环境</w:t>
                  </w:r>
                  <w:r>
                    <w:rPr>
                      <w:rFonts w:ascii="Times New Roman" w:hAnsi="Times New Roman" w:eastAsia="宋体"/>
                      <w:color w:val="auto"/>
                      <w:highlight w:val="none"/>
                    </w:rPr>
                    <w:t>风险防范体系</w:t>
                  </w:r>
                  <w:r>
                    <w:rPr>
                      <w:rFonts w:hint="eastAsia" w:ascii="Times New Roman" w:hAnsi="Times New Roman" w:eastAsia="宋体"/>
                      <w:color w:val="auto"/>
                      <w:highlight w:val="none"/>
                    </w:rPr>
                    <w:t>，</w:t>
                  </w:r>
                  <w:r>
                    <w:rPr>
                      <w:rFonts w:hint="eastAsia" w:ascii="Times New Roman" w:hAnsi="Times New Roman" w:eastAsia="宋体"/>
                      <w:color w:val="auto"/>
                      <w:highlight w:val="none"/>
                      <w:lang w:val="en-US"/>
                    </w:rPr>
                    <w:t>根据相关法律法规制定突发环境应急预案，并与上级应急预案衔接</w:t>
                  </w:r>
                  <w:r>
                    <w:rPr>
                      <w:rFonts w:ascii="Times New Roman" w:hAnsi="Times New Roman" w:eastAsia="宋体"/>
                      <w:color w:val="auto"/>
                      <w:highlight w:val="none"/>
                    </w:rPr>
                    <w:t>。</w:t>
                  </w:r>
                </w:p>
              </w:tc>
              <w:tc>
                <w:tcPr>
                  <w:tcW w:w="664" w:type="dxa"/>
                  <w:tcBorders>
                    <w:tl2br w:val="nil"/>
                    <w:tr2bl w:val="nil"/>
                  </w:tcBorders>
                  <w:vAlign w:val="center"/>
                </w:tcPr>
                <w:p w14:paraId="55C7FF8C">
                  <w:pPr>
                    <w:pStyle w:val="21"/>
                    <w:rPr>
                      <w:rFonts w:ascii="Times New Roman" w:hAnsi="Times New Roman" w:eastAsia="宋体"/>
                      <w:color w:val="auto"/>
                      <w:highlight w:val="none"/>
                    </w:rPr>
                  </w:pPr>
                  <w:r>
                    <w:rPr>
                      <w:rFonts w:ascii="Times New Roman" w:hAnsi="Times New Roman" w:eastAsia="宋体"/>
                      <w:color w:val="auto"/>
                      <w:highlight w:val="none"/>
                    </w:rPr>
                    <w:t>符合</w:t>
                  </w:r>
                </w:p>
              </w:tc>
            </w:tr>
          </w:tbl>
          <w:p w14:paraId="41221DF2">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根据上表分析，本项目符合江宁经济技术开发区规划环评审查意见要求。</w:t>
            </w:r>
          </w:p>
        </w:tc>
      </w:tr>
      <w:tr w14:paraId="1B17AE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16" w:type="dxa"/>
            <w:tcMar>
              <w:top w:w="16" w:type="dxa"/>
              <w:left w:w="16" w:type="dxa"/>
              <w:right w:w="16" w:type="dxa"/>
            </w:tcMar>
            <w:vAlign w:val="center"/>
          </w:tcPr>
          <w:p w14:paraId="3C3C0EE4">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其他符合性分析</w:t>
            </w:r>
          </w:p>
        </w:tc>
        <w:tc>
          <w:tcPr>
            <w:tcW w:w="6716" w:type="dxa"/>
            <w:gridSpan w:val="3"/>
            <w:vAlign w:val="center"/>
          </w:tcPr>
          <w:p w14:paraId="67140A08">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1、产业政策相符性分析</w:t>
            </w:r>
          </w:p>
          <w:p w14:paraId="06D1C082">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根据《国民经济行业分类》（GB/T4754-2017）（2019年修订本），本项目属于</w:t>
            </w:r>
            <w:r>
              <w:rPr>
                <w:rFonts w:hint="eastAsia" w:ascii="Times New Roman" w:hAnsi="Times New Roman" w:eastAsia="宋体"/>
                <w:color w:val="auto"/>
                <w:highlight w:val="none"/>
                <w:lang w:val="en-US"/>
              </w:rPr>
              <w:t>“</w:t>
            </w:r>
            <w:r>
              <w:rPr>
                <w:rFonts w:hint="eastAsia"/>
                <w:color w:val="auto"/>
                <w:highlight w:val="none"/>
                <w:lang w:val="en-US" w:eastAsia="zh-CN"/>
              </w:rPr>
              <w:t>C1522</w:t>
            </w:r>
            <w:r>
              <w:rPr>
                <w:rFonts w:hint="eastAsia" w:ascii="Times New Roman" w:hAnsi="Times New Roman" w:eastAsia="宋体"/>
                <w:color w:val="auto"/>
                <w:highlight w:val="none"/>
                <w:lang w:val="en-US"/>
              </w:rPr>
              <w:t>瓶（罐）装饮用水制造”</w:t>
            </w:r>
            <w:r>
              <w:rPr>
                <w:rFonts w:hint="default" w:ascii="Times New Roman" w:hAnsi="Times New Roman" w:eastAsia="宋体"/>
                <w:color w:val="auto"/>
                <w:highlight w:val="none"/>
                <w:lang w:val="en-US"/>
              </w:rPr>
              <w:t>。本项目与相关产业政策符合性分析见下表：</w:t>
            </w:r>
          </w:p>
          <w:p w14:paraId="37D2E869">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表1-</w:t>
            </w:r>
            <w:r>
              <w:rPr>
                <w:rFonts w:ascii="Times New Roman" w:hAnsi="Times New Roman" w:eastAsia="宋体"/>
                <w:color w:val="auto"/>
                <w:highlight w:val="none"/>
              </w:rPr>
              <w:t>4</w:t>
            </w:r>
            <w:r>
              <w:rPr>
                <w:rFonts w:hint="default" w:ascii="Times New Roman" w:hAnsi="Times New Roman" w:eastAsia="宋体"/>
                <w:color w:val="auto"/>
                <w:highlight w:val="none"/>
              </w:rPr>
              <w:t>相关产业政策符合性分析</w:t>
            </w:r>
          </w:p>
          <w:tbl>
            <w:tblPr>
              <w:tblStyle w:val="30"/>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685"/>
              <w:gridCol w:w="2662"/>
              <w:gridCol w:w="2425"/>
              <w:gridCol w:w="888"/>
            </w:tblGrid>
            <w:tr w14:paraId="5D37E49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5" w:type="dxa"/>
                  <w:tcBorders>
                    <w:tl2br w:val="nil"/>
                    <w:tr2bl w:val="nil"/>
                  </w:tcBorders>
                  <w:vAlign w:val="center"/>
                </w:tcPr>
                <w:p w14:paraId="18B3BDAB">
                  <w:pPr>
                    <w:pStyle w:val="21"/>
                    <w:rPr>
                      <w:b/>
                      <w:bCs/>
                      <w:color w:val="auto"/>
                      <w:highlight w:val="none"/>
                    </w:rPr>
                  </w:pPr>
                  <w:r>
                    <w:rPr>
                      <w:b/>
                      <w:bCs/>
                      <w:color w:val="auto"/>
                      <w:highlight w:val="none"/>
                    </w:rPr>
                    <w:t>类型</w:t>
                  </w:r>
                </w:p>
              </w:tc>
              <w:tc>
                <w:tcPr>
                  <w:tcW w:w="2662" w:type="dxa"/>
                  <w:tcBorders>
                    <w:tl2br w:val="nil"/>
                    <w:tr2bl w:val="nil"/>
                  </w:tcBorders>
                  <w:vAlign w:val="center"/>
                </w:tcPr>
                <w:p w14:paraId="161D2758">
                  <w:pPr>
                    <w:pStyle w:val="21"/>
                    <w:rPr>
                      <w:b/>
                      <w:bCs/>
                      <w:color w:val="auto"/>
                      <w:highlight w:val="none"/>
                    </w:rPr>
                  </w:pPr>
                  <w:r>
                    <w:rPr>
                      <w:b/>
                      <w:bCs/>
                      <w:color w:val="auto"/>
                      <w:highlight w:val="none"/>
                    </w:rPr>
                    <w:t>政策名称</w:t>
                  </w:r>
                </w:p>
              </w:tc>
              <w:tc>
                <w:tcPr>
                  <w:tcW w:w="2425" w:type="dxa"/>
                  <w:tcBorders>
                    <w:tl2br w:val="nil"/>
                    <w:tr2bl w:val="nil"/>
                  </w:tcBorders>
                  <w:vAlign w:val="center"/>
                </w:tcPr>
                <w:p w14:paraId="15F7D4D0">
                  <w:pPr>
                    <w:pStyle w:val="21"/>
                    <w:rPr>
                      <w:b/>
                      <w:bCs/>
                      <w:color w:val="auto"/>
                      <w:highlight w:val="none"/>
                    </w:rPr>
                  </w:pPr>
                  <w:r>
                    <w:rPr>
                      <w:b/>
                      <w:bCs/>
                      <w:color w:val="auto"/>
                      <w:highlight w:val="none"/>
                    </w:rPr>
                    <w:t>本项目情况</w:t>
                  </w:r>
                </w:p>
              </w:tc>
              <w:tc>
                <w:tcPr>
                  <w:tcW w:w="888" w:type="dxa"/>
                  <w:tcBorders>
                    <w:tl2br w:val="nil"/>
                    <w:tr2bl w:val="nil"/>
                  </w:tcBorders>
                  <w:vAlign w:val="center"/>
                </w:tcPr>
                <w:p w14:paraId="638EDE9B">
                  <w:pPr>
                    <w:pStyle w:val="21"/>
                    <w:rPr>
                      <w:b/>
                      <w:bCs/>
                      <w:color w:val="auto"/>
                      <w:highlight w:val="none"/>
                    </w:rPr>
                  </w:pPr>
                  <w:r>
                    <w:rPr>
                      <w:b/>
                      <w:bCs/>
                      <w:color w:val="auto"/>
                      <w:highlight w:val="none"/>
                    </w:rPr>
                    <w:t>相符性</w:t>
                  </w:r>
                </w:p>
              </w:tc>
            </w:tr>
            <w:tr w14:paraId="0A254B1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5" w:type="dxa"/>
                  <w:vMerge w:val="restart"/>
                  <w:tcBorders>
                    <w:tl2br w:val="nil"/>
                    <w:tr2bl w:val="nil"/>
                  </w:tcBorders>
                  <w:vAlign w:val="center"/>
                </w:tcPr>
                <w:p w14:paraId="60272D49">
                  <w:pPr>
                    <w:pStyle w:val="21"/>
                    <w:rPr>
                      <w:color w:val="auto"/>
                      <w:highlight w:val="none"/>
                    </w:rPr>
                  </w:pPr>
                  <w:r>
                    <w:rPr>
                      <w:color w:val="auto"/>
                      <w:highlight w:val="none"/>
                    </w:rPr>
                    <w:t>产业政策</w:t>
                  </w:r>
                </w:p>
              </w:tc>
              <w:tc>
                <w:tcPr>
                  <w:tcW w:w="2662" w:type="dxa"/>
                  <w:tcBorders>
                    <w:tl2br w:val="nil"/>
                    <w:tr2bl w:val="nil"/>
                  </w:tcBorders>
                  <w:vAlign w:val="center"/>
                </w:tcPr>
                <w:p w14:paraId="73813B5E">
                  <w:pPr>
                    <w:pStyle w:val="21"/>
                    <w:rPr>
                      <w:color w:val="auto"/>
                      <w:highlight w:val="none"/>
                    </w:rPr>
                  </w:pPr>
                  <w:r>
                    <w:rPr>
                      <w:color w:val="auto"/>
                      <w:highlight w:val="none"/>
                    </w:rPr>
                    <w:t>《产业结构调整指导目录（2024年本）》</w:t>
                  </w:r>
                </w:p>
              </w:tc>
              <w:tc>
                <w:tcPr>
                  <w:tcW w:w="2425" w:type="dxa"/>
                  <w:tcBorders>
                    <w:tl2br w:val="nil"/>
                    <w:tr2bl w:val="nil"/>
                  </w:tcBorders>
                  <w:vAlign w:val="center"/>
                </w:tcPr>
                <w:p w14:paraId="2936B2F8">
                  <w:pPr>
                    <w:pStyle w:val="21"/>
                    <w:rPr>
                      <w:color w:val="auto"/>
                      <w:highlight w:val="none"/>
                    </w:rPr>
                  </w:pPr>
                  <w:r>
                    <w:rPr>
                      <w:rFonts w:hint="eastAsia"/>
                      <w:color w:val="auto"/>
                      <w:highlight w:val="none"/>
                    </w:rPr>
                    <w:t>本项目不属于其中限制类和淘汰类</w:t>
                  </w:r>
                </w:p>
              </w:tc>
              <w:tc>
                <w:tcPr>
                  <w:tcW w:w="888" w:type="dxa"/>
                  <w:tcBorders>
                    <w:tl2br w:val="nil"/>
                    <w:tr2bl w:val="nil"/>
                  </w:tcBorders>
                  <w:vAlign w:val="center"/>
                </w:tcPr>
                <w:p w14:paraId="319B5776">
                  <w:pPr>
                    <w:pStyle w:val="21"/>
                    <w:rPr>
                      <w:color w:val="auto"/>
                      <w:highlight w:val="none"/>
                    </w:rPr>
                  </w:pPr>
                  <w:r>
                    <w:rPr>
                      <w:rFonts w:hint="eastAsia"/>
                      <w:color w:val="auto"/>
                      <w:highlight w:val="none"/>
                    </w:rPr>
                    <w:t>符合要求</w:t>
                  </w:r>
                </w:p>
              </w:tc>
            </w:tr>
            <w:tr w14:paraId="6535523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5" w:type="dxa"/>
                  <w:vMerge w:val="continue"/>
                  <w:tcBorders>
                    <w:tl2br w:val="nil"/>
                    <w:tr2bl w:val="nil"/>
                  </w:tcBorders>
                  <w:vAlign w:val="center"/>
                </w:tcPr>
                <w:p w14:paraId="54963AB2">
                  <w:pPr>
                    <w:pStyle w:val="21"/>
                    <w:rPr>
                      <w:color w:val="auto"/>
                      <w:highlight w:val="none"/>
                    </w:rPr>
                  </w:pPr>
                </w:p>
              </w:tc>
              <w:tc>
                <w:tcPr>
                  <w:tcW w:w="2662" w:type="dxa"/>
                  <w:tcBorders>
                    <w:tl2br w:val="nil"/>
                    <w:tr2bl w:val="nil"/>
                  </w:tcBorders>
                  <w:vAlign w:val="center"/>
                </w:tcPr>
                <w:p w14:paraId="44DDE2F8">
                  <w:pPr>
                    <w:pStyle w:val="21"/>
                    <w:rPr>
                      <w:rFonts w:hint="default" w:eastAsia="宋体"/>
                      <w:color w:val="auto"/>
                      <w:highlight w:val="none"/>
                      <w:lang w:val="en-US" w:eastAsia="zh-CN"/>
                    </w:rPr>
                  </w:pPr>
                  <w:r>
                    <w:rPr>
                      <w:rFonts w:hint="eastAsia"/>
                      <w:color w:val="auto"/>
                      <w:highlight w:val="none"/>
                      <w:lang w:eastAsia="zh-CN"/>
                    </w:rPr>
                    <w:t>《鼓励外商投资产业目录（2022年版）》</w:t>
                  </w:r>
                  <w:r>
                    <w:rPr>
                      <w:rFonts w:hint="eastAsia"/>
                      <w:color w:val="auto"/>
                      <w:highlight w:val="none"/>
                      <w:lang w:val="en-US" w:eastAsia="zh-CN"/>
                    </w:rPr>
                    <w:t>和《外商投资准入特别管理措施（负面清单）（2024年版）》</w:t>
                  </w:r>
                </w:p>
              </w:tc>
              <w:tc>
                <w:tcPr>
                  <w:tcW w:w="2425" w:type="dxa"/>
                  <w:tcBorders>
                    <w:tl2br w:val="nil"/>
                    <w:tr2bl w:val="nil"/>
                  </w:tcBorders>
                  <w:vAlign w:val="center"/>
                </w:tcPr>
                <w:p w14:paraId="20625771">
                  <w:pPr>
                    <w:pStyle w:val="21"/>
                    <w:rPr>
                      <w:rFonts w:hint="default" w:eastAsia="宋体"/>
                      <w:color w:val="auto"/>
                      <w:highlight w:val="none"/>
                      <w:lang w:val="en-US" w:eastAsia="zh-CN"/>
                    </w:rPr>
                  </w:pPr>
                  <w:r>
                    <w:rPr>
                      <w:rFonts w:hint="eastAsia"/>
                      <w:color w:val="auto"/>
                      <w:highlight w:val="none"/>
                      <w:lang w:val="en-US" w:eastAsia="zh-CN"/>
                    </w:rPr>
                    <w:t>本项目不属于其中鼓励投资类项目也不属于限制和禁止投资类项目，属于允许投资类项目</w:t>
                  </w:r>
                </w:p>
              </w:tc>
              <w:tc>
                <w:tcPr>
                  <w:tcW w:w="888" w:type="dxa"/>
                  <w:tcBorders>
                    <w:tl2br w:val="nil"/>
                    <w:tr2bl w:val="nil"/>
                  </w:tcBorders>
                  <w:vAlign w:val="center"/>
                </w:tcPr>
                <w:p w14:paraId="717D060F">
                  <w:pPr>
                    <w:pStyle w:val="21"/>
                    <w:rPr>
                      <w:rFonts w:hint="eastAsia"/>
                      <w:color w:val="auto"/>
                      <w:highlight w:val="none"/>
                    </w:rPr>
                  </w:pPr>
                  <w:r>
                    <w:rPr>
                      <w:rFonts w:hint="eastAsia"/>
                      <w:color w:val="auto"/>
                      <w:highlight w:val="none"/>
                    </w:rPr>
                    <w:t>符合要求</w:t>
                  </w:r>
                </w:p>
              </w:tc>
            </w:tr>
            <w:tr w14:paraId="5AB07C3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5" w:type="dxa"/>
                  <w:vMerge w:val="continue"/>
                  <w:tcBorders>
                    <w:tl2br w:val="nil"/>
                    <w:tr2bl w:val="nil"/>
                  </w:tcBorders>
                  <w:vAlign w:val="center"/>
                </w:tcPr>
                <w:p w14:paraId="18C2C27E">
                  <w:pPr>
                    <w:pStyle w:val="21"/>
                    <w:rPr>
                      <w:color w:val="auto"/>
                      <w:highlight w:val="none"/>
                    </w:rPr>
                  </w:pPr>
                </w:p>
              </w:tc>
              <w:tc>
                <w:tcPr>
                  <w:tcW w:w="2662" w:type="dxa"/>
                  <w:tcBorders>
                    <w:tl2br w:val="nil"/>
                    <w:tr2bl w:val="nil"/>
                  </w:tcBorders>
                  <w:vAlign w:val="center"/>
                </w:tcPr>
                <w:p w14:paraId="3D92AE9E">
                  <w:pPr>
                    <w:pStyle w:val="21"/>
                    <w:rPr>
                      <w:rFonts w:hint="eastAsia"/>
                      <w:color w:val="auto"/>
                      <w:highlight w:val="none"/>
                      <w:lang w:eastAsia="zh-CN"/>
                    </w:rPr>
                  </w:pPr>
                  <w:r>
                    <w:rPr>
                      <w:rFonts w:hint="eastAsia"/>
                      <w:color w:val="auto"/>
                      <w:highlight w:val="none"/>
                      <w:lang w:eastAsia="zh-CN"/>
                    </w:rPr>
                    <w:t>《自然资源要素支撑产业高质量发展指导目录（2024年本）》（自然资发〔2024〕273号）</w:t>
                  </w:r>
                </w:p>
              </w:tc>
              <w:tc>
                <w:tcPr>
                  <w:tcW w:w="2425" w:type="dxa"/>
                  <w:tcBorders>
                    <w:tl2br w:val="nil"/>
                    <w:tr2bl w:val="nil"/>
                  </w:tcBorders>
                  <w:vAlign w:val="center"/>
                </w:tcPr>
                <w:p w14:paraId="6ED723F1">
                  <w:pPr>
                    <w:pStyle w:val="21"/>
                    <w:rPr>
                      <w:rFonts w:hint="default"/>
                      <w:color w:val="auto"/>
                      <w:highlight w:val="none"/>
                      <w:lang w:val="en-US" w:eastAsia="zh-CN"/>
                    </w:rPr>
                  </w:pPr>
                  <w:r>
                    <w:rPr>
                      <w:rFonts w:hint="eastAsia"/>
                      <w:color w:val="auto"/>
                      <w:highlight w:val="none"/>
                      <w:lang w:val="en-US" w:eastAsia="zh-CN"/>
                    </w:rPr>
                    <w:t>不属于</w:t>
                  </w:r>
                  <w:r>
                    <w:rPr>
                      <w:rFonts w:hint="eastAsia"/>
                      <w:color w:val="auto"/>
                      <w:highlight w:val="none"/>
                    </w:rPr>
                    <w:t>其中限制类和淘汰类</w:t>
                  </w:r>
                </w:p>
              </w:tc>
              <w:tc>
                <w:tcPr>
                  <w:tcW w:w="888" w:type="dxa"/>
                  <w:tcBorders>
                    <w:tl2br w:val="nil"/>
                    <w:tr2bl w:val="nil"/>
                  </w:tcBorders>
                  <w:vAlign w:val="center"/>
                </w:tcPr>
                <w:p w14:paraId="723C33B3">
                  <w:pPr>
                    <w:pStyle w:val="21"/>
                    <w:rPr>
                      <w:rFonts w:hint="eastAsia"/>
                      <w:color w:val="auto"/>
                      <w:highlight w:val="none"/>
                    </w:rPr>
                  </w:pPr>
                  <w:r>
                    <w:rPr>
                      <w:rFonts w:hint="eastAsia"/>
                      <w:color w:val="auto"/>
                      <w:highlight w:val="none"/>
                    </w:rPr>
                    <w:t>符合要求</w:t>
                  </w:r>
                </w:p>
              </w:tc>
            </w:tr>
            <w:tr w14:paraId="76B4F9E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5" w:type="dxa"/>
                  <w:vMerge w:val="continue"/>
                  <w:tcBorders>
                    <w:tl2br w:val="nil"/>
                    <w:tr2bl w:val="nil"/>
                  </w:tcBorders>
                  <w:vAlign w:val="center"/>
                </w:tcPr>
                <w:p w14:paraId="0D812E9A">
                  <w:pPr>
                    <w:pStyle w:val="21"/>
                    <w:rPr>
                      <w:color w:val="auto"/>
                      <w:highlight w:val="none"/>
                    </w:rPr>
                  </w:pPr>
                </w:p>
              </w:tc>
              <w:tc>
                <w:tcPr>
                  <w:tcW w:w="2662" w:type="dxa"/>
                  <w:tcBorders>
                    <w:tl2br w:val="nil"/>
                    <w:tr2bl w:val="nil"/>
                  </w:tcBorders>
                  <w:vAlign w:val="center"/>
                </w:tcPr>
                <w:p w14:paraId="0F37D5B1">
                  <w:pPr>
                    <w:pStyle w:val="21"/>
                    <w:rPr>
                      <w:color w:val="auto"/>
                      <w:highlight w:val="none"/>
                    </w:rPr>
                  </w:pPr>
                  <w:r>
                    <w:rPr>
                      <w:color w:val="auto"/>
                      <w:highlight w:val="none"/>
                    </w:rPr>
                    <w:t>《江苏省禁止用地项目目录》（2013年本）</w:t>
                  </w:r>
                </w:p>
              </w:tc>
              <w:tc>
                <w:tcPr>
                  <w:tcW w:w="2425" w:type="dxa"/>
                  <w:tcBorders>
                    <w:tl2br w:val="nil"/>
                    <w:tr2bl w:val="nil"/>
                  </w:tcBorders>
                  <w:vAlign w:val="center"/>
                </w:tcPr>
                <w:p w14:paraId="4BB6A833">
                  <w:pPr>
                    <w:pStyle w:val="21"/>
                    <w:rPr>
                      <w:color w:val="auto"/>
                      <w:highlight w:val="none"/>
                    </w:rPr>
                  </w:pPr>
                  <w:r>
                    <w:rPr>
                      <w:color w:val="auto"/>
                      <w:highlight w:val="none"/>
                    </w:rPr>
                    <w:t>本项目不属于其中禁止用地项目。</w:t>
                  </w:r>
                </w:p>
              </w:tc>
              <w:tc>
                <w:tcPr>
                  <w:tcW w:w="888" w:type="dxa"/>
                  <w:tcBorders>
                    <w:tl2br w:val="nil"/>
                    <w:tr2bl w:val="nil"/>
                  </w:tcBorders>
                  <w:vAlign w:val="center"/>
                </w:tcPr>
                <w:p w14:paraId="62A68286">
                  <w:pPr>
                    <w:pStyle w:val="21"/>
                    <w:rPr>
                      <w:color w:val="auto"/>
                      <w:highlight w:val="none"/>
                    </w:rPr>
                  </w:pPr>
                  <w:r>
                    <w:rPr>
                      <w:color w:val="auto"/>
                      <w:highlight w:val="none"/>
                    </w:rPr>
                    <w:t>符合要求</w:t>
                  </w:r>
                </w:p>
              </w:tc>
            </w:tr>
            <w:tr w14:paraId="63F9458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685" w:type="dxa"/>
                  <w:vMerge w:val="continue"/>
                  <w:tcBorders>
                    <w:tl2br w:val="nil"/>
                    <w:tr2bl w:val="nil"/>
                  </w:tcBorders>
                  <w:vAlign w:val="center"/>
                </w:tcPr>
                <w:p w14:paraId="03C0279E">
                  <w:pPr>
                    <w:pStyle w:val="21"/>
                    <w:rPr>
                      <w:color w:val="auto"/>
                      <w:highlight w:val="none"/>
                    </w:rPr>
                  </w:pPr>
                </w:p>
              </w:tc>
              <w:tc>
                <w:tcPr>
                  <w:tcW w:w="2662" w:type="dxa"/>
                  <w:tcBorders>
                    <w:tl2br w:val="nil"/>
                    <w:tr2bl w:val="nil"/>
                  </w:tcBorders>
                  <w:vAlign w:val="center"/>
                </w:tcPr>
                <w:p w14:paraId="6EABAA46">
                  <w:pPr>
                    <w:pStyle w:val="21"/>
                    <w:rPr>
                      <w:color w:val="auto"/>
                      <w:highlight w:val="none"/>
                    </w:rPr>
                  </w:pPr>
                  <w:r>
                    <w:rPr>
                      <w:color w:val="auto"/>
                      <w:highlight w:val="none"/>
                    </w:rPr>
                    <w:t>《江苏省限制用地项目目录》（2013年本）</w:t>
                  </w:r>
                </w:p>
              </w:tc>
              <w:tc>
                <w:tcPr>
                  <w:tcW w:w="2425" w:type="dxa"/>
                  <w:tcBorders>
                    <w:tl2br w:val="nil"/>
                    <w:tr2bl w:val="nil"/>
                  </w:tcBorders>
                  <w:vAlign w:val="center"/>
                </w:tcPr>
                <w:p w14:paraId="790EF675">
                  <w:pPr>
                    <w:pStyle w:val="21"/>
                    <w:rPr>
                      <w:color w:val="auto"/>
                      <w:highlight w:val="none"/>
                    </w:rPr>
                  </w:pPr>
                  <w:r>
                    <w:rPr>
                      <w:color w:val="auto"/>
                      <w:highlight w:val="none"/>
                    </w:rPr>
                    <w:t>本项目不属于其中限制用地项目。</w:t>
                  </w:r>
                </w:p>
              </w:tc>
              <w:tc>
                <w:tcPr>
                  <w:tcW w:w="888" w:type="dxa"/>
                  <w:tcBorders>
                    <w:tl2br w:val="nil"/>
                    <w:tr2bl w:val="nil"/>
                  </w:tcBorders>
                  <w:vAlign w:val="center"/>
                </w:tcPr>
                <w:p w14:paraId="5ABB40B7">
                  <w:pPr>
                    <w:pStyle w:val="21"/>
                    <w:rPr>
                      <w:color w:val="auto"/>
                      <w:highlight w:val="none"/>
                    </w:rPr>
                  </w:pPr>
                  <w:r>
                    <w:rPr>
                      <w:color w:val="auto"/>
                      <w:highlight w:val="none"/>
                    </w:rPr>
                    <w:t>符合要求</w:t>
                  </w:r>
                </w:p>
              </w:tc>
            </w:tr>
          </w:tbl>
          <w:p w14:paraId="541B4A1A">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根据上表分析，本项目符合国家及地方产业政策要求。</w:t>
            </w:r>
          </w:p>
          <w:p w14:paraId="35F6BC12">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2、“三线一单相符性分析”</w:t>
            </w:r>
          </w:p>
          <w:p w14:paraId="5599E0FE">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（1）生态保护红线相符性</w:t>
            </w:r>
          </w:p>
          <w:p w14:paraId="0B59640B">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对照《自然资源部办公厅关于北京等省（区、市）启用“三区三线”划定成果作为报批建设项目用地用海依据的函》（自然资办函〔2022〕2207号）、南京市“三区三线”划定成果、《南京市江宁区2023年度生态空间管控区调整方案》《江苏省自然资源厅关于南京市江宁区2023年度生态空间管控区调整方案的复函》（苏自然资函〔2023〕1058号），距离本项目最近的生态保护红线</w:t>
            </w:r>
            <w:r>
              <w:rPr>
                <w:rFonts w:hint="eastAsia"/>
                <w:color w:val="auto"/>
                <w:highlight w:val="none"/>
                <w:lang w:val="en-US" w:eastAsia="zh-CN"/>
              </w:rPr>
              <w:t>为江苏南京上秦淮省级湿地公园，</w:t>
            </w:r>
            <w:r>
              <w:rPr>
                <w:rFonts w:hint="eastAsia" w:ascii="Times New Roman" w:hAnsi="Times New Roman" w:eastAsia="宋体"/>
                <w:color w:val="auto"/>
                <w:highlight w:val="none"/>
                <w:lang w:val="en-US"/>
              </w:rPr>
              <w:t>本项目距其边界约</w:t>
            </w:r>
            <w:r>
              <w:rPr>
                <w:rFonts w:hint="eastAsia" w:ascii="Times New Roman" w:hAnsi="Times New Roman"/>
                <w:color w:val="auto"/>
                <w:highlight w:val="none"/>
                <w:lang w:val="en-US" w:eastAsia="zh-CN"/>
              </w:rPr>
              <w:t>7</w:t>
            </w:r>
            <w:r>
              <w:rPr>
                <w:rFonts w:hint="eastAsia" w:ascii="Times New Roman" w:hAnsi="Times New Roman" w:eastAsia="宋体"/>
                <w:color w:val="auto"/>
                <w:highlight w:val="none"/>
                <w:lang w:val="en-US"/>
              </w:rPr>
              <w:t>km</w:t>
            </w:r>
            <w:r>
              <w:rPr>
                <w:rFonts w:hint="eastAsia"/>
                <w:color w:val="auto"/>
                <w:highlight w:val="none"/>
                <w:lang w:val="en-US" w:eastAsia="zh-CN"/>
              </w:rPr>
              <w:t>，</w:t>
            </w:r>
            <w:r>
              <w:rPr>
                <w:rFonts w:hint="eastAsia" w:ascii="Times New Roman" w:hAnsi="Times New Roman" w:eastAsia="宋体"/>
                <w:color w:val="auto"/>
                <w:highlight w:val="none"/>
                <w:lang w:val="en-US"/>
              </w:rPr>
              <w:t>距离本项目最近的生态空间管控区域为</w:t>
            </w:r>
            <w:r>
              <w:rPr>
                <w:rFonts w:hint="eastAsia" w:ascii="Times New Roman" w:hAnsi="Times New Roman" w:eastAsia="宋体"/>
                <w:color w:val="auto"/>
                <w:highlight w:val="none"/>
              </w:rPr>
              <w:t>牛首</w:t>
            </w:r>
            <w:r>
              <w:rPr>
                <w:rFonts w:hint="eastAsia"/>
                <w:color w:val="auto"/>
                <w:highlight w:val="none"/>
                <w:lang w:eastAsia="zh-CN"/>
              </w:rPr>
              <w:t>－</w:t>
            </w:r>
            <w:r>
              <w:rPr>
                <w:rFonts w:hint="eastAsia" w:ascii="Times New Roman" w:hAnsi="Times New Roman" w:eastAsia="宋体"/>
                <w:color w:val="auto"/>
                <w:highlight w:val="none"/>
              </w:rPr>
              <w:t>祖堂风景名胜区</w:t>
            </w:r>
            <w:r>
              <w:rPr>
                <w:rFonts w:hint="eastAsia" w:ascii="Times New Roman" w:hAnsi="Times New Roman" w:eastAsia="宋体"/>
                <w:color w:val="auto"/>
                <w:highlight w:val="none"/>
                <w:lang w:val="en-US"/>
              </w:rPr>
              <w:t>，本项目距其边界约</w:t>
            </w:r>
            <w:r>
              <w:rPr>
                <w:rFonts w:hint="eastAsia"/>
                <w:color w:val="auto"/>
                <w:highlight w:val="none"/>
                <w:lang w:val="en-US" w:eastAsia="zh-CN"/>
              </w:rPr>
              <w:t>3.2</w:t>
            </w:r>
            <w:r>
              <w:rPr>
                <w:rFonts w:hint="eastAsia" w:ascii="Times New Roman" w:hAnsi="Times New Roman" w:eastAsia="宋体"/>
                <w:color w:val="auto"/>
                <w:highlight w:val="none"/>
                <w:lang w:val="en-US"/>
              </w:rPr>
              <w:t>km。</w:t>
            </w:r>
          </w:p>
          <w:p w14:paraId="1F4975B0">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color w:val="auto"/>
                <w:highlight w:val="none"/>
                <w:lang w:val="en-US" w:eastAsia="zh-CN"/>
              </w:rPr>
              <w:t>综上，</w:t>
            </w:r>
            <w:r>
              <w:rPr>
                <w:rFonts w:hint="default" w:ascii="Times New Roman" w:hAnsi="Times New Roman" w:eastAsia="宋体"/>
                <w:color w:val="auto"/>
                <w:highlight w:val="none"/>
                <w:lang w:val="en-US"/>
              </w:rPr>
              <w:t>本项目用地范围内不涉及国家级生态保护红线和</w:t>
            </w:r>
            <w:r>
              <w:rPr>
                <w:rFonts w:hint="eastAsia" w:ascii="Times New Roman" w:hAnsi="Times New Roman" w:eastAsia="宋体"/>
                <w:color w:val="auto"/>
                <w:highlight w:val="none"/>
                <w:lang w:val="en-US" w:eastAsia="zh-CN"/>
              </w:rPr>
              <w:t>江苏省</w:t>
            </w:r>
            <w:r>
              <w:rPr>
                <w:rFonts w:hint="default" w:ascii="Times New Roman" w:hAnsi="Times New Roman" w:eastAsia="宋体"/>
                <w:color w:val="auto"/>
                <w:highlight w:val="none"/>
                <w:lang w:val="en-US"/>
              </w:rPr>
              <w:t>生态空间管控区域，符合生态保护红线要求。</w:t>
            </w:r>
          </w:p>
          <w:p w14:paraId="60349755">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（2）环境质量底线</w:t>
            </w:r>
          </w:p>
          <w:p w14:paraId="5C9E9322">
            <w:pPr>
              <w:keepNext w:val="0"/>
              <w:keepLines w:val="0"/>
              <w:suppressLineNumbers w:val="0"/>
              <w:spacing w:before="0" w:beforeAutospacing="0" w:after="0" w:afterAutospacing="0"/>
              <w:ind w:left="0" w:right="0" w:firstLine="480"/>
              <w:rPr>
                <w:rFonts w:hint="default"/>
                <w:color w:val="auto"/>
                <w:highlight w:val="none"/>
                <w:lang w:val="en-US"/>
              </w:rPr>
            </w:pPr>
            <w:r>
              <w:rPr>
                <w:rFonts w:hint="default"/>
                <w:color w:val="auto"/>
                <w:highlight w:val="none"/>
                <w:lang w:val="en-US"/>
              </w:rPr>
              <w:t>根据《202</w:t>
            </w:r>
            <w:r>
              <w:rPr>
                <w:rFonts w:hint="eastAsia"/>
                <w:color w:val="auto"/>
                <w:highlight w:val="none"/>
                <w:lang w:val="en-US" w:eastAsia="zh-CN"/>
              </w:rPr>
              <w:t>4</w:t>
            </w:r>
            <w:r>
              <w:rPr>
                <w:rFonts w:hint="default"/>
                <w:color w:val="auto"/>
                <w:highlight w:val="none"/>
                <w:lang w:val="en-US"/>
              </w:rPr>
              <w:t>年南京市生态环境状况公报》，项目所在区域属于环境</w:t>
            </w:r>
            <w:r>
              <w:rPr>
                <w:rFonts w:hint="eastAsia"/>
                <w:color w:val="auto"/>
                <w:highlight w:val="none"/>
                <w:lang w:val="en-US"/>
              </w:rPr>
              <w:t>空气</w:t>
            </w:r>
            <w:r>
              <w:rPr>
                <w:rFonts w:hint="default"/>
                <w:color w:val="auto"/>
                <w:highlight w:val="none"/>
                <w:lang w:val="en-US"/>
              </w:rPr>
              <w:t>质量不达标区，</w:t>
            </w:r>
            <w:r>
              <w:rPr>
                <w:rFonts w:hint="eastAsia"/>
                <w:color w:val="auto"/>
                <w:highlight w:val="none"/>
                <w:lang w:val="en-US"/>
              </w:rPr>
              <w:t>超标因子为O</w:t>
            </w:r>
            <w:r>
              <w:rPr>
                <w:rFonts w:hint="eastAsia"/>
                <w:color w:val="auto"/>
                <w:highlight w:val="none"/>
                <w:vertAlign w:val="subscript"/>
                <w:lang w:val="en-US"/>
              </w:rPr>
              <w:t>3</w:t>
            </w:r>
            <w:r>
              <w:rPr>
                <w:rFonts w:hint="eastAsia"/>
                <w:color w:val="auto"/>
                <w:highlight w:val="none"/>
                <w:lang w:val="en-US"/>
              </w:rPr>
              <w:t>，为了实现大气污染物减排，促进环境空气质量持续改善，江宁区人民政府贯彻落实《中共江苏省委江苏省人民政府关于深入打好污染防治攻坚战的实施意见》（江苏省委办公厅2022年1月24日）、《关于深入打好污染防治攻坚战的实施意见》（南京市委办公厅2022年3月16日），紧盯环境空气质量改善目标任务，以减碳和治污协同推进、PM</w:t>
            </w:r>
            <w:r>
              <w:rPr>
                <w:rFonts w:hint="eastAsia"/>
                <w:color w:val="auto"/>
                <w:highlight w:val="none"/>
                <w:vertAlign w:val="subscript"/>
                <w:lang w:val="en-US"/>
              </w:rPr>
              <w:t>2.5</w:t>
            </w:r>
            <w:r>
              <w:rPr>
                <w:rFonts w:hint="eastAsia"/>
                <w:color w:val="auto"/>
                <w:highlight w:val="none"/>
                <w:lang w:val="en-US"/>
              </w:rPr>
              <w:t>和O</w:t>
            </w:r>
            <w:r>
              <w:rPr>
                <w:rFonts w:hint="eastAsia"/>
                <w:color w:val="auto"/>
                <w:highlight w:val="none"/>
                <w:vertAlign w:val="subscript"/>
                <w:lang w:val="en-US"/>
              </w:rPr>
              <w:t>3</w:t>
            </w:r>
            <w:r>
              <w:rPr>
                <w:rFonts w:hint="eastAsia"/>
                <w:color w:val="auto"/>
                <w:highlight w:val="none"/>
                <w:lang w:val="en-US"/>
              </w:rPr>
              <w:t>协同防控、VOCs和NOx协同治理为主线，全面开展大气污染防治攻坚。通过采取上述措施，南京市环境空气质量状况可以得到持续改善。</w:t>
            </w:r>
            <w:r>
              <w:rPr>
                <w:rFonts w:hint="eastAsia"/>
                <w:color w:val="auto"/>
                <w:highlight w:val="none"/>
                <w:lang w:val="en-US" w:eastAsia="zh-CN"/>
              </w:rPr>
              <w:t>根据引用的《南京江宁经济技术开发区环境评价区域评估报告》（2024年版）</w:t>
            </w:r>
            <w:r>
              <w:rPr>
                <w:rFonts w:hint="eastAsia"/>
                <w:color w:val="auto"/>
                <w:highlight w:val="none"/>
                <w:lang w:eastAsia="zh-CN"/>
              </w:rPr>
              <w:t>中的监测数据，</w:t>
            </w:r>
            <w:r>
              <w:rPr>
                <w:rFonts w:hint="eastAsia"/>
                <w:color w:val="auto"/>
                <w:highlight w:val="none"/>
                <w:lang w:val="en-US"/>
              </w:rPr>
              <w:t>项目所在区域地表水环境质量良好</w:t>
            </w:r>
            <w:r>
              <w:rPr>
                <w:rFonts w:hint="eastAsia"/>
                <w:color w:val="auto"/>
                <w:highlight w:val="none"/>
                <w:lang w:val="en-US" w:eastAsia="zh-CN"/>
              </w:rPr>
              <w:t>，</w:t>
            </w:r>
            <w:r>
              <w:rPr>
                <w:rFonts w:hint="default"/>
                <w:color w:val="auto"/>
                <w:highlight w:val="none"/>
                <w:lang w:val="en-US"/>
              </w:rPr>
              <w:t>根据《202</w:t>
            </w:r>
            <w:r>
              <w:rPr>
                <w:rFonts w:hint="eastAsia"/>
                <w:color w:val="auto"/>
                <w:highlight w:val="none"/>
                <w:lang w:val="en-US" w:eastAsia="zh-CN"/>
              </w:rPr>
              <w:t>4</w:t>
            </w:r>
            <w:r>
              <w:rPr>
                <w:rFonts w:hint="default"/>
                <w:color w:val="auto"/>
                <w:highlight w:val="none"/>
                <w:lang w:val="en-US"/>
              </w:rPr>
              <w:t>年南京市生态环境状况公报》</w:t>
            </w:r>
            <w:r>
              <w:rPr>
                <w:rFonts w:hint="eastAsia"/>
                <w:color w:val="auto"/>
                <w:highlight w:val="none"/>
                <w:lang w:val="en-US" w:eastAsia="zh-CN"/>
              </w:rPr>
              <w:t>项目所在区域声环境质量良好</w:t>
            </w:r>
            <w:r>
              <w:rPr>
                <w:rFonts w:hint="eastAsia"/>
                <w:color w:val="auto"/>
                <w:highlight w:val="none"/>
                <w:lang w:val="en-US"/>
              </w:rPr>
              <w:t>。</w:t>
            </w:r>
          </w:p>
          <w:p w14:paraId="2889466F">
            <w:pPr>
              <w:keepNext w:val="0"/>
              <w:keepLines w:val="0"/>
              <w:suppressLineNumbers w:val="0"/>
              <w:spacing w:before="0" w:beforeAutospacing="0" w:after="0" w:afterAutospacing="0"/>
              <w:ind w:left="0" w:right="0" w:firstLine="480"/>
              <w:rPr>
                <w:rFonts w:hint="default"/>
                <w:color w:val="auto"/>
                <w:highlight w:val="none"/>
                <w:lang w:val="en-US"/>
              </w:rPr>
            </w:pPr>
            <w:r>
              <w:rPr>
                <w:rFonts w:hint="eastAsia"/>
                <w:color w:val="auto"/>
                <w:highlight w:val="none"/>
                <w:lang w:val="en-US"/>
              </w:rPr>
              <w:t>本项目营运期废气、废水</w:t>
            </w:r>
            <w:r>
              <w:rPr>
                <w:rFonts w:hint="eastAsia"/>
                <w:color w:val="auto"/>
                <w:highlight w:val="none"/>
                <w:lang w:val="en-US" w:eastAsia="zh-CN"/>
              </w:rPr>
              <w:t>经有效处理</w:t>
            </w:r>
            <w:r>
              <w:rPr>
                <w:rFonts w:hint="eastAsia"/>
                <w:color w:val="auto"/>
                <w:highlight w:val="none"/>
                <w:lang w:val="en-US"/>
              </w:rPr>
              <w:t>，均能达标排放，经合理布局、隔声减振等措施后，厂界环境噪声排放可达标，产生的各类固体废物均得到有效处理，不会突破环境质量底线。</w:t>
            </w:r>
          </w:p>
          <w:p w14:paraId="46805FC7">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color w:val="auto"/>
                <w:highlight w:val="none"/>
                <w:lang w:val="en-US"/>
              </w:rPr>
              <w:t>因此，本项目建设符合环境质量底线要求。</w:t>
            </w:r>
          </w:p>
          <w:p w14:paraId="07B8EEA2">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（3）资源利用上限</w:t>
            </w:r>
          </w:p>
          <w:p w14:paraId="5CA7647D">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本项目用水来自市政自来水管网，用电市政电网供给，用水、用电量不会突破区域资源利用上</w:t>
            </w:r>
            <w:r>
              <w:rPr>
                <w:rFonts w:hint="eastAsia" w:ascii="Times New Roman" w:hAnsi="Times New Roman" w:eastAsia="宋体"/>
                <w:color w:val="auto"/>
                <w:highlight w:val="none"/>
                <w:lang w:val="en-US"/>
              </w:rPr>
              <w:t>限</w:t>
            </w:r>
            <w:r>
              <w:rPr>
                <w:rFonts w:hint="default" w:ascii="Times New Roman" w:hAnsi="Times New Roman" w:eastAsia="宋体"/>
                <w:color w:val="auto"/>
                <w:highlight w:val="none"/>
                <w:lang w:val="en-US"/>
              </w:rPr>
              <w:t>要求。</w:t>
            </w:r>
          </w:p>
          <w:p w14:paraId="1CC6ECA0">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（4）环境准入负面清单</w:t>
            </w:r>
          </w:p>
          <w:p w14:paraId="1670681B">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本项目从事</w:t>
            </w:r>
            <w:r>
              <w:rPr>
                <w:rFonts w:hint="eastAsia" w:ascii="Times New Roman" w:hAnsi="Times New Roman" w:eastAsia="宋体"/>
                <w:color w:val="auto"/>
                <w:highlight w:val="none"/>
              </w:rPr>
              <w:t>瓶装纯净水生产</w:t>
            </w:r>
            <w:r>
              <w:rPr>
                <w:rFonts w:hint="eastAsia" w:ascii="Times New Roman" w:hAnsi="Times New Roman" w:eastAsia="宋体"/>
                <w:color w:val="auto"/>
                <w:highlight w:val="none"/>
                <w:lang w:val="en-US"/>
              </w:rPr>
              <w:t>，属于</w:t>
            </w:r>
            <w:r>
              <w:rPr>
                <w:rFonts w:hint="eastAsia"/>
                <w:color w:val="auto"/>
                <w:highlight w:val="none"/>
                <w:lang w:val="en-US" w:eastAsia="zh-CN"/>
              </w:rPr>
              <w:t>C1522</w:t>
            </w:r>
            <w:r>
              <w:rPr>
                <w:rFonts w:hint="eastAsia" w:ascii="Times New Roman" w:hAnsi="Times New Roman" w:eastAsia="宋体"/>
                <w:color w:val="auto"/>
                <w:highlight w:val="none"/>
                <w:lang w:val="en-US"/>
              </w:rPr>
              <w:t>瓶（罐）装饮用水制造</w:t>
            </w:r>
            <w:r>
              <w:rPr>
                <w:rFonts w:hint="eastAsia" w:ascii="Times New Roman" w:hAnsi="Times New Roman"/>
                <w:color w:val="auto"/>
                <w:highlight w:val="none"/>
                <w:lang w:val="en-US" w:eastAsia="zh-CN"/>
              </w:rPr>
              <w:t>行业</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对照《市场准入负面清单（2022年版）》</w:t>
            </w:r>
            <w:r>
              <w:rPr>
                <w:rFonts w:hint="eastAsia"/>
                <w:color w:val="auto"/>
                <w:highlight w:val="none"/>
                <w:lang w:val="en-US" w:eastAsia="zh-CN"/>
              </w:rPr>
              <w:t>，</w:t>
            </w:r>
            <w:r>
              <w:rPr>
                <w:rFonts w:hint="default" w:ascii="Times New Roman" w:hAnsi="Times New Roman" w:eastAsia="宋体"/>
                <w:color w:val="auto"/>
                <w:highlight w:val="none"/>
                <w:lang w:val="en-US"/>
              </w:rPr>
              <w:t>建设项目不属于其中的禁止准入事项和许可准入事项</w:t>
            </w:r>
            <w:r>
              <w:rPr>
                <w:rFonts w:hint="eastAsia"/>
                <w:color w:val="auto"/>
                <w:highlight w:val="none"/>
                <w:lang w:val="en-US" w:eastAsia="zh-CN"/>
              </w:rPr>
              <w:t>；对照《外商投资准入特别管理措施（负面清单）（2024年版）》，建设项目不属于列入负面清单项目</w:t>
            </w:r>
            <w:r>
              <w:rPr>
                <w:rFonts w:hint="default" w:ascii="Times New Roman" w:hAnsi="Times New Roman" w:eastAsia="宋体"/>
                <w:color w:val="auto"/>
                <w:highlight w:val="none"/>
                <w:lang w:val="en-US"/>
              </w:rPr>
              <w:t>；对照《〈长江经济带发展负面清单指南（试行，2022年版）〉江苏省实施细则》</w:t>
            </w:r>
            <w:r>
              <w:rPr>
                <w:rFonts w:hint="eastAsia" w:ascii="Times New Roman" w:hAnsi="Times New Roman" w:eastAsia="宋体"/>
                <w:color w:val="auto"/>
                <w:highlight w:val="none"/>
                <w:lang w:val="en-US"/>
              </w:rPr>
              <w:t>（苏长江办〔2022〕55号）</w:t>
            </w:r>
            <w:r>
              <w:rPr>
                <w:rFonts w:hint="default" w:ascii="Times New Roman" w:hAnsi="Times New Roman" w:eastAsia="宋体"/>
                <w:color w:val="auto"/>
                <w:highlight w:val="none"/>
                <w:lang w:val="en-US"/>
              </w:rPr>
              <w:t>，建设项目不属于负面清单中项目；</w:t>
            </w:r>
            <w:r>
              <w:rPr>
                <w:rFonts w:hint="eastAsia" w:ascii="Times New Roman" w:hAnsi="Times New Roman" w:eastAsia="宋体"/>
                <w:color w:val="auto"/>
                <w:highlight w:val="none"/>
                <w:lang w:val="en-US"/>
              </w:rPr>
              <w:t>对照《江宁经济技术开发区总体发展规划（2020—2035年）环境影响报告书》中环境准入清单，本项目不属于其中限制和禁止进入类项目。因此，本项目不属于环境准入负面清单中项目。</w:t>
            </w:r>
          </w:p>
          <w:p w14:paraId="71568D3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本项目与《江宁经济技术开发区总体发展规划（2020—2035年）环境影响报告书》中环境准入清单相符性分析见表1-2。</w:t>
            </w:r>
          </w:p>
          <w:p w14:paraId="2073E2FA">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本项目与</w:t>
            </w:r>
            <w:r>
              <w:rPr>
                <w:rFonts w:hint="default" w:ascii="Times New Roman" w:hAnsi="Times New Roman" w:eastAsia="宋体"/>
                <w:color w:val="auto"/>
                <w:highlight w:val="none"/>
                <w:lang w:val="en-US"/>
              </w:rPr>
              <w:t>《〈长江经济带发展负面清单指南（试行，2022年版）〉江苏省实施细则》</w:t>
            </w:r>
            <w:r>
              <w:rPr>
                <w:rFonts w:hint="eastAsia" w:ascii="Times New Roman" w:hAnsi="Times New Roman" w:eastAsia="宋体"/>
                <w:color w:val="auto"/>
                <w:highlight w:val="none"/>
                <w:lang w:val="en-US"/>
              </w:rPr>
              <w:t>（苏长江办〔2022〕55号）相符性分析见下表：</w:t>
            </w:r>
          </w:p>
          <w:p w14:paraId="18D757A1">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ascii="Times New Roman" w:hAnsi="Times New Roman" w:eastAsia="宋体"/>
                <w:color w:val="auto"/>
                <w:highlight w:val="none"/>
              </w:rPr>
              <w:t>表1-</w:t>
            </w:r>
            <w:r>
              <w:rPr>
                <w:rFonts w:hint="eastAsia"/>
                <w:color w:val="auto"/>
                <w:highlight w:val="none"/>
                <w:lang w:val="en-US" w:eastAsia="zh-CN"/>
              </w:rPr>
              <w:t>5</w:t>
            </w:r>
            <w:r>
              <w:rPr>
                <w:rFonts w:ascii="Times New Roman" w:hAnsi="Times New Roman" w:eastAsia="宋体"/>
                <w:color w:val="auto"/>
                <w:highlight w:val="none"/>
              </w:rPr>
              <w:t>与</w:t>
            </w:r>
            <w:r>
              <w:rPr>
                <w:rFonts w:hint="eastAsia" w:ascii="Times New Roman" w:hAnsi="Times New Roman" w:eastAsia="宋体"/>
                <w:color w:val="auto"/>
                <w:highlight w:val="none"/>
              </w:rPr>
              <w:t>《〈长江经济带发展负面清单指南（试行，2022年版）〉江苏省实施细则》</w:t>
            </w:r>
            <w:r>
              <w:rPr>
                <w:rFonts w:ascii="Times New Roman" w:hAnsi="Times New Roman" w:eastAsia="宋体"/>
                <w:color w:val="auto"/>
                <w:highlight w:val="none"/>
              </w:rPr>
              <w:t>相符性分析表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62"/>
              <w:gridCol w:w="3536"/>
              <w:gridCol w:w="2003"/>
              <w:gridCol w:w="659"/>
            </w:tblGrid>
            <w:tr w14:paraId="21856D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shd w:val="clear" w:color="auto" w:fill="auto"/>
                  <w:vAlign w:val="center"/>
                </w:tcPr>
                <w:p w14:paraId="184987EB">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序号</w:t>
                  </w:r>
                </w:p>
              </w:tc>
              <w:tc>
                <w:tcPr>
                  <w:tcW w:w="3893" w:type="dxa"/>
                  <w:tcBorders>
                    <w:tl2br w:val="nil"/>
                    <w:tr2bl w:val="nil"/>
                  </w:tcBorders>
                  <w:shd w:val="clear" w:color="auto" w:fill="auto"/>
                  <w:vAlign w:val="center"/>
                </w:tcPr>
                <w:p w14:paraId="57F00056">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管控条款</w:t>
                  </w:r>
                </w:p>
              </w:tc>
              <w:tc>
                <w:tcPr>
                  <w:tcW w:w="2205" w:type="dxa"/>
                  <w:tcBorders>
                    <w:tl2br w:val="nil"/>
                    <w:tr2bl w:val="nil"/>
                  </w:tcBorders>
                  <w:shd w:val="clear" w:color="auto" w:fill="auto"/>
                  <w:vAlign w:val="center"/>
                </w:tcPr>
                <w:p w14:paraId="2D49C566">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本项目情况</w:t>
                  </w:r>
                </w:p>
              </w:tc>
              <w:tc>
                <w:tcPr>
                  <w:tcW w:w="726" w:type="dxa"/>
                  <w:tcBorders>
                    <w:tl2br w:val="nil"/>
                    <w:tr2bl w:val="nil"/>
                  </w:tcBorders>
                  <w:shd w:val="clear" w:color="auto" w:fill="auto"/>
                  <w:vAlign w:val="center"/>
                </w:tcPr>
                <w:p w14:paraId="0226B1F3">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相符性</w:t>
                  </w:r>
                </w:p>
              </w:tc>
            </w:tr>
            <w:tr w14:paraId="3A2653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shd w:val="clear" w:color="auto" w:fill="auto"/>
                  <w:vAlign w:val="center"/>
                </w:tcPr>
                <w:p w14:paraId="16BC1B8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1</w:t>
                  </w:r>
                </w:p>
              </w:tc>
              <w:tc>
                <w:tcPr>
                  <w:tcW w:w="3893" w:type="dxa"/>
                  <w:tcBorders>
                    <w:tl2br w:val="nil"/>
                    <w:tr2bl w:val="nil"/>
                  </w:tcBorders>
                  <w:shd w:val="clear" w:color="auto" w:fill="auto"/>
                  <w:vAlign w:val="center"/>
                </w:tcPr>
                <w:p w14:paraId="497898C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禁止建设不符合国家港口布局规划和《江苏省沿江沿海港口布局规划（</w:t>
                  </w:r>
                  <w:r>
                    <w:rPr>
                      <w:rFonts w:hint="default" w:ascii="Times New Roman" w:hAnsi="Times New Roman" w:eastAsia="宋体"/>
                      <w:color w:val="auto"/>
                      <w:highlight w:val="none"/>
                      <w:lang w:val="en-US"/>
                    </w:rPr>
                    <w:t>2015</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203</w:t>
                  </w:r>
                  <w:r>
                    <w:rPr>
                      <w:rFonts w:hint="eastAsia" w:ascii="Times New Roman" w:hAnsi="Times New Roman" w:eastAsia="宋体"/>
                      <w:color w:val="auto"/>
                      <w:highlight w:val="none"/>
                      <w:lang w:val="en-US"/>
                    </w:rPr>
                    <w:t>年）》《江苏省内河港口布局规划（</w:t>
                  </w:r>
                  <w:r>
                    <w:rPr>
                      <w:rFonts w:hint="default" w:ascii="Times New Roman" w:hAnsi="Times New Roman" w:eastAsia="宋体"/>
                      <w:color w:val="auto"/>
                      <w:highlight w:val="none"/>
                      <w:lang w:val="en-US"/>
                    </w:rPr>
                    <w:t>2017</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2035</w:t>
                  </w:r>
                  <w:r>
                    <w:rPr>
                      <w:rFonts w:hint="eastAsia" w:ascii="Times New Roman" w:hAnsi="Times New Roman" w:eastAsia="宋体"/>
                      <w:color w:val="auto"/>
                      <w:highlight w:val="none"/>
                      <w:lang w:val="en-US"/>
                    </w:rPr>
                    <w:t>年）》以及我省有关港口总体规划的码头项目，禁止建设未纳入《长江干线过江通道布局规划》的过</w:t>
                  </w:r>
                  <w:r>
                    <w:rPr>
                      <w:rFonts w:hint="eastAsia"/>
                      <w:color w:val="auto"/>
                      <w:highlight w:val="none"/>
                      <w:lang w:val="en-US" w:eastAsia="zh-CN"/>
                    </w:rPr>
                    <w:t>江</w:t>
                  </w:r>
                  <w:r>
                    <w:rPr>
                      <w:rFonts w:hint="eastAsia" w:ascii="Times New Roman" w:hAnsi="Times New Roman" w:eastAsia="宋体"/>
                      <w:color w:val="auto"/>
                      <w:highlight w:val="none"/>
                      <w:lang w:val="en-US"/>
                    </w:rPr>
                    <w:t>通道项目。</w:t>
                  </w:r>
                </w:p>
              </w:tc>
              <w:tc>
                <w:tcPr>
                  <w:tcW w:w="2205" w:type="dxa"/>
                  <w:tcBorders>
                    <w:tl2br w:val="nil"/>
                    <w:tr2bl w:val="nil"/>
                  </w:tcBorders>
                  <w:shd w:val="clear" w:color="auto" w:fill="auto"/>
                  <w:vAlign w:val="center"/>
                </w:tcPr>
                <w:p w14:paraId="328AE85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本项目不属于码头及过长江通道项目。</w:t>
                  </w:r>
                </w:p>
              </w:tc>
              <w:tc>
                <w:tcPr>
                  <w:tcW w:w="726" w:type="dxa"/>
                  <w:tcBorders>
                    <w:tl2br w:val="nil"/>
                    <w:tr2bl w:val="nil"/>
                  </w:tcBorders>
                  <w:shd w:val="clear" w:color="auto" w:fill="auto"/>
                  <w:vAlign w:val="center"/>
                </w:tcPr>
                <w:p w14:paraId="1600DCE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相符</w:t>
                  </w:r>
                </w:p>
              </w:tc>
            </w:tr>
            <w:tr w14:paraId="5F4F54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shd w:val="clear" w:color="auto" w:fill="auto"/>
                  <w:vAlign w:val="center"/>
                </w:tcPr>
                <w:p w14:paraId="6B6B507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2</w:t>
                  </w:r>
                </w:p>
              </w:tc>
              <w:tc>
                <w:tcPr>
                  <w:tcW w:w="3893" w:type="dxa"/>
                  <w:tcBorders>
                    <w:tl2br w:val="nil"/>
                    <w:tr2bl w:val="nil"/>
                  </w:tcBorders>
                  <w:shd w:val="clear" w:color="auto" w:fill="auto"/>
                  <w:vAlign w:val="center"/>
                </w:tcPr>
                <w:p w14:paraId="0EFB04F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严格执行《中华人民共和国自然保护区条例》，禁止在自然保护区核心区、缓冲区的岸线和河段范围内投资建设旅游和生产经营项目。严格执行《风景名胜区条例》《江苏省风景名胜区管理条例》，禁止在国家级和省级风景名胜区核心景区的岸线和河段范围内投资建设与风景名胜资源保护无关的项目。自然保护区、风景名胜区由省林业局会同有关方面界定并落实管控责任。</w:t>
                  </w:r>
                </w:p>
              </w:tc>
              <w:tc>
                <w:tcPr>
                  <w:tcW w:w="2205" w:type="dxa"/>
                  <w:tcBorders>
                    <w:tl2br w:val="nil"/>
                    <w:tr2bl w:val="nil"/>
                  </w:tcBorders>
                  <w:shd w:val="clear" w:color="auto" w:fill="auto"/>
                  <w:vAlign w:val="center"/>
                </w:tcPr>
                <w:p w14:paraId="4EFACE8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本项目位于</w:t>
                  </w:r>
                  <w:r>
                    <w:rPr>
                      <w:rFonts w:hint="default" w:ascii="Times New Roman" w:hAnsi="Times New Roman" w:eastAsia="宋体"/>
                      <w:color w:val="auto"/>
                      <w:highlight w:val="none"/>
                    </w:rPr>
                    <w:t>南京江宁区空港工业园东西京路以东、双塘路以南（吴歌路36号）</w:t>
                  </w:r>
                  <w:r>
                    <w:rPr>
                      <w:rFonts w:hint="eastAsia" w:ascii="Times New Roman" w:hAnsi="Times New Roman" w:eastAsia="宋体"/>
                      <w:color w:val="auto"/>
                      <w:highlight w:val="none"/>
                      <w:lang w:val="en-US"/>
                    </w:rPr>
                    <w:t>，不在自然保护区核心区、缓冲区的岸线和河段范围内，不在国家级和省级风景名胜区核心景区的岸线和河段范围内。</w:t>
                  </w:r>
                </w:p>
              </w:tc>
              <w:tc>
                <w:tcPr>
                  <w:tcW w:w="726" w:type="dxa"/>
                  <w:tcBorders>
                    <w:tl2br w:val="nil"/>
                    <w:tr2bl w:val="nil"/>
                  </w:tcBorders>
                  <w:shd w:val="clear" w:color="auto" w:fill="auto"/>
                  <w:vAlign w:val="center"/>
                </w:tcPr>
                <w:p w14:paraId="06D2C80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相符</w:t>
                  </w:r>
                </w:p>
              </w:tc>
            </w:tr>
            <w:tr w14:paraId="5280DC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shd w:val="clear" w:color="auto" w:fill="auto"/>
                  <w:vAlign w:val="center"/>
                </w:tcPr>
                <w:p w14:paraId="015B75A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3</w:t>
                  </w:r>
                </w:p>
              </w:tc>
              <w:tc>
                <w:tcPr>
                  <w:tcW w:w="3893" w:type="dxa"/>
                  <w:tcBorders>
                    <w:tl2br w:val="nil"/>
                    <w:tr2bl w:val="nil"/>
                  </w:tcBorders>
                  <w:shd w:val="clear" w:color="auto" w:fill="auto"/>
                  <w:vAlign w:val="center"/>
                </w:tcPr>
                <w:p w14:paraId="2CBDE86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严格执行《中华人民共和国水污染防治法》《江苏省人民代表大会常务委员会关于加强饮用水源地保护的决定》《江苏省水污染防治条例》，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禁止在饮用水水源准保护区的岸线和河段范围内新建、扩建对水体污染严重的投资建设项目，改建项目应当消减排污量。饮用水水源一级保护区、二级保护区、准保护区由省生态环境厅会同水利等有关方面界定并落实管控责任。</w:t>
                  </w:r>
                </w:p>
              </w:tc>
              <w:tc>
                <w:tcPr>
                  <w:tcW w:w="2205" w:type="dxa"/>
                  <w:tcBorders>
                    <w:tl2br w:val="nil"/>
                    <w:tr2bl w:val="nil"/>
                  </w:tcBorders>
                  <w:shd w:val="clear" w:color="auto" w:fill="auto"/>
                  <w:vAlign w:val="center"/>
                </w:tcPr>
                <w:p w14:paraId="0C88A11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本项目位于</w:t>
                  </w:r>
                  <w:r>
                    <w:rPr>
                      <w:rFonts w:hint="default" w:ascii="Times New Roman" w:hAnsi="Times New Roman" w:eastAsia="宋体"/>
                      <w:color w:val="auto"/>
                      <w:highlight w:val="none"/>
                    </w:rPr>
                    <w:t>南京江宁区空港工业园东西京路以东、双塘路以南（吴歌路36号）</w:t>
                  </w:r>
                  <w:r>
                    <w:rPr>
                      <w:rFonts w:hint="eastAsia" w:ascii="Times New Roman" w:hAnsi="Times New Roman" w:eastAsia="宋体"/>
                      <w:color w:val="auto"/>
                      <w:highlight w:val="none"/>
                      <w:lang w:val="en-US"/>
                    </w:rPr>
                    <w:t>，不在饮用水水源一级、二级及准保护区的岸线和河段范围内。</w:t>
                  </w:r>
                </w:p>
              </w:tc>
              <w:tc>
                <w:tcPr>
                  <w:tcW w:w="726" w:type="dxa"/>
                  <w:tcBorders>
                    <w:tl2br w:val="nil"/>
                    <w:tr2bl w:val="nil"/>
                  </w:tcBorders>
                  <w:shd w:val="clear" w:color="auto" w:fill="auto"/>
                  <w:vAlign w:val="center"/>
                </w:tcPr>
                <w:p w14:paraId="7099ACA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相符</w:t>
                  </w:r>
                </w:p>
              </w:tc>
            </w:tr>
            <w:tr w14:paraId="1D110E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shd w:val="clear" w:color="auto" w:fill="auto"/>
                  <w:vAlign w:val="center"/>
                </w:tcPr>
                <w:p w14:paraId="348F064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4</w:t>
                  </w:r>
                </w:p>
              </w:tc>
              <w:tc>
                <w:tcPr>
                  <w:tcW w:w="3893" w:type="dxa"/>
                  <w:tcBorders>
                    <w:tl2br w:val="nil"/>
                    <w:tr2bl w:val="nil"/>
                  </w:tcBorders>
                  <w:shd w:val="clear" w:color="auto" w:fill="auto"/>
                  <w:vAlign w:val="center"/>
                </w:tcPr>
                <w:p w14:paraId="6DF0A90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严格执行《水产种质资源保护区管理暂行办法》，禁止在国家级和省级水产种质资源保护区的岸线和河段范围内新建围湖造田、围海造地或围填海等投资建设项目。严格执行《中华人民共和国湿地保护法》《江苏省湿地保护条例》，禁止在国家湿地公园的岸线和河段范围内挖沙、采矿，以及任何不符合主体功能定位的投资建设项目。水产种质资源保护区、国家湿地公园分别由省农业农村厅、省林业局会同有关方面界定并落实管控责任。</w:t>
                  </w:r>
                </w:p>
              </w:tc>
              <w:tc>
                <w:tcPr>
                  <w:tcW w:w="2205" w:type="dxa"/>
                  <w:tcBorders>
                    <w:tl2br w:val="nil"/>
                    <w:tr2bl w:val="nil"/>
                  </w:tcBorders>
                  <w:shd w:val="clear" w:color="auto" w:fill="auto"/>
                  <w:vAlign w:val="center"/>
                </w:tcPr>
                <w:p w14:paraId="44909C0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本项目位于</w:t>
                  </w:r>
                  <w:r>
                    <w:rPr>
                      <w:rFonts w:hint="default" w:ascii="Times New Roman" w:hAnsi="Times New Roman" w:eastAsia="宋体"/>
                      <w:color w:val="auto"/>
                      <w:highlight w:val="none"/>
                    </w:rPr>
                    <w:t>南京江宁区空港工业园东西京路以东、双塘路以南（吴歌路36号）</w:t>
                  </w:r>
                  <w:r>
                    <w:rPr>
                      <w:rFonts w:hint="eastAsia" w:ascii="Times New Roman" w:hAnsi="Times New Roman" w:eastAsia="宋体"/>
                      <w:color w:val="auto"/>
                      <w:highlight w:val="none"/>
                      <w:lang w:val="en-US"/>
                    </w:rPr>
                    <w:t>，不在国家级和省级水产种质资源保护区的岸线和河段范围内，不在国家湿地公园的岸线和河段范围内。</w:t>
                  </w:r>
                </w:p>
              </w:tc>
              <w:tc>
                <w:tcPr>
                  <w:tcW w:w="726" w:type="dxa"/>
                  <w:tcBorders>
                    <w:tl2br w:val="nil"/>
                    <w:tr2bl w:val="nil"/>
                  </w:tcBorders>
                  <w:shd w:val="clear" w:color="auto" w:fill="auto"/>
                  <w:vAlign w:val="center"/>
                </w:tcPr>
                <w:p w14:paraId="7ABF6EF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相符</w:t>
                  </w:r>
                </w:p>
              </w:tc>
            </w:tr>
            <w:tr w14:paraId="202C69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shd w:val="clear" w:color="auto" w:fill="auto"/>
                  <w:vAlign w:val="center"/>
                </w:tcPr>
                <w:p w14:paraId="3267941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5</w:t>
                  </w:r>
                </w:p>
              </w:tc>
              <w:tc>
                <w:tcPr>
                  <w:tcW w:w="3893" w:type="dxa"/>
                  <w:tcBorders>
                    <w:tl2br w:val="nil"/>
                    <w:tr2bl w:val="nil"/>
                  </w:tcBorders>
                  <w:shd w:val="clear" w:color="auto" w:fill="auto"/>
                  <w:vAlign w:val="center"/>
                </w:tcPr>
                <w:p w14:paraId="4AA8BC3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长江干支流基础设施项目应按照长江岸线保护和开发利用总体规划和生态环境保护、岸线保护等要求，按规定开展项目前期论证并办理相关手续。禁止在《全国重要江河湖泊水功能区划》划定的河段及湖泊保护区、保留区内投资建设不利于水资源及自然生态保护的项目。</w:t>
                  </w:r>
                </w:p>
              </w:tc>
              <w:tc>
                <w:tcPr>
                  <w:tcW w:w="2205" w:type="dxa"/>
                  <w:tcBorders>
                    <w:tl2br w:val="nil"/>
                    <w:tr2bl w:val="nil"/>
                  </w:tcBorders>
                  <w:shd w:val="clear" w:color="auto" w:fill="auto"/>
                  <w:vAlign w:val="center"/>
                </w:tcPr>
                <w:p w14:paraId="4648D0C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本项目位于</w:t>
                  </w:r>
                  <w:r>
                    <w:rPr>
                      <w:rFonts w:hint="default" w:ascii="Times New Roman" w:hAnsi="Times New Roman" w:eastAsia="宋体"/>
                      <w:color w:val="auto"/>
                      <w:highlight w:val="none"/>
                    </w:rPr>
                    <w:t>南京江宁区空港工业园东西京路以东、双塘路以南（吴歌路36号）</w:t>
                  </w:r>
                  <w:r>
                    <w:rPr>
                      <w:rFonts w:hint="eastAsia" w:ascii="Times New Roman" w:hAnsi="Times New Roman" w:eastAsia="宋体"/>
                      <w:color w:val="auto"/>
                      <w:highlight w:val="none"/>
                      <w:lang w:val="en-US"/>
                    </w:rPr>
                    <w:t>，不在《长江岸线保护和开发利用总体规划》划定的岸线保护区和岸线保留区内，不在《全国重要江河湖泊水功能区划》划定的河段保护区、保留区内。</w:t>
                  </w:r>
                </w:p>
              </w:tc>
              <w:tc>
                <w:tcPr>
                  <w:tcW w:w="726" w:type="dxa"/>
                  <w:tcBorders>
                    <w:tl2br w:val="nil"/>
                    <w:tr2bl w:val="nil"/>
                  </w:tcBorders>
                  <w:shd w:val="clear" w:color="auto" w:fill="auto"/>
                  <w:vAlign w:val="center"/>
                </w:tcPr>
                <w:p w14:paraId="727F7EB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相符</w:t>
                  </w:r>
                </w:p>
              </w:tc>
            </w:tr>
            <w:tr w14:paraId="0F40B7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shd w:val="clear" w:color="auto" w:fill="auto"/>
                  <w:vAlign w:val="center"/>
                </w:tcPr>
                <w:p w14:paraId="62CF90F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6</w:t>
                  </w:r>
                </w:p>
              </w:tc>
              <w:tc>
                <w:tcPr>
                  <w:tcW w:w="3893" w:type="dxa"/>
                  <w:tcBorders>
                    <w:tl2br w:val="nil"/>
                    <w:tr2bl w:val="nil"/>
                  </w:tcBorders>
                  <w:shd w:val="clear" w:color="auto" w:fill="auto"/>
                  <w:vAlign w:val="center"/>
                </w:tcPr>
                <w:p w14:paraId="4FF8910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禁止未经许可在长江干支流及湖泊新设、改设或扩大排污口。</w:t>
                  </w:r>
                </w:p>
              </w:tc>
              <w:tc>
                <w:tcPr>
                  <w:tcW w:w="2205" w:type="dxa"/>
                  <w:tcBorders>
                    <w:tl2br w:val="nil"/>
                    <w:tr2bl w:val="nil"/>
                  </w:tcBorders>
                  <w:shd w:val="clear" w:color="auto" w:fill="auto"/>
                  <w:vAlign w:val="center"/>
                </w:tcPr>
                <w:p w14:paraId="0DE139E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本项目不新设、改设和扩大排污口。</w:t>
                  </w:r>
                </w:p>
              </w:tc>
              <w:tc>
                <w:tcPr>
                  <w:tcW w:w="726" w:type="dxa"/>
                  <w:tcBorders>
                    <w:tl2br w:val="nil"/>
                    <w:tr2bl w:val="nil"/>
                  </w:tcBorders>
                  <w:shd w:val="clear" w:color="auto" w:fill="auto"/>
                  <w:vAlign w:val="center"/>
                </w:tcPr>
                <w:p w14:paraId="147608E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相符</w:t>
                  </w:r>
                </w:p>
              </w:tc>
            </w:tr>
            <w:tr w14:paraId="2FE66D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shd w:val="clear" w:color="auto" w:fill="auto"/>
                  <w:vAlign w:val="center"/>
                </w:tcPr>
                <w:p w14:paraId="40DACF1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7</w:t>
                  </w:r>
                </w:p>
              </w:tc>
              <w:tc>
                <w:tcPr>
                  <w:tcW w:w="3893" w:type="dxa"/>
                  <w:tcBorders>
                    <w:tl2br w:val="nil"/>
                    <w:tr2bl w:val="nil"/>
                  </w:tcBorders>
                  <w:shd w:val="clear" w:color="auto" w:fill="auto"/>
                  <w:vAlign w:val="center"/>
                </w:tcPr>
                <w:p w14:paraId="2546659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禁止长江干流、长江口、</w:t>
                  </w:r>
                  <w:r>
                    <w:rPr>
                      <w:rFonts w:hint="default" w:ascii="Times New Roman" w:hAnsi="Times New Roman" w:eastAsia="宋体"/>
                      <w:color w:val="auto"/>
                      <w:highlight w:val="none"/>
                      <w:lang w:val="en-US"/>
                    </w:rPr>
                    <w:t>34</w:t>
                  </w:r>
                  <w:r>
                    <w:rPr>
                      <w:rFonts w:hint="eastAsia" w:ascii="Times New Roman" w:hAnsi="Times New Roman" w:eastAsia="宋体"/>
                      <w:color w:val="auto"/>
                      <w:highlight w:val="none"/>
                      <w:lang w:val="en-US"/>
                    </w:rPr>
                    <w:t>个列入《率先全面禁捕的长江流域水生生物保护区名录》的水生生物保护区以及省规定的其他禁渔水域开展生产性捕捞。</w:t>
                  </w:r>
                </w:p>
              </w:tc>
              <w:tc>
                <w:tcPr>
                  <w:tcW w:w="2205" w:type="dxa"/>
                  <w:tcBorders>
                    <w:tl2br w:val="nil"/>
                    <w:tr2bl w:val="nil"/>
                  </w:tcBorders>
                  <w:shd w:val="clear" w:color="auto" w:fill="auto"/>
                  <w:vAlign w:val="center"/>
                </w:tcPr>
                <w:p w14:paraId="18B518D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本项目从事</w:t>
                  </w:r>
                  <w:r>
                    <w:rPr>
                      <w:rFonts w:hint="eastAsia"/>
                      <w:color w:val="auto"/>
                      <w:highlight w:val="none"/>
                      <w:lang w:val="en-US" w:eastAsia="zh-CN"/>
                    </w:rPr>
                    <w:t>瓶装纯净水生产</w:t>
                  </w:r>
                  <w:r>
                    <w:rPr>
                      <w:rFonts w:hint="eastAsia" w:ascii="Times New Roman" w:hAnsi="Times New Roman" w:eastAsia="宋体"/>
                      <w:color w:val="auto"/>
                      <w:highlight w:val="none"/>
                      <w:lang w:val="en-US"/>
                    </w:rPr>
                    <w:t>，不涉及捕捞活动。</w:t>
                  </w:r>
                </w:p>
              </w:tc>
              <w:tc>
                <w:tcPr>
                  <w:tcW w:w="726" w:type="dxa"/>
                  <w:tcBorders>
                    <w:tl2br w:val="nil"/>
                    <w:tr2bl w:val="nil"/>
                  </w:tcBorders>
                  <w:shd w:val="clear" w:color="auto" w:fill="auto"/>
                  <w:vAlign w:val="center"/>
                </w:tcPr>
                <w:p w14:paraId="7686E40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相符</w:t>
                  </w:r>
                </w:p>
              </w:tc>
            </w:tr>
            <w:tr w14:paraId="634245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shd w:val="clear" w:color="auto" w:fill="auto"/>
                  <w:vAlign w:val="center"/>
                </w:tcPr>
                <w:p w14:paraId="3606B7F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8</w:t>
                  </w:r>
                </w:p>
              </w:tc>
              <w:tc>
                <w:tcPr>
                  <w:tcW w:w="3893" w:type="dxa"/>
                  <w:tcBorders>
                    <w:tl2br w:val="nil"/>
                    <w:tr2bl w:val="nil"/>
                  </w:tcBorders>
                  <w:shd w:val="clear" w:color="auto" w:fill="auto"/>
                  <w:vAlign w:val="center"/>
                </w:tcPr>
                <w:p w14:paraId="3ACD03A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禁止在距离长江干支流岸线一公里范围内新建、扩建化工园区和化工项目。长江干支流一公里按照长江干支流岸线边界（即水利部门河道管理范围边界）向陆域纵深一公里执行</w:t>
                  </w:r>
                </w:p>
              </w:tc>
              <w:tc>
                <w:tcPr>
                  <w:tcW w:w="2205" w:type="dxa"/>
                  <w:tcBorders>
                    <w:tl2br w:val="nil"/>
                    <w:tr2bl w:val="nil"/>
                  </w:tcBorders>
                  <w:shd w:val="clear" w:color="auto" w:fill="auto"/>
                  <w:vAlign w:val="center"/>
                </w:tcPr>
                <w:p w14:paraId="6611237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本项目位于</w:t>
                  </w:r>
                  <w:r>
                    <w:rPr>
                      <w:rFonts w:hint="default" w:ascii="Times New Roman" w:hAnsi="Times New Roman" w:eastAsia="宋体"/>
                      <w:color w:val="auto"/>
                      <w:highlight w:val="none"/>
                    </w:rPr>
                    <w:t>南京江宁区空港工业园东西京路以东、双塘路以南（吴歌路36号）</w:t>
                  </w:r>
                  <w:r>
                    <w:rPr>
                      <w:rFonts w:hint="eastAsia" w:ascii="Times New Roman" w:hAnsi="Times New Roman" w:eastAsia="宋体"/>
                      <w:color w:val="auto"/>
                      <w:highlight w:val="none"/>
                      <w:lang w:val="en-US"/>
                    </w:rPr>
                    <w:t>，不在长江干支流岸线一公里范围内。</w:t>
                  </w:r>
                </w:p>
              </w:tc>
              <w:tc>
                <w:tcPr>
                  <w:tcW w:w="726" w:type="dxa"/>
                  <w:tcBorders>
                    <w:tl2br w:val="nil"/>
                    <w:tr2bl w:val="nil"/>
                  </w:tcBorders>
                  <w:shd w:val="clear" w:color="auto" w:fill="auto"/>
                  <w:vAlign w:val="center"/>
                </w:tcPr>
                <w:p w14:paraId="3A8A35E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相符</w:t>
                  </w:r>
                </w:p>
              </w:tc>
            </w:tr>
            <w:tr w14:paraId="1238C8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shd w:val="clear" w:color="auto" w:fill="auto"/>
                  <w:vAlign w:val="center"/>
                </w:tcPr>
                <w:p w14:paraId="006C035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9</w:t>
                  </w:r>
                </w:p>
              </w:tc>
              <w:tc>
                <w:tcPr>
                  <w:tcW w:w="3893" w:type="dxa"/>
                  <w:tcBorders>
                    <w:tl2br w:val="nil"/>
                    <w:tr2bl w:val="nil"/>
                  </w:tcBorders>
                  <w:shd w:val="clear" w:color="auto" w:fill="auto"/>
                  <w:vAlign w:val="center"/>
                </w:tcPr>
                <w:p w14:paraId="4AC7D79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禁止在长江干流岸线三公里范围内新建、改建、扩建尾矿库、冶炼渣库和磷石膏库，以提升安全、生态环境保护水平为目的的改建除外。</w:t>
                  </w:r>
                </w:p>
              </w:tc>
              <w:tc>
                <w:tcPr>
                  <w:tcW w:w="2205" w:type="dxa"/>
                  <w:tcBorders>
                    <w:tl2br w:val="nil"/>
                    <w:tr2bl w:val="nil"/>
                  </w:tcBorders>
                  <w:shd w:val="clear" w:color="auto" w:fill="auto"/>
                  <w:vAlign w:val="center"/>
                </w:tcPr>
                <w:p w14:paraId="6FA5EF2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本项目位于</w:t>
                  </w:r>
                  <w:r>
                    <w:rPr>
                      <w:rFonts w:hint="default" w:ascii="Times New Roman" w:hAnsi="Times New Roman" w:eastAsia="宋体"/>
                      <w:color w:val="auto"/>
                      <w:highlight w:val="none"/>
                    </w:rPr>
                    <w:t>南京江宁区空港工业园东西京路以东、双塘路以南（吴歌路36号）</w:t>
                  </w:r>
                  <w:r>
                    <w:rPr>
                      <w:rFonts w:hint="eastAsia" w:ascii="Times New Roman" w:hAnsi="Times New Roman" w:eastAsia="宋体"/>
                      <w:color w:val="auto"/>
                      <w:highlight w:val="none"/>
                      <w:lang w:val="en-US"/>
                    </w:rPr>
                    <w:t>，不在长江干流岸线三公里范围内。</w:t>
                  </w:r>
                </w:p>
              </w:tc>
              <w:tc>
                <w:tcPr>
                  <w:tcW w:w="726" w:type="dxa"/>
                  <w:tcBorders>
                    <w:tl2br w:val="nil"/>
                    <w:tr2bl w:val="nil"/>
                  </w:tcBorders>
                  <w:shd w:val="clear" w:color="auto" w:fill="auto"/>
                  <w:vAlign w:val="center"/>
                </w:tcPr>
                <w:p w14:paraId="4BD3AA4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相符</w:t>
                  </w:r>
                </w:p>
              </w:tc>
            </w:tr>
            <w:tr w14:paraId="0814A2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shd w:val="clear" w:color="auto" w:fill="auto"/>
                  <w:vAlign w:val="center"/>
                </w:tcPr>
                <w:p w14:paraId="27800E9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10</w:t>
                  </w:r>
                </w:p>
              </w:tc>
              <w:tc>
                <w:tcPr>
                  <w:tcW w:w="3893" w:type="dxa"/>
                  <w:tcBorders>
                    <w:tl2br w:val="nil"/>
                    <w:tr2bl w:val="nil"/>
                  </w:tcBorders>
                  <w:shd w:val="clear" w:color="auto" w:fill="auto"/>
                  <w:vAlign w:val="center"/>
                </w:tcPr>
                <w:p w14:paraId="76BCE4C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禁止在太湖流域一、二、三级保护区内开展《江苏省太湖水污染防治条例》禁止的投资建设活动。</w:t>
                  </w:r>
                </w:p>
              </w:tc>
              <w:tc>
                <w:tcPr>
                  <w:tcW w:w="2205" w:type="dxa"/>
                  <w:tcBorders>
                    <w:tl2br w:val="nil"/>
                    <w:tr2bl w:val="nil"/>
                  </w:tcBorders>
                  <w:shd w:val="clear" w:color="auto" w:fill="auto"/>
                  <w:vAlign w:val="center"/>
                </w:tcPr>
                <w:p w14:paraId="47A0FD3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本项目位于</w:t>
                  </w:r>
                  <w:r>
                    <w:rPr>
                      <w:rFonts w:hint="default" w:ascii="Times New Roman" w:hAnsi="Times New Roman" w:eastAsia="宋体"/>
                      <w:color w:val="auto"/>
                      <w:highlight w:val="none"/>
                    </w:rPr>
                    <w:t>南京江宁区空港工业园东西京路以东、双塘路以南（吴歌路36号）</w:t>
                  </w:r>
                  <w:r>
                    <w:rPr>
                      <w:rFonts w:hint="eastAsia" w:ascii="Times New Roman" w:hAnsi="Times New Roman" w:eastAsia="宋体"/>
                      <w:color w:val="auto"/>
                      <w:highlight w:val="none"/>
                      <w:lang w:val="en-US"/>
                    </w:rPr>
                    <w:t>，不在太湖流域一、二、三级保护区范围内。</w:t>
                  </w:r>
                </w:p>
              </w:tc>
              <w:tc>
                <w:tcPr>
                  <w:tcW w:w="726" w:type="dxa"/>
                  <w:tcBorders>
                    <w:tl2br w:val="nil"/>
                    <w:tr2bl w:val="nil"/>
                  </w:tcBorders>
                  <w:shd w:val="clear" w:color="auto" w:fill="auto"/>
                  <w:vAlign w:val="center"/>
                </w:tcPr>
                <w:p w14:paraId="061FABF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相符</w:t>
                  </w:r>
                </w:p>
              </w:tc>
            </w:tr>
            <w:tr w14:paraId="57C11D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shd w:val="clear" w:color="auto" w:fill="auto"/>
                  <w:vAlign w:val="center"/>
                </w:tcPr>
                <w:p w14:paraId="1AADFA0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11</w:t>
                  </w:r>
                </w:p>
              </w:tc>
              <w:tc>
                <w:tcPr>
                  <w:tcW w:w="3893" w:type="dxa"/>
                  <w:tcBorders>
                    <w:tl2br w:val="nil"/>
                    <w:tr2bl w:val="nil"/>
                  </w:tcBorders>
                  <w:shd w:val="clear" w:color="auto" w:fill="auto"/>
                  <w:vAlign w:val="center"/>
                </w:tcPr>
                <w:p w14:paraId="1F5DDED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禁止在沿江地区新建、扩建未纳入国家和省布局规划的燃煤发电项目。</w:t>
                  </w:r>
                </w:p>
              </w:tc>
              <w:tc>
                <w:tcPr>
                  <w:tcW w:w="2205" w:type="dxa"/>
                  <w:tcBorders>
                    <w:tl2br w:val="nil"/>
                    <w:tr2bl w:val="nil"/>
                  </w:tcBorders>
                  <w:shd w:val="clear" w:color="auto" w:fill="auto"/>
                  <w:vAlign w:val="center"/>
                </w:tcPr>
                <w:p w14:paraId="6F39F6E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本项目不属于燃煤发电项目。</w:t>
                  </w:r>
                </w:p>
              </w:tc>
              <w:tc>
                <w:tcPr>
                  <w:tcW w:w="726" w:type="dxa"/>
                  <w:tcBorders>
                    <w:tl2br w:val="nil"/>
                    <w:tr2bl w:val="nil"/>
                  </w:tcBorders>
                  <w:shd w:val="clear" w:color="auto" w:fill="auto"/>
                  <w:vAlign w:val="center"/>
                </w:tcPr>
                <w:p w14:paraId="1DC2DDB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相符</w:t>
                  </w:r>
                </w:p>
              </w:tc>
            </w:tr>
            <w:tr w14:paraId="16956E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shd w:val="clear" w:color="auto" w:fill="auto"/>
                  <w:vAlign w:val="center"/>
                </w:tcPr>
                <w:p w14:paraId="269C98B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12</w:t>
                  </w:r>
                </w:p>
              </w:tc>
              <w:tc>
                <w:tcPr>
                  <w:tcW w:w="3893" w:type="dxa"/>
                  <w:tcBorders>
                    <w:tl2br w:val="nil"/>
                    <w:tr2bl w:val="nil"/>
                  </w:tcBorders>
                  <w:shd w:val="clear" w:color="auto" w:fill="auto"/>
                  <w:vAlign w:val="center"/>
                </w:tcPr>
                <w:p w14:paraId="609C868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禁止在合规园区外新建、扩建钢铁、石化、化工、焦化、建材、有色、制浆造纸等高污染项目。合规园区名录按照《〈长江经济带发展负面清单指南（试行，</w:t>
                  </w:r>
                  <w:r>
                    <w:rPr>
                      <w:rFonts w:hint="default" w:ascii="Times New Roman" w:hAnsi="Times New Roman" w:eastAsia="宋体"/>
                      <w:color w:val="auto"/>
                      <w:highlight w:val="none"/>
                      <w:lang w:val="en-US"/>
                    </w:rPr>
                    <w:t>2022</w:t>
                  </w:r>
                  <w:r>
                    <w:rPr>
                      <w:rFonts w:hint="eastAsia" w:ascii="Times New Roman" w:hAnsi="Times New Roman" w:eastAsia="宋体"/>
                      <w:color w:val="auto"/>
                      <w:highlight w:val="none"/>
                      <w:lang w:val="en-US"/>
                    </w:rPr>
                    <w:t>年版）〉江苏省实施细则合规园区名录》执行。</w:t>
                  </w:r>
                </w:p>
              </w:tc>
              <w:tc>
                <w:tcPr>
                  <w:tcW w:w="2205" w:type="dxa"/>
                  <w:tcBorders>
                    <w:tl2br w:val="nil"/>
                    <w:tr2bl w:val="nil"/>
                  </w:tcBorders>
                  <w:shd w:val="clear" w:color="auto" w:fill="auto"/>
                  <w:vAlign w:val="center"/>
                </w:tcPr>
                <w:p w14:paraId="6FE1597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本项目不属于禁止新建、扩建项目。</w:t>
                  </w:r>
                </w:p>
              </w:tc>
              <w:tc>
                <w:tcPr>
                  <w:tcW w:w="726" w:type="dxa"/>
                  <w:tcBorders>
                    <w:tl2br w:val="nil"/>
                    <w:tr2bl w:val="nil"/>
                  </w:tcBorders>
                  <w:shd w:val="clear" w:color="auto" w:fill="auto"/>
                  <w:vAlign w:val="center"/>
                </w:tcPr>
                <w:p w14:paraId="3331BFB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相符</w:t>
                  </w:r>
                </w:p>
              </w:tc>
            </w:tr>
            <w:tr w14:paraId="011E2D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shd w:val="clear" w:color="auto" w:fill="auto"/>
                  <w:vAlign w:val="center"/>
                </w:tcPr>
                <w:p w14:paraId="7DB2AC9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13</w:t>
                  </w:r>
                </w:p>
              </w:tc>
              <w:tc>
                <w:tcPr>
                  <w:tcW w:w="3893" w:type="dxa"/>
                  <w:tcBorders>
                    <w:tl2br w:val="nil"/>
                    <w:tr2bl w:val="nil"/>
                  </w:tcBorders>
                  <w:shd w:val="clear" w:color="auto" w:fill="auto"/>
                  <w:vAlign w:val="center"/>
                </w:tcPr>
                <w:p w14:paraId="4A9410E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禁止在取消化工定位的园区（集中区）内新建化工项目</w:t>
                  </w:r>
                </w:p>
              </w:tc>
              <w:tc>
                <w:tcPr>
                  <w:tcW w:w="2205" w:type="dxa"/>
                  <w:tcBorders>
                    <w:tl2br w:val="nil"/>
                    <w:tr2bl w:val="nil"/>
                  </w:tcBorders>
                  <w:shd w:val="clear" w:color="auto" w:fill="auto"/>
                  <w:vAlign w:val="center"/>
                </w:tcPr>
                <w:p w14:paraId="2D59EF2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本项目不属于化工项目。</w:t>
                  </w:r>
                </w:p>
              </w:tc>
              <w:tc>
                <w:tcPr>
                  <w:tcW w:w="726" w:type="dxa"/>
                  <w:tcBorders>
                    <w:tl2br w:val="nil"/>
                    <w:tr2bl w:val="nil"/>
                  </w:tcBorders>
                  <w:shd w:val="clear" w:color="auto" w:fill="auto"/>
                  <w:vAlign w:val="center"/>
                </w:tcPr>
                <w:p w14:paraId="6E384E3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相符</w:t>
                  </w:r>
                </w:p>
              </w:tc>
            </w:tr>
            <w:tr w14:paraId="76325E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shd w:val="clear" w:color="auto" w:fill="auto"/>
                  <w:vAlign w:val="center"/>
                </w:tcPr>
                <w:p w14:paraId="7DD5177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14</w:t>
                  </w:r>
                </w:p>
              </w:tc>
              <w:tc>
                <w:tcPr>
                  <w:tcW w:w="3893" w:type="dxa"/>
                  <w:tcBorders>
                    <w:tl2br w:val="nil"/>
                    <w:tr2bl w:val="nil"/>
                  </w:tcBorders>
                  <w:shd w:val="clear" w:color="auto" w:fill="auto"/>
                  <w:vAlign w:val="center"/>
                </w:tcPr>
                <w:p w14:paraId="72F1404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禁止在化工企业周边建设不符合安全距离规定的劳动密集型的非化工项目和其他人员密集的公共设施项目。</w:t>
                  </w:r>
                </w:p>
              </w:tc>
              <w:tc>
                <w:tcPr>
                  <w:tcW w:w="2205" w:type="dxa"/>
                  <w:tcBorders>
                    <w:tl2br w:val="nil"/>
                    <w:tr2bl w:val="nil"/>
                  </w:tcBorders>
                  <w:shd w:val="clear" w:color="auto" w:fill="auto"/>
                  <w:vAlign w:val="center"/>
                </w:tcPr>
                <w:p w14:paraId="2C3C2E0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本项目不属于化工项目，周边也不存在化工企业。</w:t>
                  </w:r>
                </w:p>
              </w:tc>
              <w:tc>
                <w:tcPr>
                  <w:tcW w:w="726" w:type="dxa"/>
                  <w:tcBorders>
                    <w:tl2br w:val="nil"/>
                    <w:tr2bl w:val="nil"/>
                  </w:tcBorders>
                  <w:shd w:val="clear" w:color="auto" w:fill="auto"/>
                  <w:vAlign w:val="center"/>
                </w:tcPr>
                <w:p w14:paraId="1BBE7F9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相符</w:t>
                  </w:r>
                </w:p>
              </w:tc>
            </w:tr>
            <w:tr w14:paraId="7B9602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shd w:val="clear" w:color="auto" w:fill="auto"/>
                  <w:vAlign w:val="center"/>
                </w:tcPr>
                <w:p w14:paraId="0570D9C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15</w:t>
                  </w:r>
                </w:p>
              </w:tc>
              <w:tc>
                <w:tcPr>
                  <w:tcW w:w="3893" w:type="dxa"/>
                  <w:tcBorders>
                    <w:tl2br w:val="nil"/>
                    <w:tr2bl w:val="nil"/>
                  </w:tcBorders>
                  <w:shd w:val="clear" w:color="auto" w:fill="auto"/>
                  <w:vAlign w:val="center"/>
                </w:tcPr>
                <w:p w14:paraId="55608BB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禁止新建、扩建不符合国家和省产业政策的尿素、磷化工、电石、烧碱、聚氯乙烯、纯碱等行业新增产能项目。</w:t>
                  </w:r>
                </w:p>
              </w:tc>
              <w:tc>
                <w:tcPr>
                  <w:tcW w:w="2205" w:type="dxa"/>
                  <w:tcBorders>
                    <w:tl2br w:val="nil"/>
                    <w:tr2bl w:val="nil"/>
                  </w:tcBorders>
                  <w:shd w:val="clear" w:color="auto" w:fill="auto"/>
                  <w:vAlign w:val="center"/>
                </w:tcPr>
                <w:p w14:paraId="73DD3AE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本项目不属于尿素、磷铵、电石、烧碱、聚氯乙烯、纯碱项目。</w:t>
                  </w:r>
                </w:p>
              </w:tc>
              <w:tc>
                <w:tcPr>
                  <w:tcW w:w="726" w:type="dxa"/>
                  <w:tcBorders>
                    <w:tl2br w:val="nil"/>
                    <w:tr2bl w:val="nil"/>
                  </w:tcBorders>
                  <w:shd w:val="clear" w:color="auto" w:fill="auto"/>
                  <w:vAlign w:val="center"/>
                </w:tcPr>
                <w:p w14:paraId="0928C18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相符</w:t>
                  </w:r>
                </w:p>
              </w:tc>
            </w:tr>
            <w:tr w14:paraId="210262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shd w:val="clear" w:color="auto" w:fill="auto"/>
                  <w:vAlign w:val="center"/>
                </w:tcPr>
                <w:p w14:paraId="44F5943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16</w:t>
                  </w:r>
                </w:p>
              </w:tc>
              <w:tc>
                <w:tcPr>
                  <w:tcW w:w="3893" w:type="dxa"/>
                  <w:tcBorders>
                    <w:tl2br w:val="nil"/>
                    <w:tr2bl w:val="nil"/>
                  </w:tcBorders>
                  <w:shd w:val="clear" w:color="auto" w:fill="auto"/>
                  <w:vAlign w:val="center"/>
                </w:tcPr>
                <w:p w14:paraId="1C43C8A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禁止新建、改建、扩建高毒、高残留以及对环境影响大的农药原药（化学合成类）项目，禁止新建、扩建不符合国家和省产业政策的农药、医药和染料中间体化工项目。</w:t>
                  </w:r>
                </w:p>
              </w:tc>
              <w:tc>
                <w:tcPr>
                  <w:tcW w:w="2205" w:type="dxa"/>
                  <w:tcBorders>
                    <w:tl2br w:val="nil"/>
                    <w:tr2bl w:val="nil"/>
                  </w:tcBorders>
                  <w:shd w:val="clear" w:color="auto" w:fill="auto"/>
                  <w:vAlign w:val="center"/>
                </w:tcPr>
                <w:p w14:paraId="6F74FA1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本项目不属于农药原药项目，不属于农药、医药和染料中间体化工项目。</w:t>
                  </w:r>
                </w:p>
              </w:tc>
              <w:tc>
                <w:tcPr>
                  <w:tcW w:w="726" w:type="dxa"/>
                  <w:tcBorders>
                    <w:tl2br w:val="nil"/>
                    <w:tr2bl w:val="nil"/>
                  </w:tcBorders>
                  <w:shd w:val="clear" w:color="auto" w:fill="auto"/>
                  <w:vAlign w:val="center"/>
                </w:tcPr>
                <w:p w14:paraId="75AA4AB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相符</w:t>
                  </w:r>
                </w:p>
              </w:tc>
            </w:tr>
            <w:tr w14:paraId="425481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shd w:val="clear" w:color="auto" w:fill="auto"/>
                  <w:vAlign w:val="center"/>
                </w:tcPr>
                <w:p w14:paraId="7397C49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17</w:t>
                  </w:r>
                </w:p>
              </w:tc>
              <w:tc>
                <w:tcPr>
                  <w:tcW w:w="3893" w:type="dxa"/>
                  <w:tcBorders>
                    <w:tl2br w:val="nil"/>
                    <w:tr2bl w:val="nil"/>
                  </w:tcBorders>
                  <w:shd w:val="clear" w:color="auto" w:fill="auto"/>
                  <w:vAlign w:val="center"/>
                </w:tcPr>
                <w:p w14:paraId="205F102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禁止新建、扩建不符合国家石化、现代煤化工等产业布局规划的项目，禁止新建独立焦化项目。</w:t>
                  </w:r>
                </w:p>
              </w:tc>
              <w:tc>
                <w:tcPr>
                  <w:tcW w:w="2205" w:type="dxa"/>
                  <w:tcBorders>
                    <w:tl2br w:val="nil"/>
                    <w:tr2bl w:val="nil"/>
                  </w:tcBorders>
                  <w:shd w:val="clear" w:color="auto" w:fill="auto"/>
                  <w:vAlign w:val="center"/>
                </w:tcPr>
                <w:p w14:paraId="79FAB24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本项目不属于石化、现代煤化工和焦化项目。</w:t>
                  </w:r>
                </w:p>
              </w:tc>
              <w:tc>
                <w:tcPr>
                  <w:tcW w:w="726" w:type="dxa"/>
                  <w:tcBorders>
                    <w:tl2br w:val="nil"/>
                    <w:tr2bl w:val="nil"/>
                  </w:tcBorders>
                  <w:shd w:val="clear" w:color="auto" w:fill="auto"/>
                  <w:vAlign w:val="center"/>
                </w:tcPr>
                <w:p w14:paraId="21973EE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相符</w:t>
                  </w:r>
                </w:p>
              </w:tc>
            </w:tr>
            <w:tr w14:paraId="16C08C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shd w:val="clear" w:color="auto" w:fill="auto"/>
                  <w:vAlign w:val="center"/>
                </w:tcPr>
                <w:p w14:paraId="3EFFA35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18</w:t>
                  </w:r>
                </w:p>
              </w:tc>
              <w:tc>
                <w:tcPr>
                  <w:tcW w:w="3893" w:type="dxa"/>
                  <w:tcBorders>
                    <w:tl2br w:val="nil"/>
                    <w:tr2bl w:val="nil"/>
                  </w:tcBorders>
                  <w:shd w:val="clear" w:color="auto" w:fill="auto"/>
                  <w:vAlign w:val="center"/>
                </w:tcPr>
                <w:p w14:paraId="7029094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禁止新建、扩建国家《产业结构调整指导目录》《江苏省产业结构调整限制、淘汰和禁止目录》明确的限制类、淘汰类禁止类项目，法律法规和相关政策明令禁止的落后产能项目，以及明令淘汰的安全生产落后工艺及装备项目。</w:t>
                  </w:r>
                </w:p>
              </w:tc>
              <w:tc>
                <w:tcPr>
                  <w:tcW w:w="2205" w:type="dxa"/>
                  <w:tcBorders>
                    <w:tl2br w:val="nil"/>
                    <w:tr2bl w:val="nil"/>
                  </w:tcBorders>
                  <w:shd w:val="clear" w:color="auto" w:fill="auto"/>
                  <w:vAlign w:val="center"/>
                </w:tcPr>
                <w:p w14:paraId="7154F09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本项目不属于限制类、淘汰类禁止类项目。不属于法律法规和相关政策明令禁止的落后产能，以及明令淘汰的安全生产落后工艺及装备项目。</w:t>
                  </w:r>
                </w:p>
              </w:tc>
              <w:tc>
                <w:tcPr>
                  <w:tcW w:w="726" w:type="dxa"/>
                  <w:tcBorders>
                    <w:tl2br w:val="nil"/>
                    <w:tr2bl w:val="nil"/>
                  </w:tcBorders>
                  <w:shd w:val="clear" w:color="auto" w:fill="auto"/>
                  <w:vAlign w:val="center"/>
                </w:tcPr>
                <w:p w14:paraId="629F5D0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相符</w:t>
                  </w:r>
                </w:p>
              </w:tc>
            </w:tr>
            <w:tr w14:paraId="3A1370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shd w:val="clear" w:color="auto" w:fill="auto"/>
                  <w:vAlign w:val="center"/>
                </w:tcPr>
                <w:p w14:paraId="73DF504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19</w:t>
                  </w:r>
                </w:p>
              </w:tc>
              <w:tc>
                <w:tcPr>
                  <w:tcW w:w="3893" w:type="dxa"/>
                  <w:tcBorders>
                    <w:tl2br w:val="nil"/>
                    <w:tr2bl w:val="nil"/>
                  </w:tcBorders>
                  <w:shd w:val="clear" w:color="auto" w:fill="auto"/>
                  <w:vAlign w:val="center"/>
                </w:tcPr>
                <w:p w14:paraId="5917AD8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禁止新建、扩建不符合国家产能置换要求的严重过剩产能行业的项目。禁止新建、扩建不符合要求的高耗能高排放项目。</w:t>
                  </w:r>
                </w:p>
              </w:tc>
              <w:tc>
                <w:tcPr>
                  <w:tcW w:w="2205" w:type="dxa"/>
                  <w:tcBorders>
                    <w:tl2br w:val="nil"/>
                    <w:tr2bl w:val="nil"/>
                  </w:tcBorders>
                  <w:shd w:val="clear" w:color="auto" w:fill="auto"/>
                  <w:vAlign w:val="center"/>
                </w:tcPr>
                <w:p w14:paraId="7C69DA8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本项目不属于国家产能置换要求的严重过剩产能行业的项目。</w:t>
                  </w:r>
                </w:p>
              </w:tc>
              <w:tc>
                <w:tcPr>
                  <w:tcW w:w="726" w:type="dxa"/>
                  <w:tcBorders>
                    <w:tl2br w:val="nil"/>
                    <w:tr2bl w:val="nil"/>
                  </w:tcBorders>
                  <w:shd w:val="clear" w:color="auto" w:fill="auto"/>
                  <w:vAlign w:val="center"/>
                </w:tcPr>
                <w:p w14:paraId="03F0705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相符</w:t>
                  </w:r>
                </w:p>
              </w:tc>
            </w:tr>
            <w:tr w14:paraId="06539A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shd w:val="clear" w:color="auto" w:fill="auto"/>
                  <w:vAlign w:val="center"/>
                </w:tcPr>
                <w:p w14:paraId="16BDD15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20</w:t>
                  </w:r>
                </w:p>
              </w:tc>
              <w:tc>
                <w:tcPr>
                  <w:tcW w:w="3893" w:type="dxa"/>
                  <w:tcBorders>
                    <w:tl2br w:val="nil"/>
                    <w:tr2bl w:val="nil"/>
                  </w:tcBorders>
                  <w:shd w:val="clear" w:color="auto" w:fill="auto"/>
                  <w:vAlign w:val="center"/>
                </w:tcPr>
                <w:p w14:paraId="0B15397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法律法规及相关政策文件有更加严格规定的从其规定</w:t>
                  </w:r>
                </w:p>
              </w:tc>
              <w:tc>
                <w:tcPr>
                  <w:tcW w:w="2205" w:type="dxa"/>
                  <w:tcBorders>
                    <w:tl2br w:val="nil"/>
                    <w:tr2bl w:val="nil"/>
                  </w:tcBorders>
                  <w:shd w:val="clear" w:color="auto" w:fill="auto"/>
                  <w:vAlign w:val="center"/>
                </w:tcPr>
                <w:p w14:paraId="484B81C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w:t>
                  </w:r>
                </w:p>
              </w:tc>
              <w:tc>
                <w:tcPr>
                  <w:tcW w:w="726" w:type="dxa"/>
                  <w:tcBorders>
                    <w:tl2br w:val="nil"/>
                    <w:tr2bl w:val="nil"/>
                  </w:tcBorders>
                  <w:shd w:val="clear" w:color="auto" w:fill="auto"/>
                  <w:vAlign w:val="center"/>
                </w:tcPr>
                <w:p w14:paraId="13BE4B1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相符</w:t>
                  </w:r>
                </w:p>
              </w:tc>
            </w:tr>
          </w:tbl>
          <w:p w14:paraId="504BD519">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根据上表分析，本项目满足</w:t>
            </w:r>
            <w:r>
              <w:rPr>
                <w:rFonts w:hint="default" w:ascii="Times New Roman" w:hAnsi="Times New Roman" w:eastAsia="宋体"/>
                <w:color w:val="auto"/>
                <w:highlight w:val="none"/>
                <w:lang w:val="en-US"/>
              </w:rPr>
              <w:t>《〈长江经济带发展负面清单指南（试行，2022年版）〉江苏省实施细则》</w:t>
            </w:r>
            <w:r>
              <w:rPr>
                <w:rFonts w:hint="eastAsia" w:ascii="Times New Roman" w:hAnsi="Times New Roman" w:eastAsia="宋体"/>
                <w:color w:val="auto"/>
                <w:highlight w:val="none"/>
                <w:lang w:val="en-US"/>
              </w:rPr>
              <w:t>（苏长江办〔2022〕55号）要求。</w:t>
            </w:r>
          </w:p>
          <w:p w14:paraId="083B1161">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（5）与《南京市“三线一单”生态环境分区管控实施方案（2023年更新版）》相符性分析</w:t>
            </w:r>
          </w:p>
          <w:p w14:paraId="5D165BED">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本项目位于</w:t>
            </w:r>
            <w:r>
              <w:rPr>
                <w:rFonts w:hint="default" w:ascii="Times New Roman" w:hAnsi="Times New Roman" w:eastAsia="宋体"/>
                <w:color w:val="auto"/>
                <w:highlight w:val="none"/>
              </w:rPr>
              <w:t>南京江宁区空港工业园东西京路以东、双塘路以南（吴歌路36号）</w:t>
            </w:r>
            <w:r>
              <w:rPr>
                <w:rFonts w:hint="eastAsia" w:ascii="Times New Roman" w:hAnsi="Times New Roman" w:eastAsia="宋体"/>
                <w:color w:val="auto"/>
                <w:highlight w:val="none"/>
                <w:lang w:val="en-US"/>
              </w:rPr>
              <w:t>，在南京江宁经济技术开发区范围内，本项目所在区域属于重点管控单元，本项目与南京市江宁区重点管控单元（南京江宁经济技术开发区）生态环境准入清单的相符性分析见下表：</w:t>
            </w:r>
          </w:p>
          <w:p w14:paraId="3DD17AF3">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ascii="Times New Roman" w:hAnsi="Times New Roman" w:eastAsia="宋体"/>
                <w:color w:val="auto"/>
                <w:highlight w:val="none"/>
              </w:rPr>
              <w:t>表1-</w:t>
            </w:r>
            <w:r>
              <w:rPr>
                <w:rFonts w:hint="eastAsia"/>
                <w:color w:val="auto"/>
                <w:highlight w:val="none"/>
                <w:lang w:val="en-US" w:eastAsia="zh-CN"/>
              </w:rPr>
              <w:t>6</w:t>
            </w:r>
            <w:r>
              <w:rPr>
                <w:rFonts w:ascii="Times New Roman" w:hAnsi="Times New Roman" w:eastAsia="宋体"/>
                <w:color w:val="auto"/>
                <w:highlight w:val="none"/>
              </w:rPr>
              <w:t>与</w:t>
            </w:r>
            <w:r>
              <w:rPr>
                <w:rFonts w:hint="eastAsia" w:ascii="Times New Roman" w:hAnsi="Times New Roman" w:eastAsia="宋体"/>
                <w:color w:val="auto"/>
                <w:highlight w:val="none"/>
              </w:rPr>
              <w:t>《南京市生态环境分区管控实施方案（2023年更新版）》</w:t>
            </w:r>
            <w:r>
              <w:rPr>
                <w:rFonts w:ascii="Times New Roman" w:hAnsi="Times New Roman" w:eastAsia="宋体"/>
                <w:color w:val="auto"/>
                <w:highlight w:val="none"/>
              </w:rPr>
              <w:t>相符性分析</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31"/>
              <w:gridCol w:w="3328"/>
              <w:gridCol w:w="1740"/>
              <w:gridCol w:w="661"/>
            </w:tblGrid>
            <w:tr w14:paraId="4210FA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05" w:type="dxa"/>
                  <w:tcBorders>
                    <w:tl2br w:val="nil"/>
                    <w:tr2bl w:val="nil"/>
                  </w:tcBorders>
                  <w:vAlign w:val="center"/>
                </w:tcPr>
                <w:p w14:paraId="28668CAD">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rPr>
                    <w:t>管控类别</w:t>
                  </w:r>
                </w:p>
              </w:tc>
              <w:tc>
                <w:tcPr>
                  <w:tcW w:w="3949" w:type="dxa"/>
                  <w:tcBorders>
                    <w:tl2br w:val="nil"/>
                    <w:tr2bl w:val="nil"/>
                  </w:tcBorders>
                  <w:vAlign w:val="center"/>
                </w:tcPr>
                <w:p w14:paraId="012F9EDF">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项目管控</w:t>
                  </w:r>
                </w:p>
              </w:tc>
              <w:tc>
                <w:tcPr>
                  <w:tcW w:w="2064" w:type="dxa"/>
                  <w:tcBorders>
                    <w:tl2br w:val="nil"/>
                    <w:tr2bl w:val="nil"/>
                  </w:tcBorders>
                  <w:vAlign w:val="center"/>
                </w:tcPr>
                <w:p w14:paraId="1AEE7235">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本项目情况</w:t>
                  </w:r>
                </w:p>
              </w:tc>
              <w:tc>
                <w:tcPr>
                  <w:tcW w:w="784" w:type="dxa"/>
                  <w:tcBorders>
                    <w:tl2br w:val="nil"/>
                    <w:tr2bl w:val="nil"/>
                  </w:tcBorders>
                  <w:vAlign w:val="center"/>
                </w:tcPr>
                <w:p w14:paraId="48A020A3">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相符性</w:t>
                  </w:r>
                </w:p>
              </w:tc>
            </w:tr>
            <w:tr w14:paraId="5E8DC9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05" w:type="dxa"/>
                  <w:tcBorders>
                    <w:tl2br w:val="nil"/>
                    <w:tr2bl w:val="nil"/>
                  </w:tcBorders>
                  <w:vAlign w:val="center"/>
                </w:tcPr>
                <w:p w14:paraId="205B44C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空间布局约束</w:t>
                  </w:r>
                </w:p>
              </w:tc>
              <w:tc>
                <w:tcPr>
                  <w:tcW w:w="3949" w:type="dxa"/>
                  <w:tcBorders>
                    <w:tl2br w:val="nil"/>
                    <w:tr2bl w:val="nil"/>
                  </w:tcBorders>
                  <w:vAlign w:val="center"/>
                </w:tcPr>
                <w:p w14:paraId="68696BD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（1）执行规划和规划环评及其审查意见相关要求。</w:t>
                  </w:r>
                </w:p>
                <w:p w14:paraId="2F5BEFA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（2）优先引入：生物医药、新能源、节能环保、新材料、智能电网、绿色智能汽车、新一代信息技术、高端智能制造装备、轨道交通产业、航空制造及临空高科技产业。</w:t>
                  </w:r>
                </w:p>
                <w:p w14:paraId="7504AE0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（3）禁止引入：</w:t>
                  </w:r>
                </w:p>
                <w:p w14:paraId="4F94573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总体：新（扩）建酿造、制革等水污染重的项目，新（扩）建工业生产废水排水量大于1000吨／日的项目；新（扩）建排放含汞、砷、镉、铬、铅等重金属以及持久性有机污染物的工业项目。</w:t>
                  </w:r>
                </w:p>
                <w:p w14:paraId="08E3E18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生物医药产业：化学原药合成生产等重污染及风险较大的项目；采用珍稀动植物生产中成药项目；建设使用P3、P4实验室（除符合国家生物安全实验室体系规划的项目）。</w:t>
                  </w:r>
                </w:p>
                <w:p w14:paraId="294FE97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新材料产业：新增化工新材料项目。</w:t>
                  </w:r>
                </w:p>
                <w:p w14:paraId="79BD140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新能源产业：污染严重的太阳能光伏产业上游企业（单晶、多晶硅棒生产）。</w:t>
                  </w:r>
                </w:p>
                <w:p w14:paraId="65B67CE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智能电网产业：含铅焊接工艺项目。</w:t>
                  </w:r>
                </w:p>
                <w:p w14:paraId="24E194E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绿色智能汽车：4档以下机械式车用自动变速箱。</w:t>
                  </w:r>
                </w:p>
                <w:p w14:paraId="7D19977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（4）邻近生活区的工业用地，禁止引进废气污染物排放量大、无组织污染严重的项目，距离居住用地100m范围内不布置含喷涂、酸洗等排放异味气体的生产工序和危化品仓库。</w:t>
                  </w:r>
                </w:p>
              </w:tc>
              <w:tc>
                <w:tcPr>
                  <w:tcW w:w="2064" w:type="dxa"/>
                  <w:tcBorders>
                    <w:tl2br w:val="nil"/>
                    <w:tr2bl w:val="nil"/>
                  </w:tcBorders>
                  <w:vAlign w:val="center"/>
                </w:tcPr>
                <w:p w14:paraId="59D38EC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本项目建设符合开发区</w:t>
                  </w:r>
                  <w:r>
                    <w:rPr>
                      <w:rFonts w:hint="default" w:ascii="Times New Roman" w:hAnsi="Times New Roman" w:eastAsia="宋体"/>
                      <w:color w:val="auto"/>
                      <w:highlight w:val="none"/>
                    </w:rPr>
                    <w:t>规划和规划环评及其审查意见相关要求</w:t>
                  </w:r>
                  <w:r>
                    <w:rPr>
                      <w:rFonts w:hint="eastAsia" w:ascii="Times New Roman" w:hAnsi="Times New Roman" w:eastAsia="宋体"/>
                      <w:color w:val="auto"/>
                      <w:highlight w:val="none"/>
                    </w:rPr>
                    <w:t>；项目不属于开发区优先引入产业，也不属于开发区禁止引入产业，属于可以入驻产业；项目运营期</w:t>
                  </w:r>
                  <w:r>
                    <w:rPr>
                      <w:rFonts w:hint="eastAsia" w:ascii="Times New Roman" w:hAnsi="Times New Roman" w:eastAsia="宋体"/>
                      <w:color w:val="auto"/>
                      <w:highlight w:val="none"/>
                      <w:lang w:val="en-US" w:eastAsia="zh-CN"/>
                    </w:rPr>
                    <w:t>不排放生产废水；项目运营期排放</w:t>
                  </w:r>
                  <w:r>
                    <w:rPr>
                      <w:rFonts w:hint="eastAsia"/>
                      <w:color w:val="auto"/>
                      <w:highlight w:val="none"/>
                      <w:lang w:val="en-US" w:eastAsia="zh-CN"/>
                    </w:rPr>
                    <w:t>废气</w:t>
                  </w:r>
                  <w:r>
                    <w:rPr>
                      <w:rFonts w:hint="eastAsia" w:ascii="Times New Roman" w:hAnsi="Times New Roman" w:eastAsia="宋体"/>
                      <w:color w:val="auto"/>
                      <w:highlight w:val="none"/>
                      <w:lang w:val="en-US" w:eastAsia="zh-CN"/>
                    </w:rPr>
                    <w:t>污染物为</w:t>
                  </w:r>
                  <w:r>
                    <w:rPr>
                      <w:rFonts w:hint="eastAsia"/>
                      <w:color w:val="auto"/>
                      <w:highlight w:val="none"/>
                      <w:lang w:val="en-US" w:eastAsia="zh-CN"/>
                    </w:rPr>
                    <w:t>非甲烷总烃</w:t>
                  </w:r>
                  <w:r>
                    <w:rPr>
                      <w:rFonts w:hint="eastAsia" w:ascii="Times New Roman" w:hAnsi="Times New Roman" w:eastAsia="宋体"/>
                      <w:color w:val="auto"/>
                      <w:highlight w:val="none"/>
                      <w:lang w:val="en-US" w:eastAsia="zh-CN"/>
                    </w:rPr>
                    <w:t>，约0.7</w:t>
                  </w:r>
                  <w:r>
                    <w:rPr>
                      <w:rFonts w:hint="eastAsia"/>
                      <w:color w:val="auto"/>
                      <w:highlight w:val="none"/>
                      <w:lang w:val="en-US" w:eastAsia="zh-CN"/>
                    </w:rPr>
                    <w:t>3</w:t>
                  </w:r>
                  <w:r>
                    <w:rPr>
                      <w:rFonts w:hint="eastAsia" w:ascii="Times New Roman" w:hAnsi="Times New Roman" w:eastAsia="宋体"/>
                      <w:color w:val="auto"/>
                      <w:highlight w:val="none"/>
                      <w:lang w:val="en-US" w:eastAsia="zh-CN"/>
                    </w:rPr>
                    <w:t>t/a，并采取措施，有效控制废气污染物无组织排放，项目不属于废气污染物排放量大、无组织污染严重项目；本项目</w:t>
                  </w:r>
                  <w:r>
                    <w:rPr>
                      <w:rFonts w:hint="eastAsia"/>
                      <w:color w:val="auto"/>
                      <w:highlight w:val="none"/>
                      <w:lang w:val="en-US" w:eastAsia="zh-CN"/>
                    </w:rPr>
                    <w:t>周边500米范围内无</w:t>
                  </w:r>
                  <w:r>
                    <w:rPr>
                      <w:rFonts w:hint="eastAsia" w:ascii="Times New Roman" w:hAnsi="Times New Roman" w:eastAsia="宋体"/>
                      <w:color w:val="auto"/>
                      <w:highlight w:val="none"/>
                      <w:lang w:val="en-US" w:eastAsia="zh-CN"/>
                    </w:rPr>
                    <w:t>居民区，且本项目不涉及</w:t>
                  </w:r>
                  <w:r>
                    <w:rPr>
                      <w:rFonts w:hint="default" w:ascii="Times New Roman" w:hAnsi="Times New Roman" w:eastAsia="宋体"/>
                      <w:color w:val="auto"/>
                      <w:highlight w:val="none"/>
                    </w:rPr>
                    <w:t>含喷涂、酸洗等排放异味气体的生产工序和危化品仓库</w:t>
                  </w:r>
                  <w:r>
                    <w:rPr>
                      <w:rFonts w:hint="eastAsia" w:ascii="Times New Roman" w:hAnsi="Times New Roman" w:eastAsia="宋体"/>
                      <w:color w:val="auto"/>
                      <w:highlight w:val="none"/>
                      <w:lang w:eastAsia="zh-CN"/>
                    </w:rPr>
                    <w:t>。</w:t>
                  </w:r>
                </w:p>
              </w:tc>
              <w:tc>
                <w:tcPr>
                  <w:tcW w:w="784" w:type="dxa"/>
                  <w:tcBorders>
                    <w:tl2br w:val="nil"/>
                    <w:tr2bl w:val="nil"/>
                  </w:tcBorders>
                  <w:vAlign w:val="center"/>
                </w:tcPr>
                <w:p w14:paraId="2418980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相符</w:t>
                  </w:r>
                </w:p>
              </w:tc>
            </w:tr>
            <w:tr w14:paraId="725851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05" w:type="dxa"/>
                  <w:tcBorders>
                    <w:tl2br w:val="nil"/>
                    <w:tr2bl w:val="nil"/>
                  </w:tcBorders>
                  <w:vAlign w:val="center"/>
                </w:tcPr>
                <w:p w14:paraId="007B9FC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污染物排放管控</w:t>
                  </w:r>
                </w:p>
              </w:tc>
              <w:tc>
                <w:tcPr>
                  <w:tcW w:w="3949" w:type="dxa"/>
                  <w:tcBorders>
                    <w:tl2br w:val="nil"/>
                    <w:tr2bl w:val="nil"/>
                  </w:tcBorders>
                  <w:vAlign w:val="center"/>
                </w:tcPr>
                <w:p w14:paraId="21ACE9F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（1）严格实施主要污染物总量控制，采取有效措施，持续减少主要污染物排放总量，确保区域环境质量持续改善。</w:t>
                  </w:r>
                </w:p>
                <w:p w14:paraId="019942D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（2）有序推进工业园区开展限值限量管理，实现污染物排放浓度和总量“双控”。</w:t>
                  </w:r>
                </w:p>
                <w:p w14:paraId="6FA5EC5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（3）加强绿色智能汽车产业、电子信息产业、橡胶和塑料制品业以及装备制造业（含高端装备制造）的非甲烷总烃排放控制。</w:t>
                  </w:r>
                </w:p>
                <w:p w14:paraId="4B697B1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（4）严格执行重金属污染物排放管控要求。</w:t>
                  </w:r>
                </w:p>
              </w:tc>
              <w:tc>
                <w:tcPr>
                  <w:tcW w:w="2064" w:type="dxa"/>
                  <w:tcBorders>
                    <w:tl2br w:val="nil"/>
                    <w:tr2bl w:val="nil"/>
                  </w:tcBorders>
                  <w:vAlign w:val="center"/>
                </w:tcPr>
                <w:p w14:paraId="28A44A7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本项目</w:t>
                  </w:r>
                  <w:r>
                    <w:rPr>
                      <w:rFonts w:hint="eastAsia" w:ascii="Times New Roman" w:hAnsi="Times New Roman" w:eastAsia="宋体"/>
                      <w:color w:val="auto"/>
                      <w:highlight w:val="none"/>
                      <w:lang w:val="en-US" w:eastAsia="zh-CN"/>
                    </w:rPr>
                    <w:t>在环评报批前</w:t>
                  </w:r>
                  <w:r>
                    <w:rPr>
                      <w:rFonts w:hint="eastAsia" w:ascii="Times New Roman" w:hAnsi="Times New Roman" w:eastAsia="宋体"/>
                      <w:color w:val="auto"/>
                      <w:highlight w:val="none"/>
                    </w:rPr>
                    <w:t>落实污染物总量控制指标申请。</w:t>
                  </w:r>
                </w:p>
              </w:tc>
              <w:tc>
                <w:tcPr>
                  <w:tcW w:w="784" w:type="dxa"/>
                  <w:tcBorders>
                    <w:tl2br w:val="nil"/>
                    <w:tr2bl w:val="nil"/>
                  </w:tcBorders>
                  <w:vAlign w:val="center"/>
                </w:tcPr>
                <w:p w14:paraId="41C9B60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相符</w:t>
                  </w:r>
                </w:p>
              </w:tc>
            </w:tr>
            <w:tr w14:paraId="41BB62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05" w:type="dxa"/>
                  <w:tcBorders>
                    <w:tl2br w:val="nil"/>
                    <w:tr2bl w:val="nil"/>
                  </w:tcBorders>
                  <w:vAlign w:val="center"/>
                </w:tcPr>
                <w:p w14:paraId="4139AA1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环境风险防控</w:t>
                  </w:r>
                </w:p>
              </w:tc>
              <w:tc>
                <w:tcPr>
                  <w:tcW w:w="3949" w:type="dxa"/>
                  <w:tcBorders>
                    <w:tl2br w:val="nil"/>
                    <w:tr2bl w:val="nil"/>
                  </w:tcBorders>
                  <w:vAlign w:val="center"/>
                </w:tcPr>
                <w:p w14:paraId="5C3F951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（1）建设突发水污染事件应急防控体系，完善“企业</w:t>
                  </w:r>
                  <w:r>
                    <w:rPr>
                      <w:rFonts w:hint="eastAsia" w:ascii="Times New Roman" w:hAnsi="Times New Roman" w:eastAsia="宋体"/>
                      <w:color w:val="auto"/>
                      <w:highlight w:val="none"/>
                    </w:rPr>
                    <w:t>－</w:t>
                  </w:r>
                  <w:r>
                    <w:rPr>
                      <w:rFonts w:hint="default" w:ascii="Times New Roman" w:hAnsi="Times New Roman" w:eastAsia="宋体"/>
                      <w:color w:val="auto"/>
                      <w:highlight w:val="none"/>
                    </w:rPr>
                    <w:t>公共管网</w:t>
                  </w:r>
                  <w:r>
                    <w:rPr>
                      <w:rFonts w:hint="eastAsia" w:ascii="Times New Roman" w:hAnsi="Times New Roman" w:eastAsia="宋体"/>
                      <w:color w:val="auto"/>
                      <w:highlight w:val="none"/>
                    </w:rPr>
                    <w:t>－</w:t>
                  </w:r>
                  <w:r>
                    <w:rPr>
                      <w:rFonts w:hint="default" w:ascii="Times New Roman" w:hAnsi="Times New Roman" w:eastAsia="宋体"/>
                      <w:color w:val="auto"/>
                      <w:highlight w:val="none"/>
                    </w:rPr>
                    <w:t>区内水体”水污染三级防控基础设施建设。</w:t>
                  </w:r>
                </w:p>
                <w:p w14:paraId="0E467D0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（2）建立监测应急体系，建设省市区上下联动、区域之间左右联动等联动应急响应体系，实行联动防控。</w:t>
                  </w:r>
                </w:p>
                <w:p w14:paraId="4138275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（3）生产、使用、储存危险化学品或其他存在环境风险的企事业单位，制定风险防范措施，编制完善突发环境事件应急预案。</w:t>
                  </w:r>
                </w:p>
                <w:p w14:paraId="22497F8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（4）加强环境影响跟踪监测，建立健全各环境要素监控体系，完善并落实园区日常环境监测与污染源监控计划。</w:t>
                  </w:r>
                </w:p>
                <w:p w14:paraId="78AF53B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（5）邻近重要湿地等生态红线区域的工业用地，加强入区企业跑冒滴漏管理，设置符合规范的事故应急池，确保企业废水不排入上述敏感区域。</w:t>
                  </w:r>
                </w:p>
              </w:tc>
              <w:tc>
                <w:tcPr>
                  <w:tcW w:w="2064" w:type="dxa"/>
                  <w:tcBorders>
                    <w:tl2br w:val="nil"/>
                    <w:tr2bl w:val="nil"/>
                  </w:tcBorders>
                  <w:vAlign w:val="center"/>
                </w:tcPr>
                <w:p w14:paraId="792B40E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本项目建成后建设单位按相关法律法规要求制定环境风险防范措施，落实突发环境事件应急预案，项目距离</w:t>
                  </w:r>
                  <w:r>
                    <w:rPr>
                      <w:rFonts w:hint="eastAsia" w:ascii="Times New Roman" w:hAnsi="Times New Roman" w:eastAsia="宋体"/>
                      <w:color w:val="auto"/>
                      <w:highlight w:val="none"/>
                      <w:lang w:val="en-US"/>
                    </w:rPr>
                    <w:t>最近</w:t>
                  </w:r>
                  <w:r>
                    <w:rPr>
                      <w:rFonts w:hint="default" w:ascii="Times New Roman" w:hAnsi="Times New Roman" w:eastAsia="宋体"/>
                      <w:color w:val="auto"/>
                      <w:highlight w:val="none"/>
                    </w:rPr>
                    <w:t>生态环境保护目标</w:t>
                  </w:r>
                  <w:r>
                    <w:rPr>
                      <w:rFonts w:hint="eastAsia" w:ascii="Times New Roman" w:hAnsi="Times New Roman" w:eastAsia="宋体"/>
                      <w:color w:val="auto"/>
                      <w:highlight w:val="none"/>
                    </w:rPr>
                    <w:t>牛首</w:t>
                  </w:r>
                  <w:r>
                    <w:rPr>
                      <w:rFonts w:hint="eastAsia"/>
                      <w:color w:val="auto"/>
                      <w:highlight w:val="none"/>
                      <w:lang w:eastAsia="zh-CN"/>
                    </w:rPr>
                    <w:t>－</w:t>
                  </w:r>
                  <w:r>
                    <w:rPr>
                      <w:rFonts w:hint="eastAsia" w:ascii="Times New Roman" w:hAnsi="Times New Roman" w:eastAsia="宋体"/>
                      <w:color w:val="auto"/>
                      <w:highlight w:val="none"/>
                    </w:rPr>
                    <w:t>祖堂风景名胜区</w:t>
                  </w:r>
                  <w:r>
                    <w:rPr>
                      <w:rFonts w:hint="eastAsia" w:ascii="Times New Roman" w:hAnsi="Times New Roman" w:eastAsia="宋体"/>
                      <w:color w:val="auto"/>
                      <w:highlight w:val="none"/>
                      <w:lang w:val="en-US" w:eastAsia="zh-CN"/>
                    </w:rPr>
                    <w:t>约</w:t>
                  </w:r>
                  <w:r>
                    <w:rPr>
                      <w:rFonts w:hint="default" w:ascii="Times New Roman" w:hAnsi="Times New Roman" w:eastAsia="宋体"/>
                      <w:color w:val="auto"/>
                      <w:highlight w:val="none"/>
                    </w:rPr>
                    <w:t>3</w:t>
                  </w:r>
                  <w:r>
                    <w:rPr>
                      <w:rFonts w:hint="eastAsia"/>
                      <w:color w:val="auto"/>
                      <w:highlight w:val="none"/>
                      <w:lang w:val="en-US" w:eastAsia="zh-CN"/>
                    </w:rPr>
                    <w:t>.2</w:t>
                  </w:r>
                  <w:r>
                    <w:rPr>
                      <w:rFonts w:hint="default" w:ascii="Times New Roman" w:hAnsi="Times New Roman" w:eastAsia="宋体"/>
                      <w:color w:val="auto"/>
                      <w:highlight w:val="none"/>
                    </w:rPr>
                    <w:t>km，</w:t>
                  </w:r>
                  <w:r>
                    <w:rPr>
                      <w:rFonts w:hint="eastAsia" w:ascii="Times New Roman" w:hAnsi="Times New Roman" w:eastAsia="宋体"/>
                      <w:color w:val="auto"/>
                      <w:highlight w:val="none"/>
                      <w:lang w:val="en-US"/>
                    </w:rPr>
                    <w:t>距离</w:t>
                  </w:r>
                  <w:r>
                    <w:rPr>
                      <w:rFonts w:hint="eastAsia" w:ascii="Times New Roman" w:hAnsi="Times New Roman" w:eastAsia="宋体"/>
                      <w:color w:val="auto"/>
                      <w:highlight w:val="none"/>
                    </w:rPr>
                    <w:t>较远。</w:t>
                  </w:r>
                </w:p>
              </w:tc>
              <w:tc>
                <w:tcPr>
                  <w:tcW w:w="784" w:type="dxa"/>
                  <w:tcBorders>
                    <w:tl2br w:val="nil"/>
                    <w:tr2bl w:val="nil"/>
                  </w:tcBorders>
                  <w:vAlign w:val="center"/>
                </w:tcPr>
                <w:p w14:paraId="0B65214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相符</w:t>
                  </w:r>
                </w:p>
              </w:tc>
            </w:tr>
            <w:tr w14:paraId="610B49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05" w:type="dxa"/>
                  <w:tcBorders>
                    <w:tl2br w:val="nil"/>
                    <w:tr2bl w:val="nil"/>
                  </w:tcBorders>
                  <w:vAlign w:val="center"/>
                </w:tcPr>
                <w:p w14:paraId="4CCE599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资源利用效率要求</w:t>
                  </w:r>
                </w:p>
              </w:tc>
              <w:tc>
                <w:tcPr>
                  <w:tcW w:w="3949" w:type="dxa"/>
                  <w:tcBorders>
                    <w:tl2br w:val="nil"/>
                    <w:tr2bl w:val="nil"/>
                  </w:tcBorders>
                  <w:vAlign w:val="center"/>
                </w:tcPr>
                <w:p w14:paraId="2350B52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（1）引进项目的生产工艺、设备、能耗、污染物排放、资源利用等达到同行业先进水平。</w:t>
                  </w:r>
                </w:p>
                <w:p w14:paraId="6A41655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（2）执行国家和省能耗及水耗限额标准。</w:t>
                  </w:r>
                </w:p>
                <w:p w14:paraId="69D996D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（3）强化企业清洁生产改造，推进节水型企业、节水型园区建设，提高资源能源利用效率。</w:t>
                  </w:r>
                </w:p>
                <w:p w14:paraId="5B7CA6F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（4）禁燃区禁止新建、扩建燃用高污染燃料的项目和设施，已建成的应逐步或依法限期改用天然气、电或者其他清洁能源。</w:t>
                  </w:r>
                </w:p>
              </w:tc>
              <w:tc>
                <w:tcPr>
                  <w:tcW w:w="2064" w:type="dxa"/>
                  <w:tcBorders>
                    <w:tl2br w:val="nil"/>
                    <w:tr2bl w:val="nil"/>
                  </w:tcBorders>
                  <w:vAlign w:val="center"/>
                </w:tcPr>
                <w:p w14:paraId="581D80E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本项目采用简单成熟的生产工艺，</w:t>
                  </w:r>
                  <w:r>
                    <w:rPr>
                      <w:rFonts w:hint="eastAsia" w:ascii="Times New Roman" w:hAnsi="Times New Roman" w:eastAsia="宋体"/>
                      <w:color w:val="auto"/>
                      <w:highlight w:val="none"/>
                      <w:lang w:val="en-US" w:eastAsia="zh-CN"/>
                    </w:rPr>
                    <w:t>先进生产设备</w:t>
                  </w:r>
                  <w:r>
                    <w:rPr>
                      <w:rFonts w:hint="eastAsia" w:ascii="Times New Roman" w:hAnsi="Times New Roman" w:eastAsia="宋体"/>
                      <w:color w:val="auto"/>
                      <w:highlight w:val="none"/>
                    </w:rPr>
                    <w:t>，清洁生产水平达到同行业先进水平，项目使用能源为电能，不使用煤炭等高污染燃料。</w:t>
                  </w:r>
                </w:p>
              </w:tc>
              <w:tc>
                <w:tcPr>
                  <w:tcW w:w="784" w:type="dxa"/>
                  <w:tcBorders>
                    <w:tl2br w:val="nil"/>
                    <w:tr2bl w:val="nil"/>
                  </w:tcBorders>
                  <w:vAlign w:val="center"/>
                </w:tcPr>
                <w:p w14:paraId="7EE6385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相符</w:t>
                  </w:r>
                </w:p>
              </w:tc>
            </w:tr>
          </w:tbl>
          <w:p w14:paraId="091277A1">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3、与其他环境保护法律法规、政策相符性分析</w:t>
            </w:r>
          </w:p>
          <w:p w14:paraId="24840C32">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本项目与其他环境保护法律法规、政策相符性分析见下表：</w:t>
            </w:r>
          </w:p>
          <w:p w14:paraId="0D8BC1A0">
            <w:pPr>
              <w:pStyle w:val="23"/>
              <w:keepNext w:val="0"/>
              <w:keepLines w:val="0"/>
              <w:suppressLineNumbers w:val="0"/>
              <w:spacing w:before="0" w:beforeAutospacing="0" w:after="0" w:afterAutospacing="0"/>
              <w:ind w:left="0" w:right="0"/>
              <w:rPr>
                <w:rFonts w:ascii="Times New Roman" w:hAnsi="Times New Roman" w:eastAsia="宋体"/>
                <w:color w:val="auto"/>
                <w:highlight w:val="none"/>
              </w:rPr>
            </w:pPr>
            <w:r>
              <w:rPr>
                <w:rFonts w:ascii="Times New Roman" w:hAnsi="Times New Roman" w:eastAsia="宋体"/>
                <w:color w:val="auto"/>
                <w:highlight w:val="none"/>
              </w:rPr>
              <w:t>表1-</w:t>
            </w:r>
            <w:r>
              <w:rPr>
                <w:rFonts w:hint="eastAsia"/>
                <w:color w:val="auto"/>
                <w:highlight w:val="none"/>
                <w:lang w:val="en-US" w:eastAsia="zh-CN"/>
              </w:rPr>
              <w:t>7</w:t>
            </w:r>
            <w:r>
              <w:rPr>
                <w:rFonts w:ascii="Times New Roman" w:hAnsi="Times New Roman" w:eastAsia="宋体"/>
                <w:color w:val="auto"/>
                <w:highlight w:val="none"/>
              </w:rPr>
              <w:t>本项目与其他环境保护法律法规、政策相符性分析表</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000"/>
              <w:gridCol w:w="3308"/>
              <w:gridCol w:w="1893"/>
              <w:gridCol w:w="459"/>
            </w:tblGrid>
            <w:tr w14:paraId="593468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00" w:type="dxa"/>
                  <w:tcBorders>
                    <w:tl2br w:val="nil"/>
                    <w:tr2bl w:val="nil"/>
                  </w:tcBorders>
                  <w:vAlign w:val="center"/>
                </w:tcPr>
                <w:p w14:paraId="0DAC59DB">
                  <w:pPr>
                    <w:pStyle w:val="21"/>
                    <w:keepNext w:val="0"/>
                    <w:keepLines w:val="0"/>
                    <w:suppressLineNumbers w:val="0"/>
                    <w:spacing w:before="0" w:beforeAutospacing="0" w:after="0" w:afterAutospacing="0"/>
                    <w:ind w:left="0" w:right="0"/>
                    <w:rPr>
                      <w:rFonts w:hint="default"/>
                      <w:b/>
                      <w:bCs/>
                      <w:color w:val="auto"/>
                      <w:highlight w:val="none"/>
                      <w:lang w:val="en-US"/>
                    </w:rPr>
                  </w:pPr>
                  <w:r>
                    <w:rPr>
                      <w:rFonts w:hint="eastAsia"/>
                      <w:b/>
                      <w:bCs/>
                      <w:color w:val="auto"/>
                      <w:highlight w:val="none"/>
                      <w:lang w:val="en-US"/>
                    </w:rPr>
                    <w:t>政策名称</w:t>
                  </w:r>
                </w:p>
              </w:tc>
              <w:tc>
                <w:tcPr>
                  <w:tcW w:w="3308" w:type="dxa"/>
                  <w:tcBorders>
                    <w:tl2br w:val="nil"/>
                    <w:tr2bl w:val="nil"/>
                  </w:tcBorders>
                  <w:vAlign w:val="center"/>
                </w:tcPr>
                <w:p w14:paraId="27FFE6EC">
                  <w:pPr>
                    <w:pStyle w:val="21"/>
                    <w:keepNext w:val="0"/>
                    <w:keepLines w:val="0"/>
                    <w:suppressLineNumbers w:val="0"/>
                    <w:spacing w:before="0" w:beforeAutospacing="0" w:after="0" w:afterAutospacing="0"/>
                    <w:ind w:left="0" w:right="0"/>
                    <w:rPr>
                      <w:rFonts w:hint="default"/>
                      <w:b/>
                      <w:bCs/>
                      <w:color w:val="auto"/>
                      <w:highlight w:val="none"/>
                    </w:rPr>
                  </w:pPr>
                  <w:r>
                    <w:rPr>
                      <w:rFonts w:hint="eastAsia"/>
                      <w:b/>
                      <w:bCs/>
                      <w:color w:val="auto"/>
                      <w:highlight w:val="none"/>
                      <w:lang w:val="en-US"/>
                    </w:rPr>
                    <w:t>要求</w:t>
                  </w:r>
                </w:p>
              </w:tc>
              <w:tc>
                <w:tcPr>
                  <w:tcW w:w="1893" w:type="dxa"/>
                  <w:tcBorders>
                    <w:tl2br w:val="nil"/>
                    <w:tr2bl w:val="nil"/>
                  </w:tcBorders>
                  <w:vAlign w:val="center"/>
                </w:tcPr>
                <w:p w14:paraId="1F4AC6B3">
                  <w:pPr>
                    <w:pStyle w:val="21"/>
                    <w:keepNext w:val="0"/>
                    <w:keepLines w:val="0"/>
                    <w:suppressLineNumbers w:val="0"/>
                    <w:spacing w:before="0" w:beforeAutospacing="0" w:after="0" w:afterAutospacing="0"/>
                    <w:ind w:left="0" w:right="0"/>
                    <w:rPr>
                      <w:rFonts w:hint="default"/>
                      <w:b/>
                      <w:bCs/>
                      <w:color w:val="auto"/>
                      <w:highlight w:val="none"/>
                      <w:lang w:val="en-US"/>
                    </w:rPr>
                  </w:pPr>
                  <w:r>
                    <w:rPr>
                      <w:rFonts w:hint="eastAsia"/>
                      <w:b/>
                      <w:bCs/>
                      <w:color w:val="auto"/>
                      <w:highlight w:val="none"/>
                      <w:lang w:val="en-US"/>
                    </w:rPr>
                    <w:t>本项目情况</w:t>
                  </w:r>
                </w:p>
              </w:tc>
              <w:tc>
                <w:tcPr>
                  <w:tcW w:w="459" w:type="dxa"/>
                  <w:tcBorders>
                    <w:tl2br w:val="nil"/>
                    <w:tr2bl w:val="nil"/>
                  </w:tcBorders>
                  <w:vAlign w:val="center"/>
                </w:tcPr>
                <w:p w14:paraId="12B58823">
                  <w:pPr>
                    <w:pStyle w:val="21"/>
                    <w:keepNext w:val="0"/>
                    <w:keepLines w:val="0"/>
                    <w:suppressLineNumbers w:val="0"/>
                    <w:spacing w:before="0" w:beforeAutospacing="0" w:after="0" w:afterAutospacing="0"/>
                    <w:ind w:left="0" w:right="0"/>
                    <w:rPr>
                      <w:rFonts w:hint="default"/>
                      <w:b/>
                      <w:bCs/>
                      <w:color w:val="auto"/>
                      <w:highlight w:val="none"/>
                    </w:rPr>
                  </w:pPr>
                  <w:r>
                    <w:rPr>
                      <w:rFonts w:hint="default"/>
                      <w:b/>
                      <w:bCs/>
                      <w:color w:val="auto"/>
                      <w:highlight w:val="none"/>
                    </w:rPr>
                    <w:t>相符性</w:t>
                  </w:r>
                </w:p>
              </w:tc>
            </w:tr>
            <w:tr w14:paraId="3875E1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blHeader/>
                <w:jc w:val="center"/>
              </w:trPr>
              <w:tc>
                <w:tcPr>
                  <w:tcW w:w="1000" w:type="dxa"/>
                  <w:tcBorders>
                    <w:tl2br w:val="nil"/>
                    <w:tr2bl w:val="nil"/>
                  </w:tcBorders>
                  <w:vAlign w:val="center"/>
                </w:tcPr>
                <w:p w14:paraId="4A9FA283">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关于印发《重点行业挥发性有机物污染综合治理方案》的通知（环大气</w:t>
                  </w:r>
                  <w:r>
                    <w:rPr>
                      <w:rFonts w:hint="eastAsia"/>
                      <w:color w:val="auto"/>
                      <w:highlight w:val="none"/>
                      <w:lang w:eastAsia="zh-CN"/>
                    </w:rPr>
                    <w:t>〔2019〕53号</w:t>
                  </w:r>
                  <w:r>
                    <w:rPr>
                      <w:rFonts w:hint="default"/>
                      <w:color w:val="auto"/>
                      <w:highlight w:val="none"/>
                    </w:rPr>
                    <w:t>）</w:t>
                  </w:r>
                </w:p>
              </w:tc>
              <w:tc>
                <w:tcPr>
                  <w:tcW w:w="3308" w:type="dxa"/>
                  <w:tcBorders>
                    <w:tl2br w:val="nil"/>
                    <w:tr2bl w:val="nil"/>
                  </w:tcBorders>
                  <w:vAlign w:val="center"/>
                </w:tcPr>
                <w:p w14:paraId="692A5F3E">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一）大力推进源头替代。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二）全面加强无组织排放控制。通过采取设备与场所密闭、工艺改进、废气有效收集等措施，削减VOCs无组织排放。（三）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w:t>
                  </w:r>
                </w:p>
              </w:tc>
              <w:tc>
                <w:tcPr>
                  <w:tcW w:w="1893" w:type="dxa"/>
                  <w:tcBorders>
                    <w:tl2br w:val="nil"/>
                    <w:tr2bl w:val="nil"/>
                  </w:tcBorders>
                  <w:vAlign w:val="center"/>
                </w:tcPr>
                <w:p w14:paraId="1994BDB2">
                  <w:pPr>
                    <w:pStyle w:val="21"/>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default"/>
                      <w:color w:val="auto"/>
                      <w:highlight w:val="none"/>
                    </w:rPr>
                    <w:t>本项目</w:t>
                  </w:r>
                  <w:r>
                    <w:rPr>
                      <w:rFonts w:hint="eastAsia"/>
                      <w:color w:val="auto"/>
                      <w:highlight w:val="none"/>
                    </w:rPr>
                    <w:t>属于C1522瓶（罐）装饮用水制造</w:t>
                  </w:r>
                  <w:r>
                    <w:rPr>
                      <w:rFonts w:hint="eastAsia"/>
                      <w:color w:val="auto"/>
                      <w:highlight w:val="none"/>
                      <w:lang w:val="en-US" w:eastAsia="zh-CN"/>
                    </w:rPr>
                    <w:t>业</w:t>
                  </w:r>
                  <w:r>
                    <w:rPr>
                      <w:rFonts w:hint="eastAsia"/>
                      <w:color w:val="auto"/>
                      <w:highlight w:val="none"/>
                    </w:rPr>
                    <w:t>，</w:t>
                  </w:r>
                  <w:r>
                    <w:rPr>
                      <w:rFonts w:hint="eastAsia"/>
                      <w:color w:val="auto"/>
                      <w:highlight w:val="none"/>
                      <w:lang w:val="en-US"/>
                    </w:rPr>
                    <w:t>生产中</w:t>
                  </w:r>
                  <w:r>
                    <w:rPr>
                      <w:rFonts w:hint="default"/>
                      <w:color w:val="auto"/>
                      <w:highlight w:val="none"/>
                    </w:rPr>
                    <w:t>不涉及涂料、胶粘剂</w:t>
                  </w:r>
                  <w:r>
                    <w:rPr>
                      <w:rFonts w:hint="eastAsia"/>
                      <w:color w:val="auto"/>
                      <w:highlight w:val="none"/>
                      <w:lang w:eastAsia="zh-CN"/>
                    </w:rPr>
                    <w:t>，</w:t>
                  </w:r>
                  <w:r>
                    <w:rPr>
                      <w:rFonts w:hint="eastAsia"/>
                      <w:color w:val="auto"/>
                      <w:highlight w:val="none"/>
                      <w:lang w:val="en-US" w:eastAsia="zh-CN"/>
                    </w:rPr>
                    <w:t>根据建设单位提供资料，喷码过程使用的油墨VOC含量为8.8%，符合《油墨中可挥发性有机化合物（VOCs）含量的限值》（GB38507-2020）中水性油墨（喷墨印刷油墨）VOCs含量≤30%的要求，属于低VOCs含量油墨</w:t>
                  </w:r>
                  <w:r>
                    <w:rPr>
                      <w:rFonts w:hint="default"/>
                      <w:color w:val="auto"/>
                      <w:highlight w:val="none"/>
                    </w:rPr>
                    <w:t>。</w:t>
                  </w:r>
                  <w:r>
                    <w:rPr>
                      <w:rFonts w:hint="eastAsia"/>
                      <w:color w:val="auto"/>
                      <w:highlight w:val="none"/>
                      <w:lang w:val="en-US" w:eastAsia="zh-CN"/>
                    </w:rPr>
                    <w:t>设备清洗过程中使用硝酸、氢氧化钠作为清洗剂，不含VOCs</w:t>
                  </w:r>
                </w:p>
              </w:tc>
              <w:tc>
                <w:tcPr>
                  <w:tcW w:w="459" w:type="dxa"/>
                  <w:tcBorders>
                    <w:tl2br w:val="nil"/>
                    <w:tr2bl w:val="nil"/>
                  </w:tcBorders>
                  <w:vAlign w:val="center"/>
                </w:tcPr>
                <w:p w14:paraId="7A3E05EA">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符合</w:t>
                  </w:r>
                </w:p>
              </w:tc>
            </w:tr>
            <w:tr w14:paraId="4D27BD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blHeader/>
                <w:jc w:val="center"/>
              </w:trPr>
              <w:tc>
                <w:tcPr>
                  <w:tcW w:w="1000" w:type="dxa"/>
                  <w:tcBorders>
                    <w:tl2br w:val="nil"/>
                    <w:tr2bl w:val="nil"/>
                  </w:tcBorders>
                  <w:vAlign w:val="center"/>
                </w:tcPr>
                <w:p w14:paraId="1D5184EB">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关于印发《江苏省重点行业挥发性有机物污染控制指南》的通知（苏环办〔2014〕128号）</w:t>
                  </w:r>
                </w:p>
              </w:tc>
              <w:tc>
                <w:tcPr>
                  <w:tcW w:w="3308" w:type="dxa"/>
                  <w:tcBorders>
                    <w:tl2br w:val="nil"/>
                    <w:tr2bl w:val="nil"/>
                  </w:tcBorders>
                  <w:vAlign w:val="center"/>
                </w:tcPr>
                <w:p w14:paraId="5B64F074">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一）所有产生有机废气污染的企业，应优先采用环保型原辅料、生产工艺和装备，对相应生产单元或设施进行密闭，从源头控制VOCs的产生，减少废气污染物排放。（二）对浓度、性状差异较大的废气应分类收集，并采用适宜的方式进行有效处理，确保VOCs总去除率满足管理要求；其中橡胶和塑料制品业（有溶剂浸胶工艺）的VOCS总收集、净化处理效率均不低于90%。</w:t>
                  </w:r>
                </w:p>
              </w:tc>
              <w:tc>
                <w:tcPr>
                  <w:tcW w:w="1893" w:type="dxa"/>
                  <w:tcBorders>
                    <w:tl2br w:val="nil"/>
                    <w:tr2bl w:val="nil"/>
                  </w:tcBorders>
                  <w:vAlign w:val="center"/>
                </w:tcPr>
                <w:p w14:paraId="4A697E1D">
                  <w:pPr>
                    <w:pStyle w:val="21"/>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本项目使用低VOCs含量油墨，清洗剂中不含VOCs，涉VOC物料均采用密闭包装桶运输、储存，从源头控制</w:t>
                  </w:r>
                  <w:r>
                    <w:rPr>
                      <w:rFonts w:hint="default"/>
                      <w:color w:val="auto"/>
                      <w:highlight w:val="none"/>
                    </w:rPr>
                    <w:t>VOCs的产生。</w:t>
                  </w:r>
                  <w:r>
                    <w:rPr>
                      <w:rFonts w:hint="eastAsia"/>
                      <w:color w:val="auto"/>
                      <w:highlight w:val="none"/>
                      <w:lang w:val="en-US" w:eastAsia="zh-CN"/>
                    </w:rPr>
                    <w:t>注塑、吹瓶过程产生的非甲烷总烃经集气罩收集+二级活性炭吸附处理后通过15米高排气筒排放，收集效率、处理效率均达到90%。</w:t>
                  </w:r>
                </w:p>
              </w:tc>
              <w:tc>
                <w:tcPr>
                  <w:tcW w:w="459" w:type="dxa"/>
                  <w:tcBorders>
                    <w:tl2br w:val="nil"/>
                    <w:tr2bl w:val="nil"/>
                  </w:tcBorders>
                  <w:vAlign w:val="center"/>
                </w:tcPr>
                <w:p w14:paraId="4C17EE8F">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符合</w:t>
                  </w:r>
                </w:p>
              </w:tc>
            </w:tr>
            <w:tr w14:paraId="2239F5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00" w:type="dxa"/>
                  <w:tcBorders>
                    <w:tl2br w:val="nil"/>
                    <w:tr2bl w:val="nil"/>
                  </w:tcBorders>
                  <w:vAlign w:val="center"/>
                </w:tcPr>
                <w:p w14:paraId="089D4093">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关于印发《江苏省重点行业挥发性有机物污染整治方案》的通知（苏环办〔2015〕19号）</w:t>
                  </w:r>
                </w:p>
              </w:tc>
              <w:tc>
                <w:tcPr>
                  <w:tcW w:w="3308" w:type="dxa"/>
                  <w:tcBorders>
                    <w:tl2br w:val="nil"/>
                    <w:tr2bl w:val="nil"/>
                  </w:tcBorders>
                  <w:vAlign w:val="center"/>
                </w:tcPr>
                <w:p w14:paraId="13C30AEA">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严格环境准入，有效控制VOCS的新增排放量：新、改、改建VOCS排放项目在设计和建设中应使用低毒、低臭、低挥发性的原辅料、选用先进的清洁生产和密闭化工艺，实现设备、装置、管线、采样等密闭化，从源头减少VOCS的泄漏环节。</w:t>
                  </w:r>
                </w:p>
              </w:tc>
              <w:tc>
                <w:tcPr>
                  <w:tcW w:w="1893" w:type="dxa"/>
                  <w:tcBorders>
                    <w:tl2br w:val="nil"/>
                    <w:tr2bl w:val="nil"/>
                  </w:tcBorders>
                  <w:vAlign w:val="center"/>
                </w:tcPr>
                <w:p w14:paraId="3C867FBC">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eastAsia="zh-CN"/>
                    </w:rPr>
                    <w:t>本项目使用低VOCs含量油墨，清洗剂中不含VOCs，涉VOC物料均采用密闭包装桶运输、储存，在密闭设备中使用，从源头控制</w:t>
                  </w:r>
                  <w:r>
                    <w:rPr>
                      <w:rFonts w:hint="default"/>
                      <w:color w:val="auto"/>
                      <w:highlight w:val="none"/>
                    </w:rPr>
                    <w:t>VOCs的产生。</w:t>
                  </w:r>
                </w:p>
              </w:tc>
              <w:tc>
                <w:tcPr>
                  <w:tcW w:w="459" w:type="dxa"/>
                  <w:tcBorders>
                    <w:tl2br w:val="nil"/>
                    <w:tr2bl w:val="nil"/>
                  </w:tcBorders>
                  <w:vAlign w:val="center"/>
                </w:tcPr>
                <w:p w14:paraId="0EDF2924">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符合</w:t>
                  </w:r>
                </w:p>
              </w:tc>
            </w:tr>
            <w:tr w14:paraId="34397C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00" w:type="dxa"/>
                  <w:tcBorders>
                    <w:tl2br w:val="nil"/>
                    <w:tr2bl w:val="nil"/>
                  </w:tcBorders>
                  <w:vAlign w:val="center"/>
                </w:tcPr>
                <w:p w14:paraId="2487B05B">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《江苏省挥发性有机物污染防治管理办法》</w:t>
                  </w:r>
                </w:p>
              </w:tc>
              <w:tc>
                <w:tcPr>
                  <w:tcW w:w="3308" w:type="dxa"/>
                  <w:tcBorders>
                    <w:tl2br w:val="nil"/>
                    <w:tr2bl w:val="nil"/>
                  </w:tcBorders>
                  <w:vAlign w:val="center"/>
                </w:tcPr>
                <w:p w14:paraId="0485614A">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根据管理办法第二十一条，产生挥发性有机物废气的生产经营活动应当在密闭空间或者密闭设备中进行。无法在密闭空间进行的生产经营活动应当采取有效措施，减少挥发性有机物排放。</w:t>
                  </w:r>
                </w:p>
              </w:tc>
              <w:tc>
                <w:tcPr>
                  <w:tcW w:w="1893" w:type="dxa"/>
                  <w:tcBorders>
                    <w:tl2br w:val="nil"/>
                    <w:tr2bl w:val="nil"/>
                  </w:tcBorders>
                  <w:vAlign w:val="center"/>
                </w:tcPr>
                <w:p w14:paraId="0BF1F947">
                  <w:pPr>
                    <w:pStyle w:val="21"/>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val="en-US" w:eastAsia="zh-CN"/>
                    </w:rPr>
                    <w:t>本项目喷码过程使用低VOCs含量油墨，且油墨用量很少，产生的非甲烷总烃无组织排放，制瓶过程中产生的有机废气经集气罩收集+二级活性炭吸附后通过15米高排气筒排放</w:t>
                  </w:r>
                  <w:r>
                    <w:rPr>
                      <w:rFonts w:hint="eastAsia"/>
                      <w:color w:val="auto"/>
                      <w:highlight w:val="none"/>
                      <w:lang w:val="en-US"/>
                    </w:rPr>
                    <w:t>。</w:t>
                  </w:r>
                </w:p>
              </w:tc>
              <w:tc>
                <w:tcPr>
                  <w:tcW w:w="459" w:type="dxa"/>
                  <w:tcBorders>
                    <w:tl2br w:val="nil"/>
                    <w:tr2bl w:val="nil"/>
                  </w:tcBorders>
                  <w:vAlign w:val="center"/>
                </w:tcPr>
                <w:p w14:paraId="5CF4BE68">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符合</w:t>
                  </w:r>
                </w:p>
              </w:tc>
            </w:tr>
            <w:tr w14:paraId="4F8D2E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00" w:type="dxa"/>
                  <w:tcBorders>
                    <w:tl2br w:val="nil"/>
                    <w:tr2bl w:val="nil"/>
                  </w:tcBorders>
                  <w:vAlign w:val="center"/>
                </w:tcPr>
                <w:p w14:paraId="1C705A48">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省大气办关于印发《江苏省挥发性有机物清洁原料替代工作方案》的通知（苏大气办〔2021〕2号）</w:t>
                  </w:r>
                </w:p>
              </w:tc>
              <w:tc>
                <w:tcPr>
                  <w:tcW w:w="3308" w:type="dxa"/>
                  <w:tcBorders>
                    <w:tl2br w:val="nil"/>
                    <w:tr2bl w:val="nil"/>
                  </w:tcBorders>
                  <w:vAlign w:val="center"/>
                </w:tcPr>
                <w:p w14:paraId="1D442B70">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工程机械整机制造和零部件加工企业。主要涉及喷漆、流平、烘干修补等产生VOCs生产工序的企业，使用的涂料、清洗剂、胶粘剂等原辅材料均使用《低挥发性有机化合物含量涂料产品技术要求》（GB/T38597-2020）规定的粉末、水性、无溶剂、辐射固化涂料产品；符合《清洗剂挥发性有机化合物含量限值》（GB38508-2020）规定的水基、半水基清洗剂产品；符合《胶粘剂挥发性有机化合物限量》（GB33372-2020）规定的水基型、本体型胶粘剂产品。若确实无法达到上述要求，应提供相应的论证说明。</w:t>
                  </w:r>
                </w:p>
              </w:tc>
              <w:tc>
                <w:tcPr>
                  <w:tcW w:w="1893" w:type="dxa"/>
                  <w:tcBorders>
                    <w:tl2br w:val="nil"/>
                    <w:tr2bl w:val="nil"/>
                  </w:tcBorders>
                  <w:vAlign w:val="center"/>
                </w:tcPr>
                <w:p w14:paraId="5B4332C4">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本项目</w:t>
                  </w:r>
                  <w:r>
                    <w:rPr>
                      <w:rFonts w:hint="eastAsia"/>
                      <w:color w:val="auto"/>
                      <w:highlight w:val="none"/>
                    </w:rPr>
                    <w:t>属于C1522瓶（罐）装饮用水制造</w:t>
                  </w:r>
                  <w:r>
                    <w:rPr>
                      <w:rFonts w:hint="eastAsia"/>
                      <w:color w:val="auto"/>
                      <w:highlight w:val="none"/>
                      <w:lang w:val="en-US" w:eastAsia="zh-CN"/>
                    </w:rPr>
                    <w:t>业</w:t>
                  </w:r>
                  <w:r>
                    <w:rPr>
                      <w:rFonts w:hint="eastAsia"/>
                      <w:color w:val="auto"/>
                      <w:highlight w:val="none"/>
                    </w:rPr>
                    <w:t>，</w:t>
                  </w:r>
                  <w:r>
                    <w:rPr>
                      <w:rFonts w:hint="eastAsia"/>
                      <w:color w:val="auto"/>
                      <w:highlight w:val="none"/>
                      <w:lang w:val="en-US"/>
                    </w:rPr>
                    <w:t>生产中</w:t>
                  </w:r>
                  <w:r>
                    <w:rPr>
                      <w:rFonts w:hint="default"/>
                      <w:color w:val="auto"/>
                      <w:highlight w:val="none"/>
                    </w:rPr>
                    <w:t>不涉及涂料、胶粘剂</w:t>
                  </w:r>
                  <w:r>
                    <w:rPr>
                      <w:rFonts w:hint="eastAsia"/>
                      <w:color w:val="auto"/>
                      <w:highlight w:val="none"/>
                      <w:lang w:eastAsia="zh-CN"/>
                    </w:rPr>
                    <w:t>，</w:t>
                  </w:r>
                  <w:r>
                    <w:rPr>
                      <w:rFonts w:hint="eastAsia"/>
                      <w:color w:val="auto"/>
                      <w:highlight w:val="none"/>
                      <w:lang w:val="en-US" w:eastAsia="zh-CN"/>
                    </w:rPr>
                    <w:t>使用低VOCs含量油墨，使用的清洗剂中不含VOCs。</w:t>
                  </w:r>
                </w:p>
              </w:tc>
              <w:tc>
                <w:tcPr>
                  <w:tcW w:w="459" w:type="dxa"/>
                  <w:tcBorders>
                    <w:tl2br w:val="nil"/>
                    <w:tr2bl w:val="nil"/>
                  </w:tcBorders>
                  <w:vAlign w:val="center"/>
                </w:tcPr>
                <w:p w14:paraId="3BFF6331">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符合</w:t>
                  </w:r>
                </w:p>
              </w:tc>
            </w:tr>
            <w:tr w14:paraId="13A9F8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000" w:type="dxa"/>
                  <w:tcBorders>
                    <w:tl2br w:val="nil"/>
                    <w:tr2bl w:val="nil"/>
                  </w:tcBorders>
                  <w:vAlign w:val="center"/>
                </w:tcPr>
                <w:p w14:paraId="763A434A">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《重点管控新污染物清单》（2023年版）</w:t>
                  </w:r>
                </w:p>
              </w:tc>
              <w:tc>
                <w:tcPr>
                  <w:tcW w:w="3308" w:type="dxa"/>
                  <w:tcBorders>
                    <w:tl2br w:val="nil"/>
                    <w:tr2bl w:val="nil"/>
                  </w:tcBorders>
                  <w:vAlign w:val="center"/>
                </w:tcPr>
                <w:p w14:paraId="34346339">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清单中包括以下新污染物：1.全氟辛基磺酸及其盐类和全氟辛基磺酰氟（PFOS类）</w:t>
                  </w:r>
                  <w:r>
                    <w:rPr>
                      <w:rFonts w:hint="eastAsia"/>
                      <w:color w:val="auto"/>
                      <w:highlight w:val="none"/>
                    </w:rPr>
                    <w:t>；</w:t>
                  </w:r>
                  <w:r>
                    <w:rPr>
                      <w:rFonts w:hint="default"/>
                      <w:color w:val="auto"/>
                      <w:highlight w:val="none"/>
                    </w:rPr>
                    <w:t>2.全氟辛酸及其盐类和相关化合物（PFOA类）</w:t>
                  </w:r>
                  <w:r>
                    <w:rPr>
                      <w:rFonts w:hint="eastAsia"/>
                      <w:color w:val="auto"/>
                      <w:highlight w:val="none"/>
                    </w:rPr>
                    <w:t>；</w:t>
                  </w:r>
                  <w:r>
                    <w:rPr>
                      <w:rFonts w:hint="default"/>
                      <w:color w:val="auto"/>
                      <w:highlight w:val="none"/>
                    </w:rPr>
                    <w:t>3.十溴二苯醚</w:t>
                  </w:r>
                  <w:r>
                    <w:rPr>
                      <w:rFonts w:hint="eastAsia"/>
                      <w:color w:val="auto"/>
                      <w:highlight w:val="none"/>
                    </w:rPr>
                    <w:t>；</w:t>
                  </w:r>
                  <w:r>
                    <w:rPr>
                      <w:rFonts w:hint="default"/>
                      <w:color w:val="auto"/>
                      <w:highlight w:val="none"/>
                    </w:rPr>
                    <w:t>4.短链氯化石蜡</w:t>
                  </w:r>
                  <w:r>
                    <w:rPr>
                      <w:rFonts w:hint="eastAsia"/>
                      <w:color w:val="auto"/>
                      <w:highlight w:val="none"/>
                    </w:rPr>
                    <w:t>；</w:t>
                  </w:r>
                  <w:r>
                    <w:rPr>
                      <w:rFonts w:hint="default"/>
                      <w:color w:val="auto"/>
                      <w:highlight w:val="none"/>
                    </w:rPr>
                    <w:t>5.六氯丁二烯</w:t>
                  </w:r>
                  <w:r>
                    <w:rPr>
                      <w:rFonts w:hint="eastAsia"/>
                      <w:color w:val="auto"/>
                      <w:highlight w:val="none"/>
                    </w:rPr>
                    <w:t>；</w:t>
                  </w:r>
                  <w:r>
                    <w:rPr>
                      <w:rFonts w:hint="default"/>
                      <w:color w:val="auto"/>
                      <w:highlight w:val="none"/>
                    </w:rPr>
                    <w:t>6.五氯苯酚及其盐类和酯类</w:t>
                  </w:r>
                  <w:r>
                    <w:rPr>
                      <w:rFonts w:hint="eastAsia"/>
                      <w:color w:val="auto"/>
                      <w:highlight w:val="none"/>
                    </w:rPr>
                    <w:t>；</w:t>
                  </w:r>
                  <w:r>
                    <w:rPr>
                      <w:rFonts w:hint="default"/>
                      <w:color w:val="auto"/>
                      <w:highlight w:val="none"/>
                    </w:rPr>
                    <w:t>7.三氯杀螨醇</w:t>
                  </w:r>
                  <w:r>
                    <w:rPr>
                      <w:rFonts w:hint="eastAsia"/>
                      <w:color w:val="auto"/>
                      <w:highlight w:val="none"/>
                    </w:rPr>
                    <w:t>；</w:t>
                  </w:r>
                  <w:r>
                    <w:rPr>
                      <w:rFonts w:hint="default"/>
                      <w:color w:val="auto"/>
                      <w:highlight w:val="none"/>
                    </w:rPr>
                    <w:t>8.全氟己基磺酸及其盐类和其相关化合物（PFHxS类）</w:t>
                  </w:r>
                  <w:r>
                    <w:rPr>
                      <w:rFonts w:hint="eastAsia"/>
                      <w:color w:val="auto"/>
                      <w:highlight w:val="none"/>
                    </w:rPr>
                    <w:t>；</w:t>
                  </w:r>
                  <w:r>
                    <w:rPr>
                      <w:rFonts w:hint="default"/>
                      <w:color w:val="auto"/>
                      <w:highlight w:val="none"/>
                    </w:rPr>
                    <w:t>9.得克隆及其顺式异构体和反式异构体</w:t>
                  </w:r>
                  <w:r>
                    <w:rPr>
                      <w:rFonts w:hint="eastAsia"/>
                      <w:color w:val="auto"/>
                      <w:highlight w:val="none"/>
                    </w:rPr>
                    <w:t>；</w:t>
                  </w:r>
                  <w:r>
                    <w:rPr>
                      <w:rFonts w:hint="default"/>
                      <w:color w:val="auto"/>
                      <w:highlight w:val="none"/>
                    </w:rPr>
                    <w:t>10.二氯甲烷</w:t>
                  </w:r>
                  <w:r>
                    <w:rPr>
                      <w:rFonts w:hint="eastAsia"/>
                      <w:color w:val="auto"/>
                      <w:highlight w:val="none"/>
                    </w:rPr>
                    <w:t>；</w:t>
                  </w:r>
                  <w:r>
                    <w:rPr>
                      <w:rFonts w:hint="default"/>
                      <w:color w:val="auto"/>
                      <w:highlight w:val="none"/>
                    </w:rPr>
                    <w:t>11.三氯甲烷</w:t>
                  </w:r>
                  <w:r>
                    <w:rPr>
                      <w:rFonts w:hint="eastAsia"/>
                      <w:color w:val="auto"/>
                      <w:highlight w:val="none"/>
                    </w:rPr>
                    <w:t>；</w:t>
                  </w:r>
                  <w:r>
                    <w:rPr>
                      <w:rFonts w:hint="default"/>
                      <w:color w:val="auto"/>
                      <w:highlight w:val="none"/>
                    </w:rPr>
                    <w:t>12.壬基酚</w:t>
                  </w:r>
                  <w:r>
                    <w:rPr>
                      <w:rFonts w:hint="eastAsia"/>
                      <w:color w:val="auto"/>
                      <w:highlight w:val="none"/>
                    </w:rPr>
                    <w:t>；</w:t>
                  </w:r>
                  <w:r>
                    <w:rPr>
                      <w:rFonts w:hint="default"/>
                      <w:color w:val="auto"/>
                      <w:highlight w:val="none"/>
                    </w:rPr>
                    <w:t>13.抗生素</w:t>
                  </w:r>
                  <w:r>
                    <w:rPr>
                      <w:rFonts w:hint="eastAsia"/>
                      <w:color w:val="auto"/>
                      <w:highlight w:val="none"/>
                    </w:rPr>
                    <w:t>；</w:t>
                  </w:r>
                  <w:r>
                    <w:rPr>
                      <w:rFonts w:hint="default"/>
                      <w:color w:val="auto"/>
                      <w:highlight w:val="none"/>
                    </w:rPr>
                    <w:t>14.已淘汰类（包括六溴环十二烷、氯丹、灭蚁灵、六氯苯、滴滴涕、α-六氯环己烷、β-六氯环己烷、林丹、硫丹原药及其相关异构体、多氯联苯共10种已淘汰类新污染物）。</w:t>
                  </w:r>
                </w:p>
              </w:tc>
              <w:tc>
                <w:tcPr>
                  <w:tcW w:w="1893" w:type="dxa"/>
                  <w:tcBorders>
                    <w:tl2br w:val="nil"/>
                    <w:tr2bl w:val="nil"/>
                  </w:tcBorders>
                  <w:vAlign w:val="center"/>
                </w:tcPr>
                <w:p w14:paraId="58CF4691">
                  <w:pPr>
                    <w:pStyle w:val="21"/>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val="en-US"/>
                    </w:rPr>
                    <w:t>本</w:t>
                  </w:r>
                  <w:r>
                    <w:rPr>
                      <w:rFonts w:hint="eastAsia"/>
                      <w:color w:val="auto"/>
                      <w:highlight w:val="none"/>
                    </w:rPr>
                    <w:t>项目</w:t>
                  </w:r>
                  <w:r>
                    <w:rPr>
                      <w:rFonts w:hint="default"/>
                      <w:color w:val="auto"/>
                      <w:highlight w:val="none"/>
                    </w:rPr>
                    <w:t>不涉及清单内相关污染物</w:t>
                  </w:r>
                </w:p>
              </w:tc>
              <w:tc>
                <w:tcPr>
                  <w:tcW w:w="459" w:type="dxa"/>
                  <w:tcBorders>
                    <w:tl2br w:val="nil"/>
                    <w:tr2bl w:val="nil"/>
                  </w:tcBorders>
                  <w:vAlign w:val="center"/>
                </w:tcPr>
                <w:p w14:paraId="22D2FFBF">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符合</w:t>
                  </w:r>
                </w:p>
              </w:tc>
            </w:tr>
          </w:tbl>
          <w:p w14:paraId="5A050FCB">
            <w:pPr>
              <w:keepNext w:val="0"/>
              <w:keepLines w:val="0"/>
              <w:suppressLineNumbers w:val="0"/>
              <w:spacing w:before="0" w:beforeAutospacing="0" w:after="0" w:afterAutospacing="0"/>
              <w:ind w:left="0" w:right="0" w:firstLine="480"/>
              <w:rPr>
                <w:rFonts w:hint="eastAsia"/>
                <w:color w:val="auto"/>
                <w:highlight w:val="none"/>
                <w:lang w:val="en-US"/>
              </w:rPr>
            </w:pPr>
            <w:r>
              <w:rPr>
                <w:rFonts w:hint="eastAsia"/>
                <w:color w:val="auto"/>
                <w:highlight w:val="none"/>
                <w:lang w:val="en-US"/>
              </w:rPr>
              <w:t>本项目与</w:t>
            </w:r>
            <w:r>
              <w:rPr>
                <w:rFonts w:hint="default"/>
                <w:color w:val="auto"/>
                <w:highlight w:val="none"/>
                <w:lang w:val="en-US"/>
              </w:rPr>
              <w:t>《关于进一步加强涉VOCS建设项目环评文件审批有关要求的通知》（宁环办〔2021〕28号）</w:t>
            </w:r>
            <w:r>
              <w:rPr>
                <w:rFonts w:hint="eastAsia"/>
                <w:color w:val="auto"/>
                <w:highlight w:val="none"/>
                <w:lang w:val="en-US"/>
              </w:rPr>
              <w:t>相符性分析见下表：</w:t>
            </w:r>
          </w:p>
          <w:p w14:paraId="2707D0AE">
            <w:pPr>
              <w:pStyle w:val="23"/>
              <w:keepNext w:val="0"/>
              <w:keepLines w:val="0"/>
              <w:suppressLineNumbers w:val="0"/>
              <w:spacing w:before="0" w:beforeAutospacing="0" w:after="0" w:afterAutospacing="0"/>
              <w:ind w:left="0" w:right="0"/>
              <w:rPr>
                <w:rFonts w:hint="default"/>
                <w:color w:val="auto"/>
                <w:highlight w:val="none"/>
              </w:rPr>
            </w:pPr>
            <w:r>
              <w:rPr>
                <w:color w:val="auto"/>
                <w:highlight w:val="none"/>
              </w:rPr>
              <w:t>表1-</w:t>
            </w:r>
            <w:r>
              <w:rPr>
                <w:rFonts w:hint="eastAsia"/>
                <w:color w:val="auto"/>
                <w:highlight w:val="none"/>
                <w:lang w:val="en-US" w:eastAsia="zh-CN"/>
              </w:rPr>
              <w:t>8</w:t>
            </w:r>
            <w:r>
              <w:rPr>
                <w:color w:val="auto"/>
                <w:highlight w:val="none"/>
              </w:rPr>
              <w:t>本项目与（宁环办〔2021〕28号）相符性分析表</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27"/>
              <w:gridCol w:w="3703"/>
              <w:gridCol w:w="1760"/>
              <w:gridCol w:w="470"/>
            </w:tblGrid>
            <w:tr w14:paraId="18832E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27" w:type="dxa"/>
                  <w:tcBorders>
                    <w:tl2br w:val="nil"/>
                    <w:tr2bl w:val="nil"/>
                  </w:tcBorders>
                  <w:vAlign w:val="center"/>
                </w:tcPr>
                <w:p w14:paraId="71DD57E2">
                  <w:pPr>
                    <w:pStyle w:val="21"/>
                    <w:keepNext w:val="0"/>
                    <w:keepLines w:val="0"/>
                    <w:suppressLineNumbers w:val="0"/>
                    <w:spacing w:before="0" w:beforeAutospacing="0" w:after="0" w:afterAutospacing="0"/>
                    <w:ind w:left="0" w:right="0"/>
                    <w:rPr>
                      <w:rFonts w:hint="default"/>
                      <w:b/>
                      <w:bCs/>
                      <w:color w:val="auto"/>
                      <w:highlight w:val="none"/>
                    </w:rPr>
                  </w:pPr>
                  <w:r>
                    <w:rPr>
                      <w:rFonts w:hint="default"/>
                      <w:b/>
                      <w:bCs/>
                      <w:color w:val="auto"/>
                      <w:highlight w:val="none"/>
                    </w:rPr>
                    <w:t>项目</w:t>
                  </w:r>
                </w:p>
              </w:tc>
              <w:tc>
                <w:tcPr>
                  <w:tcW w:w="3703" w:type="dxa"/>
                  <w:tcBorders>
                    <w:tl2br w:val="nil"/>
                    <w:tr2bl w:val="nil"/>
                  </w:tcBorders>
                  <w:vAlign w:val="center"/>
                </w:tcPr>
                <w:p w14:paraId="53816D8A">
                  <w:pPr>
                    <w:pStyle w:val="21"/>
                    <w:keepNext w:val="0"/>
                    <w:keepLines w:val="0"/>
                    <w:suppressLineNumbers w:val="0"/>
                    <w:spacing w:before="0" w:beforeAutospacing="0" w:after="0" w:afterAutospacing="0"/>
                    <w:ind w:left="0" w:right="0"/>
                    <w:rPr>
                      <w:rFonts w:hint="default"/>
                      <w:b/>
                      <w:bCs/>
                      <w:color w:val="auto"/>
                      <w:highlight w:val="none"/>
                    </w:rPr>
                  </w:pPr>
                  <w:r>
                    <w:rPr>
                      <w:rFonts w:hint="default"/>
                      <w:b/>
                      <w:bCs/>
                      <w:color w:val="auto"/>
                      <w:highlight w:val="none"/>
                    </w:rPr>
                    <w:t>宁环办〔2021〕28号文要求</w:t>
                  </w:r>
                </w:p>
              </w:tc>
              <w:tc>
                <w:tcPr>
                  <w:tcW w:w="1760" w:type="dxa"/>
                  <w:tcBorders>
                    <w:tl2br w:val="nil"/>
                    <w:tr2bl w:val="nil"/>
                  </w:tcBorders>
                  <w:vAlign w:val="center"/>
                </w:tcPr>
                <w:p w14:paraId="27542B77">
                  <w:pPr>
                    <w:pStyle w:val="21"/>
                    <w:keepNext w:val="0"/>
                    <w:keepLines w:val="0"/>
                    <w:suppressLineNumbers w:val="0"/>
                    <w:spacing w:before="0" w:beforeAutospacing="0" w:after="0" w:afterAutospacing="0"/>
                    <w:ind w:left="0" w:right="0"/>
                    <w:rPr>
                      <w:rFonts w:hint="default"/>
                      <w:b/>
                      <w:bCs/>
                      <w:color w:val="auto"/>
                      <w:highlight w:val="none"/>
                    </w:rPr>
                  </w:pPr>
                  <w:r>
                    <w:rPr>
                      <w:rFonts w:hint="default"/>
                      <w:b/>
                      <w:bCs/>
                      <w:color w:val="auto"/>
                      <w:highlight w:val="none"/>
                    </w:rPr>
                    <w:t>相符性论证</w:t>
                  </w:r>
                </w:p>
              </w:tc>
              <w:tc>
                <w:tcPr>
                  <w:tcW w:w="470" w:type="dxa"/>
                  <w:tcBorders>
                    <w:tl2br w:val="nil"/>
                    <w:tr2bl w:val="nil"/>
                  </w:tcBorders>
                  <w:vAlign w:val="center"/>
                </w:tcPr>
                <w:p w14:paraId="63143005">
                  <w:pPr>
                    <w:pStyle w:val="21"/>
                    <w:keepNext w:val="0"/>
                    <w:keepLines w:val="0"/>
                    <w:suppressLineNumbers w:val="0"/>
                    <w:spacing w:before="0" w:beforeAutospacing="0" w:after="0" w:afterAutospacing="0"/>
                    <w:ind w:left="0" w:right="0"/>
                    <w:rPr>
                      <w:rFonts w:hint="default"/>
                      <w:b/>
                      <w:bCs/>
                      <w:color w:val="auto"/>
                      <w:highlight w:val="none"/>
                    </w:rPr>
                  </w:pPr>
                  <w:r>
                    <w:rPr>
                      <w:rFonts w:hint="default"/>
                      <w:b/>
                      <w:bCs/>
                      <w:color w:val="auto"/>
                      <w:highlight w:val="none"/>
                    </w:rPr>
                    <w:t>相符性</w:t>
                  </w:r>
                </w:p>
              </w:tc>
            </w:tr>
            <w:tr w14:paraId="28DD30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660" w:type="dxa"/>
                  <w:gridSpan w:val="4"/>
                  <w:tcBorders>
                    <w:tl2br w:val="nil"/>
                    <w:tr2bl w:val="nil"/>
                  </w:tcBorders>
                  <w:vAlign w:val="center"/>
                </w:tcPr>
                <w:p w14:paraId="7B8B44D9">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一、严格排放标准和排放总量审查</w:t>
                  </w:r>
                </w:p>
              </w:tc>
            </w:tr>
            <w:tr w14:paraId="0F0DF0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27" w:type="dxa"/>
                  <w:tcBorders>
                    <w:tl2br w:val="nil"/>
                    <w:tr2bl w:val="nil"/>
                  </w:tcBorders>
                  <w:vAlign w:val="center"/>
                </w:tcPr>
                <w:p w14:paraId="489FEE80">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（一）严格标准审查</w:t>
                  </w:r>
                </w:p>
              </w:tc>
              <w:tc>
                <w:tcPr>
                  <w:tcW w:w="3703" w:type="dxa"/>
                  <w:tcBorders>
                    <w:tl2br w:val="nil"/>
                    <w:tr2bl w:val="nil"/>
                  </w:tcBorders>
                  <w:vAlign w:val="center"/>
                </w:tcPr>
                <w:p w14:paraId="3A8D860F">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环评审批部门按照审批权限，严格加强排放标准审查。有行业标准的，严格执行行业标准要求，无行业标准的，应执行国家、江苏省相关排放标准；VOCs无组织排放执行《挥发性有机物无组织排放控制标准》（GB37822-2019），并执行厂区内VOCs特别排放限值。</w:t>
                  </w:r>
                </w:p>
              </w:tc>
              <w:tc>
                <w:tcPr>
                  <w:tcW w:w="1760" w:type="dxa"/>
                  <w:tcBorders>
                    <w:tl2br w:val="nil"/>
                    <w:tr2bl w:val="nil"/>
                  </w:tcBorders>
                  <w:vAlign w:val="center"/>
                </w:tcPr>
                <w:p w14:paraId="625CB3F4">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本项目运营期</w:t>
                  </w:r>
                  <w:r>
                    <w:rPr>
                      <w:rFonts w:hint="eastAsia"/>
                      <w:color w:val="auto"/>
                      <w:highlight w:val="none"/>
                      <w:lang w:val="en-US" w:eastAsia="zh-CN"/>
                    </w:rPr>
                    <w:t>有组织排放废气</w:t>
                  </w:r>
                  <w:r>
                    <w:rPr>
                      <w:rFonts w:hint="default"/>
                      <w:color w:val="auto"/>
                      <w:highlight w:val="none"/>
                    </w:rPr>
                    <w:t>执行《</w:t>
                  </w:r>
                  <w:r>
                    <w:rPr>
                      <w:rFonts w:hint="eastAsia"/>
                      <w:color w:val="auto"/>
                      <w:highlight w:val="none"/>
                      <w:lang w:val="en-US" w:eastAsia="zh-CN"/>
                    </w:rPr>
                    <w:t>合成树脂工业</w:t>
                  </w:r>
                  <w:r>
                    <w:rPr>
                      <w:rFonts w:hint="default"/>
                      <w:color w:val="auto"/>
                      <w:highlight w:val="none"/>
                    </w:rPr>
                    <w:t>污染物排放标准》（</w:t>
                  </w:r>
                  <w:r>
                    <w:rPr>
                      <w:rFonts w:hint="eastAsia"/>
                      <w:color w:val="auto"/>
                      <w:highlight w:val="none"/>
                      <w:lang w:val="en-US" w:eastAsia="zh-CN"/>
                    </w:rPr>
                    <w:t>GB31572-2015</w:t>
                  </w:r>
                  <w:r>
                    <w:rPr>
                      <w:rFonts w:hint="default"/>
                      <w:color w:val="auto"/>
                      <w:highlight w:val="none"/>
                    </w:rPr>
                    <w:t>）</w:t>
                  </w:r>
                  <w:r>
                    <w:rPr>
                      <w:rFonts w:hint="eastAsia"/>
                      <w:color w:val="auto"/>
                      <w:highlight w:val="none"/>
                      <w:lang w:val="en-US" w:eastAsia="zh-CN"/>
                    </w:rPr>
                    <w:t>标准</w:t>
                  </w:r>
                  <w:r>
                    <w:rPr>
                      <w:rFonts w:hint="eastAsia"/>
                      <w:color w:val="auto"/>
                      <w:highlight w:val="none"/>
                    </w:rPr>
                    <w:t>。</w:t>
                  </w:r>
                </w:p>
              </w:tc>
              <w:tc>
                <w:tcPr>
                  <w:tcW w:w="470" w:type="dxa"/>
                  <w:tcBorders>
                    <w:tl2br w:val="nil"/>
                    <w:tr2bl w:val="nil"/>
                  </w:tcBorders>
                  <w:vAlign w:val="center"/>
                </w:tcPr>
                <w:p w14:paraId="197094EC">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相符</w:t>
                  </w:r>
                </w:p>
              </w:tc>
            </w:tr>
            <w:tr w14:paraId="664016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27" w:type="dxa"/>
                  <w:tcBorders>
                    <w:tl2br w:val="nil"/>
                    <w:tr2bl w:val="nil"/>
                  </w:tcBorders>
                  <w:vAlign w:val="center"/>
                </w:tcPr>
                <w:p w14:paraId="24C41BBC">
                  <w:pPr>
                    <w:pStyle w:val="21"/>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eastAsia="zh-CN"/>
                    </w:rPr>
                    <w:t>（</w:t>
                  </w:r>
                  <w:r>
                    <w:rPr>
                      <w:rFonts w:hint="eastAsia"/>
                      <w:color w:val="auto"/>
                      <w:highlight w:val="none"/>
                      <w:lang w:val="en-US" w:eastAsia="zh-CN"/>
                    </w:rPr>
                    <w:t>二</w:t>
                  </w:r>
                  <w:r>
                    <w:rPr>
                      <w:rFonts w:hint="eastAsia"/>
                      <w:color w:val="auto"/>
                      <w:highlight w:val="none"/>
                      <w:lang w:eastAsia="zh-CN"/>
                    </w:rPr>
                    <w:t>）</w:t>
                  </w:r>
                  <w:r>
                    <w:rPr>
                      <w:rFonts w:hint="default"/>
                      <w:color w:val="auto"/>
                      <w:highlight w:val="none"/>
                    </w:rPr>
                    <w:t>严格总量审查</w:t>
                  </w:r>
                </w:p>
              </w:tc>
              <w:tc>
                <w:tcPr>
                  <w:tcW w:w="3703" w:type="dxa"/>
                  <w:tcBorders>
                    <w:tl2br w:val="nil"/>
                    <w:tr2bl w:val="nil"/>
                  </w:tcBorders>
                  <w:vAlign w:val="center"/>
                </w:tcPr>
                <w:p w14:paraId="1268BAEA">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市生态环境局、各派出局总量管理部门严格排放总量审查（含各行政审批局负责审批的建设项目）。VOCs排放量优先采用国家大气源清单统计数据。涉新增VOCs排放（含有组织、无组织排放）的建设项目，在环评文件审批前应取得排放总量指标，并实施2倍削减替代。对未完成VOCs总量减排任务的区（园区），暂缓其涉新增VOCs排放的建设项目审批。具体按照我市相关总量管理要求执行。</w:t>
                  </w:r>
                </w:p>
              </w:tc>
              <w:tc>
                <w:tcPr>
                  <w:tcW w:w="1760" w:type="dxa"/>
                  <w:tcBorders>
                    <w:tl2br w:val="nil"/>
                    <w:tr2bl w:val="nil"/>
                  </w:tcBorders>
                  <w:vAlign w:val="center"/>
                </w:tcPr>
                <w:p w14:paraId="56D75EA6">
                  <w:pPr>
                    <w:pStyle w:val="21"/>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val="en-US" w:eastAsia="zh-CN"/>
                    </w:rPr>
                    <w:t>本项目已取得南京市江宁生态环境局平衡的建设项目排放污染物总量指标（本项目新增废水排放总量在江宁区水减排项目中平衡；本项目新增废气排放总量由江宁区大气减排项目平衡）</w:t>
                  </w:r>
                  <w:r>
                    <w:rPr>
                      <w:rFonts w:hint="default"/>
                      <w:color w:val="auto"/>
                      <w:sz w:val="18"/>
                      <w:szCs w:val="18"/>
                      <w:highlight w:val="none"/>
                    </w:rPr>
                    <w:t>。</w:t>
                  </w:r>
                </w:p>
              </w:tc>
              <w:tc>
                <w:tcPr>
                  <w:tcW w:w="470" w:type="dxa"/>
                  <w:tcBorders>
                    <w:tl2br w:val="nil"/>
                    <w:tr2bl w:val="nil"/>
                  </w:tcBorders>
                  <w:vAlign w:val="center"/>
                </w:tcPr>
                <w:p w14:paraId="1F56F6A0">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相符</w:t>
                  </w:r>
                </w:p>
              </w:tc>
            </w:tr>
            <w:tr w14:paraId="29E981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660" w:type="dxa"/>
                  <w:gridSpan w:val="4"/>
                  <w:tcBorders>
                    <w:tl2br w:val="nil"/>
                    <w:tr2bl w:val="nil"/>
                  </w:tcBorders>
                  <w:vAlign w:val="center"/>
                </w:tcPr>
                <w:p w14:paraId="43A4F220">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二、严格VOCs污染防治内容审查</w:t>
                  </w:r>
                </w:p>
              </w:tc>
            </w:tr>
            <w:tr w14:paraId="421412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27" w:type="dxa"/>
                  <w:tcBorders>
                    <w:tl2br w:val="nil"/>
                    <w:tr2bl w:val="nil"/>
                  </w:tcBorders>
                  <w:vAlign w:val="center"/>
                </w:tcPr>
                <w:p w14:paraId="7E0C929A">
                  <w:pPr>
                    <w:pStyle w:val="21"/>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eastAsia="zh-CN"/>
                    </w:rPr>
                    <w:t>（</w:t>
                  </w:r>
                  <w:r>
                    <w:rPr>
                      <w:rFonts w:hint="eastAsia"/>
                      <w:color w:val="auto"/>
                      <w:highlight w:val="none"/>
                      <w:lang w:val="en-US" w:eastAsia="zh-CN"/>
                    </w:rPr>
                    <w:t>一</w:t>
                  </w:r>
                  <w:r>
                    <w:rPr>
                      <w:rFonts w:hint="eastAsia"/>
                      <w:color w:val="auto"/>
                      <w:highlight w:val="none"/>
                      <w:lang w:eastAsia="zh-CN"/>
                    </w:rPr>
                    <w:t>）</w:t>
                  </w:r>
                  <w:r>
                    <w:rPr>
                      <w:rFonts w:hint="default"/>
                      <w:color w:val="auto"/>
                      <w:highlight w:val="none"/>
                    </w:rPr>
                    <w:t>全面加强源头替代审查</w:t>
                  </w:r>
                </w:p>
              </w:tc>
              <w:tc>
                <w:tcPr>
                  <w:tcW w:w="3703" w:type="dxa"/>
                  <w:tcBorders>
                    <w:tl2br w:val="nil"/>
                    <w:tr2bl w:val="nil"/>
                  </w:tcBorders>
                  <w:vAlign w:val="center"/>
                </w:tcPr>
                <w:p w14:paraId="43610B31">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环评文件应对主要原辅料的理化性质、特性等进行详细分析，明确涉VOCs的主要原辅材料的类型、组分、含量等。使用涂料、油墨、胶粘剂、清洗剂等材料的，VOCs含量应满足国家及省VOCs含量限值要求（附表），优先使用水性、粉末、高固体分、无溶剂、辐射固化等低VOCs含量、低反应活性材料，源头控制VOCs产生。禁止审批生产和使用高VOCs含量的涂料、油墨、胶粘剂、清洗剂等建设项目。</w:t>
                  </w:r>
                </w:p>
              </w:tc>
              <w:tc>
                <w:tcPr>
                  <w:tcW w:w="1760" w:type="dxa"/>
                  <w:tcBorders>
                    <w:tl2br w:val="nil"/>
                    <w:tr2bl w:val="nil"/>
                  </w:tcBorders>
                  <w:vAlign w:val="center"/>
                </w:tcPr>
                <w:p w14:paraId="7CF72A58">
                  <w:pPr>
                    <w:pStyle w:val="21"/>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val="en-US" w:eastAsia="zh-CN"/>
                    </w:rPr>
                    <w:t>本次评价已在原辅料章节对主要原辅料的理化性质、特性等进行了详细分析，原辅料一览表中明确了涉VOCs的主要原辅材料的类型、组分及原辅料中涉VOCs组分的含量等，均符合VOC含量限值。</w:t>
                  </w:r>
                </w:p>
              </w:tc>
              <w:tc>
                <w:tcPr>
                  <w:tcW w:w="470" w:type="dxa"/>
                  <w:tcBorders>
                    <w:tl2br w:val="nil"/>
                    <w:tr2bl w:val="nil"/>
                  </w:tcBorders>
                  <w:vAlign w:val="center"/>
                </w:tcPr>
                <w:p w14:paraId="3120601D">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相符</w:t>
                  </w:r>
                </w:p>
              </w:tc>
            </w:tr>
            <w:tr w14:paraId="67E18F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27" w:type="dxa"/>
                  <w:vMerge w:val="restart"/>
                  <w:tcBorders>
                    <w:tl2br w:val="nil"/>
                    <w:tr2bl w:val="nil"/>
                  </w:tcBorders>
                  <w:vAlign w:val="center"/>
                </w:tcPr>
                <w:p w14:paraId="1728BD84">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（二）全面加强无组织排放控制审查</w:t>
                  </w:r>
                </w:p>
              </w:tc>
              <w:tc>
                <w:tcPr>
                  <w:tcW w:w="3703" w:type="dxa"/>
                  <w:tcBorders>
                    <w:tl2br w:val="nil"/>
                    <w:tr2bl w:val="nil"/>
                  </w:tcBorders>
                  <w:vAlign w:val="center"/>
                </w:tcPr>
                <w:p w14:paraId="10FB2961">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涉VOCs无组织排放的建设项目，环评文件应严格按照《挥发性有机物无组织排放标准》等有关要求，重点加强对含VOCs物料储存、转移和输送、设备与管线组件泄漏、敞开液面逸散以及工艺过程等5类排放源的VOCs管控评价，详细描述采取的VOCs废气无组织控制措施，充分论证其可行性和可靠性，不得采用密闭收集、密闭储存等简单、笼统性文字进行描述。</w:t>
                  </w:r>
                </w:p>
              </w:tc>
              <w:tc>
                <w:tcPr>
                  <w:tcW w:w="1760" w:type="dxa"/>
                  <w:vMerge w:val="restart"/>
                  <w:tcBorders>
                    <w:tl2br w:val="nil"/>
                    <w:tr2bl w:val="nil"/>
                  </w:tcBorders>
                  <w:vAlign w:val="center"/>
                </w:tcPr>
                <w:p w14:paraId="0E6F191A">
                  <w:pPr>
                    <w:pStyle w:val="21"/>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val="en-US" w:eastAsia="zh-CN"/>
                    </w:rPr>
                    <w:t>本项目使用的油墨属于低VOCs含量油墨，使用的清洗剂不含VOCs成分，涉VOC物料均采用密闭包装桶运输、储存，从源头控制</w:t>
                  </w:r>
                  <w:r>
                    <w:rPr>
                      <w:rFonts w:hint="default"/>
                      <w:color w:val="auto"/>
                      <w:highlight w:val="none"/>
                    </w:rPr>
                    <w:t>VOCs的产生。</w:t>
                  </w:r>
                  <w:r>
                    <w:rPr>
                      <w:rFonts w:hint="eastAsia"/>
                      <w:color w:val="auto"/>
                      <w:highlight w:val="none"/>
                      <w:lang w:val="en-US" w:eastAsia="zh-CN"/>
                    </w:rPr>
                    <w:t>制瓶过程产生的废气集气罩收集后经二级活性炭吸附处理，通过15米高排气筒排放</w:t>
                  </w:r>
                  <w:r>
                    <w:rPr>
                      <w:rFonts w:hint="default"/>
                      <w:color w:val="auto"/>
                      <w:highlight w:val="none"/>
                    </w:rPr>
                    <w:t>。</w:t>
                  </w:r>
                </w:p>
              </w:tc>
              <w:tc>
                <w:tcPr>
                  <w:tcW w:w="470" w:type="dxa"/>
                  <w:tcBorders>
                    <w:tl2br w:val="nil"/>
                    <w:tr2bl w:val="nil"/>
                  </w:tcBorders>
                  <w:vAlign w:val="center"/>
                </w:tcPr>
                <w:p w14:paraId="5722AA06">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相符</w:t>
                  </w:r>
                </w:p>
              </w:tc>
            </w:tr>
            <w:tr w14:paraId="46EABC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27" w:type="dxa"/>
                  <w:vMerge w:val="continue"/>
                  <w:tcBorders>
                    <w:tl2br w:val="nil"/>
                    <w:tr2bl w:val="nil"/>
                  </w:tcBorders>
                  <w:vAlign w:val="center"/>
                </w:tcPr>
                <w:p w14:paraId="533CD4DB">
                  <w:pPr>
                    <w:pStyle w:val="21"/>
                    <w:keepNext w:val="0"/>
                    <w:keepLines w:val="0"/>
                    <w:suppressLineNumbers w:val="0"/>
                    <w:spacing w:before="0" w:beforeAutospacing="0" w:after="0" w:afterAutospacing="0"/>
                    <w:ind w:left="0" w:right="0"/>
                    <w:rPr>
                      <w:rFonts w:hint="default"/>
                      <w:color w:val="auto"/>
                      <w:highlight w:val="none"/>
                    </w:rPr>
                  </w:pPr>
                </w:p>
              </w:tc>
              <w:tc>
                <w:tcPr>
                  <w:tcW w:w="3703" w:type="dxa"/>
                  <w:tcBorders>
                    <w:tl2br w:val="nil"/>
                    <w:tr2bl w:val="nil"/>
                  </w:tcBorders>
                  <w:vAlign w:val="center"/>
                </w:tcPr>
                <w:p w14:paraId="5FBEB6AA">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生产流程中涉及VOCs的生产环节和服务活动，在符合安全要求前提下，应按要求在密闭空间或者设备中进行。无法密闭的，应采取措施有效减少废气排放，并科学设计废气收集系统。采用全密闭集气罩或密闭空间的，除行业有特殊要求外，应保持微负压状态，并根据规范合理设置通风量。采用局部集气罩的，距集气罩开口面最远处的VOCs无组织排放位置，控制风速应不低于0.3米/秒。VOCs废气应遵循“应收尽收、分质收集”原则，收集效率应原则上不低于90%，由于技术可行性等因素确实达不到的，应在环评文件中充分论述并确定收集效率要求。</w:t>
                  </w:r>
                </w:p>
              </w:tc>
              <w:tc>
                <w:tcPr>
                  <w:tcW w:w="1760" w:type="dxa"/>
                  <w:vMerge w:val="continue"/>
                  <w:tcBorders>
                    <w:tl2br w:val="nil"/>
                    <w:tr2bl w:val="nil"/>
                  </w:tcBorders>
                  <w:vAlign w:val="center"/>
                </w:tcPr>
                <w:p w14:paraId="3272812F">
                  <w:pPr>
                    <w:pStyle w:val="21"/>
                    <w:keepNext w:val="0"/>
                    <w:keepLines w:val="0"/>
                    <w:suppressLineNumbers w:val="0"/>
                    <w:spacing w:before="0" w:beforeAutospacing="0" w:after="0" w:afterAutospacing="0"/>
                    <w:ind w:left="0" w:right="0"/>
                    <w:rPr>
                      <w:rFonts w:hint="default"/>
                      <w:color w:val="auto"/>
                      <w:highlight w:val="none"/>
                    </w:rPr>
                  </w:pPr>
                </w:p>
              </w:tc>
              <w:tc>
                <w:tcPr>
                  <w:tcW w:w="470" w:type="dxa"/>
                  <w:tcBorders>
                    <w:tl2br w:val="nil"/>
                    <w:tr2bl w:val="nil"/>
                  </w:tcBorders>
                  <w:vAlign w:val="center"/>
                </w:tcPr>
                <w:p w14:paraId="6DD2B15A">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相符</w:t>
                  </w:r>
                </w:p>
              </w:tc>
            </w:tr>
            <w:tr w14:paraId="1F3F0D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27" w:type="dxa"/>
                  <w:vMerge w:val="restart"/>
                  <w:tcBorders>
                    <w:tl2br w:val="nil"/>
                    <w:tr2bl w:val="nil"/>
                  </w:tcBorders>
                  <w:vAlign w:val="center"/>
                </w:tcPr>
                <w:p w14:paraId="364525D7">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（三）全面加强末端治理水平审查</w:t>
                  </w:r>
                </w:p>
              </w:tc>
              <w:tc>
                <w:tcPr>
                  <w:tcW w:w="3703" w:type="dxa"/>
                  <w:tcBorders>
                    <w:tl2br w:val="nil"/>
                    <w:tr2bl w:val="nil"/>
                  </w:tcBorders>
                  <w:vAlign w:val="center"/>
                </w:tcPr>
                <w:p w14:paraId="15C9783C">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涉VOCs有组织排放的建设项目，环评文件应强化含VOCs废气的处理效果，有行业要求的按相关规定制定。项目应按规范和标准建设适宜、合理、高效的VOCs治理设施。单个排口VOCs（以非甲烷总烃计）初始排放速率大于1kg/h的，处理效率原则上不低于90%，由于技术可行性等因素确实达不到的，应在环评文件中充分论述并确定处理效率要求。</w:t>
                  </w:r>
                </w:p>
              </w:tc>
              <w:tc>
                <w:tcPr>
                  <w:tcW w:w="1760" w:type="dxa"/>
                  <w:vMerge w:val="restart"/>
                  <w:tcBorders>
                    <w:tl2br w:val="nil"/>
                    <w:tr2bl w:val="nil"/>
                  </w:tcBorders>
                  <w:vAlign w:val="center"/>
                </w:tcPr>
                <w:p w14:paraId="6D164214">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本项目单个排口VOCs排放速率较小，低于1kg/h；本项目有机废气处理采用的二级活性炭吸附装置处理</w:t>
                  </w:r>
                  <w:r>
                    <w:rPr>
                      <w:rFonts w:hint="eastAsia"/>
                      <w:color w:val="auto"/>
                      <w:highlight w:val="none"/>
                      <w:lang w:eastAsia="zh-CN"/>
                    </w:rPr>
                    <w:t>，</w:t>
                  </w:r>
                  <w:r>
                    <w:rPr>
                      <w:rFonts w:hint="eastAsia"/>
                      <w:color w:val="auto"/>
                      <w:highlight w:val="none"/>
                      <w:lang w:val="en-US" w:eastAsia="zh-CN"/>
                    </w:rPr>
                    <w:t>不属于</w:t>
                  </w:r>
                  <w:r>
                    <w:rPr>
                      <w:rFonts w:hint="default"/>
                      <w:color w:val="auto"/>
                      <w:highlight w:val="none"/>
                    </w:rPr>
                    <w:t>低效处理技术。</w:t>
                  </w:r>
                </w:p>
              </w:tc>
              <w:tc>
                <w:tcPr>
                  <w:tcW w:w="470" w:type="dxa"/>
                  <w:tcBorders>
                    <w:tl2br w:val="nil"/>
                    <w:tr2bl w:val="nil"/>
                  </w:tcBorders>
                  <w:vAlign w:val="center"/>
                </w:tcPr>
                <w:p w14:paraId="09F1E085">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相符</w:t>
                  </w:r>
                </w:p>
              </w:tc>
            </w:tr>
            <w:tr w14:paraId="714C77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27" w:type="dxa"/>
                  <w:vMerge w:val="continue"/>
                  <w:tcBorders>
                    <w:tl2br w:val="nil"/>
                    <w:tr2bl w:val="nil"/>
                  </w:tcBorders>
                  <w:vAlign w:val="center"/>
                </w:tcPr>
                <w:p w14:paraId="50F5063E">
                  <w:pPr>
                    <w:pStyle w:val="21"/>
                    <w:keepNext w:val="0"/>
                    <w:keepLines w:val="0"/>
                    <w:suppressLineNumbers w:val="0"/>
                    <w:spacing w:before="0" w:beforeAutospacing="0" w:after="0" w:afterAutospacing="0"/>
                    <w:ind w:left="0" w:right="0"/>
                    <w:rPr>
                      <w:rFonts w:hint="default"/>
                      <w:color w:val="auto"/>
                      <w:highlight w:val="none"/>
                    </w:rPr>
                  </w:pPr>
                </w:p>
              </w:tc>
              <w:tc>
                <w:tcPr>
                  <w:tcW w:w="3703" w:type="dxa"/>
                  <w:tcBorders>
                    <w:tl2br w:val="nil"/>
                    <w:tr2bl w:val="nil"/>
                  </w:tcBorders>
                  <w:vAlign w:val="center"/>
                </w:tcPr>
                <w:p w14:paraId="62FD5B34">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除恶臭异味治理外，不得采用低温等离子、光催化、光氧化、生物法等低效处理技术。</w:t>
                  </w:r>
                </w:p>
              </w:tc>
              <w:tc>
                <w:tcPr>
                  <w:tcW w:w="1760" w:type="dxa"/>
                  <w:vMerge w:val="continue"/>
                  <w:tcBorders>
                    <w:tl2br w:val="nil"/>
                    <w:tr2bl w:val="nil"/>
                  </w:tcBorders>
                  <w:vAlign w:val="center"/>
                </w:tcPr>
                <w:p w14:paraId="2CA0BC33">
                  <w:pPr>
                    <w:pStyle w:val="21"/>
                    <w:keepNext w:val="0"/>
                    <w:keepLines w:val="0"/>
                    <w:suppressLineNumbers w:val="0"/>
                    <w:spacing w:before="0" w:beforeAutospacing="0" w:after="0" w:afterAutospacing="0"/>
                    <w:ind w:left="0" w:right="0"/>
                    <w:rPr>
                      <w:rFonts w:hint="default"/>
                      <w:color w:val="auto"/>
                      <w:highlight w:val="none"/>
                    </w:rPr>
                  </w:pPr>
                </w:p>
              </w:tc>
              <w:tc>
                <w:tcPr>
                  <w:tcW w:w="470" w:type="dxa"/>
                  <w:tcBorders>
                    <w:tl2br w:val="nil"/>
                    <w:tr2bl w:val="nil"/>
                  </w:tcBorders>
                  <w:vAlign w:val="center"/>
                </w:tcPr>
                <w:p w14:paraId="2D60AFFE">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相符</w:t>
                  </w:r>
                </w:p>
              </w:tc>
            </w:tr>
            <w:tr w14:paraId="104D5C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27" w:type="dxa"/>
                  <w:vMerge w:val="continue"/>
                  <w:tcBorders>
                    <w:tl2br w:val="nil"/>
                    <w:tr2bl w:val="nil"/>
                  </w:tcBorders>
                  <w:vAlign w:val="center"/>
                </w:tcPr>
                <w:p w14:paraId="1D8B3D2B">
                  <w:pPr>
                    <w:pStyle w:val="21"/>
                    <w:keepNext w:val="0"/>
                    <w:keepLines w:val="0"/>
                    <w:suppressLineNumbers w:val="0"/>
                    <w:spacing w:before="0" w:beforeAutospacing="0" w:after="0" w:afterAutospacing="0"/>
                    <w:ind w:left="0" w:right="0"/>
                    <w:rPr>
                      <w:rFonts w:hint="default"/>
                      <w:color w:val="auto"/>
                      <w:highlight w:val="none"/>
                    </w:rPr>
                  </w:pPr>
                </w:p>
              </w:tc>
              <w:tc>
                <w:tcPr>
                  <w:tcW w:w="3703" w:type="dxa"/>
                  <w:tcBorders>
                    <w:tl2br w:val="nil"/>
                    <w:tr2bl w:val="nil"/>
                  </w:tcBorders>
                  <w:vAlign w:val="center"/>
                </w:tcPr>
                <w:p w14:paraId="01B65824">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环评文件中应明确，VOCs治理设施不设置废气旁路，确因安全生产需要设置的，采用铅封、在线监控等措施进行有效监管，并纳入市生态环境局VOCs治理设施旁路清单。</w:t>
                  </w:r>
                </w:p>
              </w:tc>
              <w:tc>
                <w:tcPr>
                  <w:tcW w:w="1760" w:type="dxa"/>
                  <w:tcBorders>
                    <w:tl2br w:val="nil"/>
                    <w:tr2bl w:val="nil"/>
                  </w:tcBorders>
                  <w:vAlign w:val="center"/>
                </w:tcPr>
                <w:p w14:paraId="4B60156D">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本项目VOCs治理设施不设置废气旁路。</w:t>
                  </w:r>
                </w:p>
              </w:tc>
              <w:tc>
                <w:tcPr>
                  <w:tcW w:w="470" w:type="dxa"/>
                  <w:tcBorders>
                    <w:tl2br w:val="nil"/>
                    <w:tr2bl w:val="nil"/>
                  </w:tcBorders>
                  <w:vAlign w:val="center"/>
                </w:tcPr>
                <w:p w14:paraId="4022C0DB">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相符</w:t>
                  </w:r>
                </w:p>
              </w:tc>
            </w:tr>
            <w:tr w14:paraId="17FCF7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27" w:type="dxa"/>
                  <w:vMerge w:val="continue"/>
                  <w:tcBorders>
                    <w:tl2br w:val="nil"/>
                    <w:tr2bl w:val="nil"/>
                  </w:tcBorders>
                  <w:vAlign w:val="center"/>
                </w:tcPr>
                <w:p w14:paraId="02D953DB">
                  <w:pPr>
                    <w:pStyle w:val="21"/>
                    <w:keepNext w:val="0"/>
                    <w:keepLines w:val="0"/>
                    <w:suppressLineNumbers w:val="0"/>
                    <w:spacing w:before="0" w:beforeAutospacing="0" w:after="0" w:afterAutospacing="0"/>
                    <w:ind w:left="0" w:right="0"/>
                    <w:rPr>
                      <w:rFonts w:hint="default"/>
                      <w:color w:val="auto"/>
                      <w:highlight w:val="none"/>
                    </w:rPr>
                  </w:pPr>
                </w:p>
              </w:tc>
              <w:tc>
                <w:tcPr>
                  <w:tcW w:w="3703" w:type="dxa"/>
                  <w:tcBorders>
                    <w:tl2br w:val="nil"/>
                    <w:tr2bl w:val="nil"/>
                  </w:tcBorders>
                  <w:vAlign w:val="center"/>
                </w:tcPr>
                <w:p w14:paraId="6672A00B">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不鼓励使用单一活性炭吸附处理工艺。采用活性炭吸附等吸附技术的项目，环评文件应明确要求制定吸附剂定期更换管理制度，明确安装量（以千克计）以及更换周期，并做好台账记录。吸附后产生的危险废物，应按要求密闭存放，并委托有资质单位处置。</w:t>
                  </w:r>
                </w:p>
              </w:tc>
              <w:tc>
                <w:tcPr>
                  <w:tcW w:w="1760" w:type="dxa"/>
                  <w:tcBorders>
                    <w:tl2br w:val="nil"/>
                    <w:tr2bl w:val="nil"/>
                  </w:tcBorders>
                  <w:vAlign w:val="center"/>
                </w:tcPr>
                <w:p w14:paraId="5672BBA3">
                  <w:pPr>
                    <w:pStyle w:val="21"/>
                    <w:keepNext w:val="0"/>
                    <w:keepLines w:val="0"/>
                    <w:suppressLineNumbers w:val="0"/>
                    <w:spacing w:before="0" w:beforeAutospacing="0" w:after="0" w:afterAutospacing="0"/>
                    <w:ind w:left="0" w:right="0"/>
                    <w:rPr>
                      <w:rFonts w:hint="default"/>
                      <w:color w:val="auto"/>
                      <w:highlight w:val="none"/>
                    </w:rPr>
                  </w:pPr>
                  <w:r>
                    <w:rPr>
                      <w:rFonts w:hint="default" w:ascii="Times New Roman" w:hAnsi="Times New Roman" w:cs="Times New Roman"/>
                      <w:color w:val="auto"/>
                      <w:kern w:val="0"/>
                      <w:sz w:val="21"/>
                      <w:szCs w:val="21"/>
                      <w:highlight w:val="none"/>
                    </w:rPr>
                    <w:t>本项目</w:t>
                  </w:r>
                  <w:r>
                    <w:rPr>
                      <w:rFonts w:hint="default" w:ascii="Times New Roman" w:hAnsi="Times New Roman" w:cs="Times New Roman"/>
                      <w:color w:val="auto"/>
                      <w:sz w:val="21"/>
                      <w:szCs w:val="21"/>
                      <w:highlight w:val="none"/>
                    </w:rPr>
                    <w:t>产生的挥发性有机物</w:t>
                  </w:r>
                  <w:r>
                    <w:rPr>
                      <w:rFonts w:hint="default" w:ascii="Times New Roman" w:hAnsi="Times New Roman" w:cs="Times New Roman"/>
                      <w:color w:val="auto"/>
                      <w:kern w:val="0"/>
                      <w:sz w:val="21"/>
                      <w:szCs w:val="21"/>
                      <w:highlight w:val="none"/>
                    </w:rPr>
                    <w:t>采用二级活性炭吸附装置</w:t>
                  </w:r>
                  <w:r>
                    <w:rPr>
                      <w:rFonts w:hint="default" w:ascii="Times New Roman" w:hAnsi="Times New Roman" w:cs="Times New Roman"/>
                      <w:color w:val="auto"/>
                      <w:kern w:val="0"/>
                      <w:sz w:val="21"/>
                      <w:szCs w:val="21"/>
                      <w:highlight w:val="none"/>
                      <w:lang w:val="en-US" w:eastAsia="zh-CN"/>
                    </w:rPr>
                    <w:t>处理</w:t>
                  </w:r>
                  <w:r>
                    <w:rPr>
                      <w:rFonts w:hint="eastAsia" w:ascii="Times New Roman" w:hAnsi="Times New Roman" w:cs="Times New Roman"/>
                      <w:color w:val="auto"/>
                      <w:kern w:val="0"/>
                      <w:sz w:val="21"/>
                      <w:szCs w:val="21"/>
                      <w:highlight w:val="none"/>
                      <w:lang w:val="en-US" w:eastAsia="zh-CN"/>
                    </w:rPr>
                    <w:t>，</w:t>
                  </w:r>
                  <w:r>
                    <w:rPr>
                      <w:rFonts w:hint="default" w:ascii="Times New Roman" w:hAnsi="Times New Roman" w:cs="Times New Roman"/>
                      <w:color w:val="auto"/>
                      <w:kern w:val="0"/>
                      <w:sz w:val="21"/>
                      <w:szCs w:val="21"/>
                      <w:highlight w:val="none"/>
                    </w:rPr>
                    <w:t>本次评价已明确要求活性炭吸附装置定期更换管理制度</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kern w:val="0"/>
                      <w:sz w:val="21"/>
                      <w:szCs w:val="21"/>
                      <w:highlight w:val="none"/>
                    </w:rPr>
                    <w:t>要求日常做好活性炭更换台账记录，更换后的废活性炭委托有资质单位处置。</w:t>
                  </w:r>
                </w:p>
              </w:tc>
              <w:tc>
                <w:tcPr>
                  <w:tcW w:w="470" w:type="dxa"/>
                  <w:tcBorders>
                    <w:tl2br w:val="nil"/>
                    <w:tr2bl w:val="nil"/>
                  </w:tcBorders>
                  <w:vAlign w:val="center"/>
                </w:tcPr>
                <w:p w14:paraId="0A952D71">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相符</w:t>
                  </w:r>
                </w:p>
              </w:tc>
            </w:tr>
            <w:tr w14:paraId="63445D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27" w:type="dxa"/>
                  <w:tcBorders>
                    <w:tl2br w:val="nil"/>
                    <w:tr2bl w:val="nil"/>
                  </w:tcBorders>
                  <w:vAlign w:val="center"/>
                </w:tcPr>
                <w:p w14:paraId="5EB4C270">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（四）全面加强台账管理制度审查</w:t>
                  </w:r>
                </w:p>
              </w:tc>
              <w:tc>
                <w:tcPr>
                  <w:tcW w:w="3703" w:type="dxa"/>
                  <w:tcBorders>
                    <w:tl2br w:val="nil"/>
                    <w:tr2bl w:val="nil"/>
                  </w:tcBorders>
                  <w:vAlign w:val="center"/>
                </w:tcPr>
                <w:p w14:paraId="5794328E">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涉VOCs排放的建设项目，环评文件中应明确要求规范建立管理台账，记录主要研发产量等基本研发信息，含VOCs原辅材料名称及其VOCs含量（使用说明书、物质安全说明书MSDS等），采购量、使用量、库存量及废弃量，回收方式及回收量等；VOCs治理设施的设计方案、合同、操作手册、运维记录及其二次污染物的处置记录，生产和治污设施运行的关键参数，废气处理相关耗材（吸收剂、吸附剂、催化剂、蓄热体等）购买处置记录；VOCs废气监测报告或在线监测数据记录等，台账保存期限不少于三年。</w:t>
                  </w:r>
                </w:p>
              </w:tc>
              <w:tc>
                <w:tcPr>
                  <w:tcW w:w="1760" w:type="dxa"/>
                  <w:tcBorders>
                    <w:tl2br w:val="nil"/>
                    <w:tr2bl w:val="nil"/>
                  </w:tcBorders>
                  <w:vAlign w:val="center"/>
                </w:tcPr>
                <w:p w14:paraId="6B6452B1">
                  <w:pPr>
                    <w:pStyle w:val="21"/>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val="en-US"/>
                    </w:rPr>
                    <w:t>本报告要求建设单位建立</w:t>
                  </w:r>
                  <w:r>
                    <w:rPr>
                      <w:rFonts w:hint="default"/>
                      <w:color w:val="auto"/>
                      <w:highlight w:val="none"/>
                    </w:rPr>
                    <w:t>台账管理制度，</w:t>
                  </w:r>
                  <w:r>
                    <w:rPr>
                      <w:rFonts w:hint="eastAsia"/>
                      <w:color w:val="auto"/>
                      <w:highlight w:val="none"/>
                    </w:rPr>
                    <w:t>记录</w:t>
                  </w:r>
                  <w:r>
                    <w:rPr>
                      <w:rFonts w:hint="eastAsia"/>
                      <w:color w:val="auto"/>
                      <w:highlight w:val="none"/>
                      <w:lang w:val="en-US" w:eastAsia="zh-CN"/>
                    </w:rPr>
                    <w:t>涉</w:t>
                  </w:r>
                  <w:r>
                    <w:rPr>
                      <w:rFonts w:hint="eastAsia"/>
                      <w:color w:val="auto"/>
                      <w:highlight w:val="none"/>
                    </w:rPr>
                    <w:t>VOCs物料</w:t>
                  </w:r>
                  <w:r>
                    <w:rPr>
                      <w:rFonts w:hint="default"/>
                      <w:color w:val="auto"/>
                      <w:highlight w:val="none"/>
                    </w:rPr>
                    <w:t>名称及VOCs含量，采购量、使用量、库存量及废弃量等</w:t>
                  </w:r>
                  <w:r>
                    <w:rPr>
                      <w:rFonts w:hint="eastAsia"/>
                      <w:color w:val="auto"/>
                      <w:highlight w:val="none"/>
                    </w:rPr>
                    <w:t>，</w:t>
                  </w:r>
                  <w:r>
                    <w:rPr>
                      <w:rFonts w:hint="default"/>
                      <w:color w:val="auto"/>
                      <w:highlight w:val="none"/>
                    </w:rPr>
                    <w:t>台账保存期限不少于五年。</w:t>
                  </w:r>
                </w:p>
              </w:tc>
              <w:tc>
                <w:tcPr>
                  <w:tcW w:w="470" w:type="dxa"/>
                  <w:tcBorders>
                    <w:tl2br w:val="nil"/>
                    <w:tr2bl w:val="nil"/>
                  </w:tcBorders>
                  <w:vAlign w:val="center"/>
                </w:tcPr>
                <w:p w14:paraId="02C539BB">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相符</w:t>
                  </w:r>
                </w:p>
              </w:tc>
            </w:tr>
          </w:tbl>
          <w:p w14:paraId="358DFBA6">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ascii="Times New Roman" w:hAnsi="Times New Roman" w:eastAsia="宋体"/>
                <w:color w:val="auto"/>
                <w:highlight w:val="none"/>
                <w:lang w:val="en-US" w:eastAsia="zh-CN"/>
              </w:rPr>
              <w:t>综上，本项目符合相关</w:t>
            </w:r>
            <w:r>
              <w:rPr>
                <w:rFonts w:hint="eastAsia" w:ascii="Times New Roman" w:hAnsi="Times New Roman" w:eastAsia="宋体"/>
                <w:color w:val="auto"/>
                <w:highlight w:val="none"/>
                <w:lang w:val="en-US"/>
              </w:rPr>
              <w:t>环境保护法律法规、政策</w:t>
            </w:r>
            <w:r>
              <w:rPr>
                <w:rFonts w:hint="eastAsia" w:ascii="Times New Roman" w:hAnsi="Times New Roman" w:eastAsia="宋体"/>
                <w:color w:val="auto"/>
                <w:highlight w:val="none"/>
                <w:lang w:val="en-US" w:eastAsia="zh-CN"/>
              </w:rPr>
              <w:t>要求。</w:t>
            </w:r>
          </w:p>
          <w:p w14:paraId="1798573B">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color w:val="auto"/>
                <w:highlight w:val="none"/>
                <w:lang w:val="en-US" w:eastAsia="zh-CN"/>
              </w:rPr>
              <w:t>4</w:t>
            </w:r>
            <w:r>
              <w:rPr>
                <w:rFonts w:hint="default" w:ascii="Times New Roman" w:hAnsi="Times New Roman" w:eastAsia="宋体"/>
                <w:color w:val="auto"/>
                <w:highlight w:val="none"/>
                <w:lang w:val="en-US"/>
              </w:rPr>
              <w:t>、安全风险识别内容</w:t>
            </w:r>
          </w:p>
          <w:p w14:paraId="3926716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根据《关于做好生态环境和应急管理部门联动工作的意见》（苏环办</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2020</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101号）的要求：</w:t>
            </w:r>
          </w:p>
          <w:p w14:paraId="46FA5B5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企业要切实履行好从危险废物产生、收集、贮存、运输、利用、处置等环节各项环保和安全职责；要制定危险废物管理计划并报属地生态环境部门备案。申请备案时，对废弃危险化学品、物理危险性尚不确定、根据相关文件无法认定达到稳定化要求的，要提供有资质单位出具的化学品物理危险性报告及其他证明材料，认定达到稳定化要求。</w:t>
            </w:r>
          </w:p>
          <w:p w14:paraId="782428BC">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企业要对脱硫脱硝、煤改气、挥发性有机物回收、污水处理、粉尘治理、RTO焚烧炉等六类环境治理设施开展安全风险辨识管控，要健全内部污染防治设施稳定运行和管理责任制度，严格依据标准规范建设环境治理设施，确保环境治理设施安全、稳定、有效运行。</w:t>
            </w:r>
          </w:p>
          <w:p w14:paraId="15169AC0">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本项目不涉及脱硫脱硝、煤改气、RTO焚烧炉</w:t>
            </w:r>
            <w:r>
              <w:rPr>
                <w:rFonts w:hint="eastAsia" w:ascii="Times New Roman" w:hAnsi="Times New Roman" w:eastAsia="宋体"/>
                <w:color w:val="auto"/>
                <w:highlight w:val="none"/>
                <w:lang w:val="en-US" w:eastAsia="zh-CN"/>
              </w:rPr>
              <w:t>及废弃危险化学品</w:t>
            </w:r>
            <w:r>
              <w:rPr>
                <w:rFonts w:hint="default" w:ascii="Times New Roman" w:hAnsi="Times New Roman" w:eastAsia="宋体"/>
                <w:color w:val="auto"/>
                <w:highlight w:val="none"/>
                <w:lang w:val="en-US"/>
              </w:rPr>
              <w:t>。本项目涉及的环境治理设施如下表：</w:t>
            </w:r>
          </w:p>
          <w:p w14:paraId="48DA4B0C">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表</w:t>
            </w:r>
            <w:r>
              <w:rPr>
                <w:rFonts w:hint="eastAsia"/>
                <w:color w:val="auto"/>
                <w:highlight w:val="none"/>
                <w:lang w:val="en-US" w:eastAsia="zh-CN"/>
              </w:rPr>
              <w:t>1-8</w:t>
            </w:r>
            <w:r>
              <w:rPr>
                <w:rFonts w:hint="default" w:ascii="Times New Roman" w:hAnsi="Times New Roman" w:eastAsia="宋体"/>
                <w:color w:val="auto"/>
                <w:highlight w:val="none"/>
              </w:rPr>
              <w:t>安全风险辨识</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71"/>
              <w:gridCol w:w="1736"/>
              <w:gridCol w:w="4153"/>
            </w:tblGrid>
            <w:tr w14:paraId="3F9CB2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71" w:type="dxa"/>
                  <w:tcBorders>
                    <w:tl2br w:val="nil"/>
                    <w:tr2bl w:val="nil"/>
                  </w:tcBorders>
                  <w:vAlign w:val="center"/>
                </w:tcPr>
                <w:p w14:paraId="3A6E3328">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序号</w:t>
                  </w:r>
                </w:p>
              </w:tc>
              <w:tc>
                <w:tcPr>
                  <w:tcW w:w="1736" w:type="dxa"/>
                  <w:tcBorders>
                    <w:tl2br w:val="nil"/>
                    <w:tr2bl w:val="nil"/>
                  </w:tcBorders>
                  <w:vAlign w:val="center"/>
                </w:tcPr>
                <w:p w14:paraId="779EF797">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环境治理设施</w:t>
                  </w:r>
                </w:p>
              </w:tc>
              <w:tc>
                <w:tcPr>
                  <w:tcW w:w="4153" w:type="dxa"/>
                  <w:tcBorders>
                    <w:tl2br w:val="nil"/>
                    <w:tr2bl w:val="nil"/>
                  </w:tcBorders>
                  <w:vAlign w:val="center"/>
                </w:tcPr>
                <w:p w14:paraId="5AF00BC4">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本项目涉及的设施</w:t>
                  </w:r>
                </w:p>
              </w:tc>
            </w:tr>
            <w:tr w14:paraId="57D6FA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71" w:type="dxa"/>
                  <w:tcBorders>
                    <w:tl2br w:val="nil"/>
                    <w:tr2bl w:val="nil"/>
                  </w:tcBorders>
                  <w:vAlign w:val="center"/>
                </w:tcPr>
                <w:p w14:paraId="77EB641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1</w:t>
                  </w:r>
                </w:p>
              </w:tc>
              <w:tc>
                <w:tcPr>
                  <w:tcW w:w="1736" w:type="dxa"/>
                  <w:tcBorders>
                    <w:tl2br w:val="nil"/>
                    <w:tr2bl w:val="nil"/>
                  </w:tcBorders>
                  <w:vAlign w:val="center"/>
                </w:tcPr>
                <w:p w14:paraId="0DC54EF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污水治理</w:t>
                  </w:r>
                </w:p>
              </w:tc>
              <w:tc>
                <w:tcPr>
                  <w:tcW w:w="4153" w:type="dxa"/>
                  <w:tcBorders>
                    <w:tl2br w:val="nil"/>
                    <w:tr2bl w:val="nil"/>
                  </w:tcBorders>
                  <w:vAlign w:val="center"/>
                </w:tcPr>
                <w:p w14:paraId="4F0BE1B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依托南京娃哈哈饮料有限公司厂区现有</w:t>
                  </w:r>
                  <w:r>
                    <w:rPr>
                      <w:rFonts w:hint="default" w:ascii="Times New Roman" w:hAnsi="Times New Roman" w:eastAsia="宋体"/>
                      <w:color w:val="auto"/>
                      <w:highlight w:val="none"/>
                    </w:rPr>
                    <w:t>化粪池</w:t>
                  </w:r>
                  <w:r>
                    <w:rPr>
                      <w:rFonts w:hint="eastAsia" w:ascii="Times New Roman" w:hAnsi="Times New Roman" w:eastAsia="宋体"/>
                      <w:color w:val="auto"/>
                      <w:highlight w:val="none"/>
                      <w:lang w:eastAsia="zh-CN"/>
                    </w:rPr>
                    <w:t>、</w:t>
                  </w:r>
                  <w:r>
                    <w:rPr>
                      <w:rFonts w:hint="eastAsia"/>
                      <w:color w:val="auto"/>
                      <w:highlight w:val="none"/>
                      <w:lang w:val="en-US" w:eastAsia="zh-CN"/>
                    </w:rPr>
                    <w:t>隔油池</w:t>
                  </w:r>
                  <w:r>
                    <w:rPr>
                      <w:rFonts w:hint="eastAsia" w:ascii="Times New Roman" w:hAnsi="Times New Roman" w:eastAsia="宋体"/>
                      <w:color w:val="auto"/>
                      <w:highlight w:val="none"/>
                      <w:lang w:val="en-US" w:eastAsia="zh-CN"/>
                    </w:rPr>
                    <w:t>、</w:t>
                  </w:r>
                  <w:r>
                    <w:rPr>
                      <w:rFonts w:hint="eastAsia"/>
                      <w:color w:val="auto"/>
                      <w:highlight w:val="none"/>
                      <w:lang w:val="en-US" w:eastAsia="zh-CN"/>
                    </w:rPr>
                    <w:t>污水处理站</w:t>
                  </w:r>
                </w:p>
              </w:tc>
            </w:tr>
            <w:tr w14:paraId="2E6AB6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71" w:type="dxa"/>
                  <w:tcBorders>
                    <w:tl2br w:val="nil"/>
                    <w:tr2bl w:val="nil"/>
                  </w:tcBorders>
                  <w:vAlign w:val="center"/>
                </w:tcPr>
                <w:p w14:paraId="468C534F">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2</w:t>
                  </w:r>
                </w:p>
              </w:tc>
              <w:tc>
                <w:tcPr>
                  <w:tcW w:w="1736" w:type="dxa"/>
                  <w:tcBorders>
                    <w:tl2br w:val="nil"/>
                    <w:tr2bl w:val="nil"/>
                  </w:tcBorders>
                  <w:vAlign w:val="center"/>
                </w:tcPr>
                <w:p w14:paraId="1BD0913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废气治理</w:t>
                  </w:r>
                </w:p>
              </w:tc>
              <w:tc>
                <w:tcPr>
                  <w:tcW w:w="4153" w:type="dxa"/>
                  <w:tcBorders>
                    <w:tl2br w:val="nil"/>
                    <w:tr2bl w:val="nil"/>
                  </w:tcBorders>
                  <w:vAlign w:val="center"/>
                </w:tcPr>
                <w:p w14:paraId="6E3F689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二级活性炭吸附</w:t>
                  </w:r>
                </w:p>
              </w:tc>
            </w:tr>
          </w:tbl>
          <w:p w14:paraId="4A2224B9">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本环评要求企业按该文件要求在运营过程中切实履行好自身主体责任，配合相关部门积极有效开展环境保护和应急管理工作。</w:t>
            </w:r>
          </w:p>
        </w:tc>
      </w:tr>
    </w:tbl>
    <w:p w14:paraId="636E7798">
      <w:pPr>
        <w:pStyle w:val="2"/>
        <w:spacing w:before="156"/>
        <w:rPr>
          <w:rFonts w:ascii="Times New Roman" w:hAnsi="Times New Roman" w:eastAsia="宋体"/>
          <w:color w:val="auto"/>
          <w:sz w:val="30"/>
          <w:szCs w:val="30"/>
          <w:highlight w:val="none"/>
        </w:rPr>
      </w:pPr>
      <w:r>
        <w:rPr>
          <w:rFonts w:hint="eastAsia" w:ascii="Times New Roman" w:hAnsi="Times New Roman" w:eastAsia="宋体"/>
          <w:color w:val="auto"/>
          <w:sz w:val="30"/>
          <w:szCs w:val="30"/>
          <w:highlight w:val="none"/>
        </w:rPr>
        <w:t>二、建设项目工程分析</w:t>
      </w:r>
    </w:p>
    <w:tbl>
      <w:tblPr>
        <w:tblStyle w:val="1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454"/>
        <w:gridCol w:w="832"/>
        <w:gridCol w:w="7046"/>
      </w:tblGrid>
      <w:tr w14:paraId="09F7BB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454" w:type="dxa"/>
            <w:tcMar>
              <w:top w:w="16" w:type="dxa"/>
              <w:left w:w="16" w:type="dxa"/>
              <w:right w:w="16" w:type="dxa"/>
            </w:tcMar>
            <w:vAlign w:val="center"/>
          </w:tcPr>
          <w:p w14:paraId="1FEEE98C">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建设内容</w:t>
            </w:r>
          </w:p>
        </w:tc>
        <w:tc>
          <w:tcPr>
            <w:tcW w:w="7878" w:type="dxa"/>
            <w:gridSpan w:val="2"/>
            <w:vAlign w:val="center"/>
          </w:tcPr>
          <w:p w14:paraId="2B8265D8">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1、项目由来</w:t>
            </w:r>
          </w:p>
          <w:p w14:paraId="1469B3BC">
            <w:pPr>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rPr>
              <w:t>南京恒枫</w:t>
            </w:r>
            <w:r>
              <w:rPr>
                <w:rFonts w:hint="eastAsia"/>
                <w:color w:val="auto"/>
                <w:lang w:val="en-US" w:eastAsia="zh-CN"/>
              </w:rPr>
              <w:t>食品</w:t>
            </w:r>
            <w:r>
              <w:rPr>
                <w:rFonts w:hint="eastAsia"/>
                <w:color w:val="auto"/>
              </w:rPr>
              <w:t>有限公司</w:t>
            </w:r>
            <w:r>
              <w:rPr>
                <w:rFonts w:hint="eastAsia"/>
                <w:color w:val="auto"/>
                <w:lang w:val="en-US" w:eastAsia="zh-CN"/>
              </w:rPr>
              <w:t>成立于2024年5月20日，经营范围包括食品生产、食品销售、饮料生产、食品用塑料包装容器工具制品生产</w:t>
            </w:r>
            <w:r>
              <w:rPr>
                <w:rFonts w:hint="eastAsia"/>
                <w:color w:val="auto"/>
              </w:rPr>
              <w:t>。</w:t>
            </w:r>
          </w:p>
          <w:p w14:paraId="77C8A463">
            <w:pPr>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rPr>
              <w:t>因公司发展需要，</w:t>
            </w:r>
            <w:r>
              <w:rPr>
                <w:rFonts w:hint="eastAsia"/>
                <w:color w:val="auto"/>
              </w:rPr>
              <w:t>南京恒枫</w:t>
            </w:r>
            <w:r>
              <w:rPr>
                <w:rFonts w:hint="eastAsia"/>
                <w:color w:val="auto"/>
                <w:lang w:val="en-US" w:eastAsia="zh-CN"/>
              </w:rPr>
              <w:t>食品</w:t>
            </w:r>
            <w:r>
              <w:rPr>
                <w:rFonts w:hint="eastAsia"/>
                <w:color w:val="auto"/>
              </w:rPr>
              <w:t>有限公司</w:t>
            </w:r>
            <w:r>
              <w:rPr>
                <w:rFonts w:hint="eastAsia"/>
                <w:color w:val="auto"/>
                <w:lang w:val="en-US"/>
              </w:rPr>
              <w:t>拟投资</w:t>
            </w:r>
            <w:r>
              <w:rPr>
                <w:rFonts w:hint="eastAsia"/>
                <w:color w:val="auto"/>
                <w:lang w:val="en-US" w:eastAsia="zh-CN"/>
              </w:rPr>
              <w:t>10193.71</w:t>
            </w:r>
            <w:r>
              <w:rPr>
                <w:rFonts w:hint="eastAsia"/>
                <w:color w:val="auto"/>
                <w:lang w:val="en-US"/>
              </w:rPr>
              <w:t>万元，</w:t>
            </w:r>
            <w:r>
              <w:rPr>
                <w:rFonts w:hint="eastAsia"/>
                <w:color w:val="auto"/>
                <w:lang w:val="en-US" w:eastAsia="zh-CN"/>
              </w:rPr>
              <w:t>租赁南京娃哈哈饮料有限公司位于</w:t>
            </w:r>
            <w:r>
              <w:rPr>
                <w:rFonts w:hint="default" w:ascii="Times New Roman" w:hAnsi="Times New Roman" w:eastAsia="宋体"/>
                <w:color w:val="auto"/>
                <w:highlight w:val="none"/>
              </w:rPr>
              <w:t>南京江宁区空港工业园东西京路以东、双塘路以南（吴歌路36号）</w:t>
            </w:r>
            <w:r>
              <w:rPr>
                <w:rFonts w:hint="eastAsia"/>
                <w:color w:val="auto"/>
                <w:lang w:val="en-US" w:eastAsia="zh-CN"/>
              </w:rPr>
              <w:t>的生产厂房（在建）8514.21平方米</w:t>
            </w:r>
            <w:r>
              <w:rPr>
                <w:rFonts w:hint="eastAsia"/>
                <w:color w:val="auto"/>
                <w:lang w:val="en-US"/>
              </w:rPr>
              <w:t>，</w:t>
            </w:r>
            <w:r>
              <w:rPr>
                <w:rFonts w:hint="eastAsia"/>
                <w:color w:val="auto"/>
                <w:lang w:val="en-US" w:eastAsia="zh-CN"/>
              </w:rPr>
              <w:t>购置吹瓶机、上盖机等国产设备33台，引进制盖机、瓶胚机等进口设备2套，</w:t>
            </w:r>
            <w:r>
              <w:rPr>
                <w:rFonts w:hint="eastAsia"/>
                <w:color w:val="auto"/>
                <w:lang w:val="en-US"/>
              </w:rPr>
              <w:t>建设</w:t>
            </w:r>
            <w:r>
              <w:rPr>
                <w:rFonts w:hint="eastAsia"/>
                <w:color w:val="auto"/>
                <w:lang w:val="en-US" w:eastAsia="zh-CN"/>
              </w:rPr>
              <w:t>1条瓶装纯净水生产线，</w:t>
            </w:r>
            <w:r>
              <w:rPr>
                <w:rFonts w:hint="eastAsia"/>
                <w:color w:val="auto"/>
                <w:lang w:val="en-US"/>
              </w:rPr>
              <w:t>形成</w:t>
            </w:r>
            <w:r>
              <w:rPr>
                <w:rFonts w:hint="eastAsia"/>
                <w:color w:val="auto"/>
                <w:lang w:val="en-US" w:eastAsia="zh-CN"/>
              </w:rPr>
              <w:t>新增</w:t>
            </w:r>
            <w:r>
              <w:rPr>
                <w:rFonts w:hint="eastAsia"/>
                <w:color w:val="auto"/>
                <w:lang w:val="en-US"/>
              </w:rPr>
              <w:t>年产</w:t>
            </w:r>
            <w:r>
              <w:rPr>
                <w:rFonts w:hint="eastAsia"/>
                <w:color w:val="auto"/>
                <w:lang w:val="en-US" w:eastAsia="zh-CN"/>
              </w:rPr>
              <w:t>15万吨瓶装纯净水的</w:t>
            </w:r>
            <w:r>
              <w:rPr>
                <w:rFonts w:hint="eastAsia"/>
                <w:color w:val="auto"/>
                <w:lang w:val="en-US"/>
              </w:rPr>
              <w:t>生产能力。</w:t>
            </w:r>
          </w:p>
          <w:p w14:paraId="034996FF">
            <w:pPr>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所租赁厂房建设工程由南京娃哈哈饮料有限公司负责，本项目待该厂房建设完成后再进行设备安装，厂房建设工程环境影响不在本报告评价范围内。同时，为统一仓储管理，本项目原辅材料及固体废物依托南京娃哈哈饮料有限公司原料仓库、化学品仓库、危废仓库和一般工业固废仓库储存。</w:t>
            </w:r>
          </w:p>
          <w:p w14:paraId="67576E5C">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本项目属于《国民经济行业分类》（GB/T4754-2017）中的“</w:t>
            </w:r>
            <w:r>
              <w:rPr>
                <w:rFonts w:hint="eastAsia"/>
                <w:color w:val="auto"/>
                <w:lang w:val="en-US" w:eastAsia="zh-CN"/>
              </w:rPr>
              <w:t>C1522</w:t>
            </w:r>
            <w:r>
              <w:rPr>
                <w:rFonts w:hint="eastAsia"/>
                <w:color w:val="auto"/>
                <w:lang w:val="en-US"/>
              </w:rPr>
              <w:t>瓶（罐）装饮用水制造”行业</w:t>
            </w:r>
            <w:r>
              <w:rPr>
                <w:rFonts w:hint="eastAsia"/>
                <w:color w:val="auto"/>
                <w:lang w:val="en-US" w:eastAsia="zh-CN"/>
              </w:rPr>
              <w:t>，同时项目生产过程中制瓶工序属于“C2926塑料包装箱及容器制造”</w:t>
            </w:r>
            <w:r>
              <w:rPr>
                <w:rFonts w:hint="eastAsia"/>
                <w:color w:val="auto"/>
                <w:lang w:val="en-US"/>
              </w:rPr>
              <w:t>，对照《建设项目环境影响评价分类管理名录（2021年版）》，本项目属于其中的“十二、酒、饮料制造业15-</w:t>
            </w:r>
            <w:r>
              <w:rPr>
                <w:rFonts w:hint="eastAsia"/>
                <w:color w:val="auto"/>
                <w:lang w:val="en-US" w:eastAsia="zh-CN"/>
              </w:rPr>
              <w:t>26</w:t>
            </w:r>
            <w:r>
              <w:rPr>
                <w:rFonts w:hint="default"/>
                <w:color w:val="auto"/>
                <w:lang w:val="en-US"/>
              </w:rPr>
              <w:t>饮料制造</w:t>
            </w:r>
            <w:r>
              <w:rPr>
                <w:rFonts w:hint="eastAsia"/>
                <w:color w:val="auto"/>
                <w:lang w:val="en-US" w:eastAsia="zh-CN"/>
              </w:rPr>
              <w:t>152-/</w:t>
            </w:r>
            <w:r>
              <w:rPr>
                <w:rFonts w:hint="eastAsia"/>
                <w:color w:val="auto"/>
                <w:lang w:val="en-US"/>
              </w:rPr>
              <w:t>”</w:t>
            </w:r>
            <w:r>
              <w:rPr>
                <w:rFonts w:hint="eastAsia"/>
                <w:color w:val="auto"/>
                <w:lang w:val="en-US" w:eastAsia="zh-CN"/>
              </w:rPr>
              <w:t>和“二十六、橡胶和塑料制品业29-53塑料制品业292－其他（年用非溶剂型低VOCs含量涂料10吨以下的除外）”</w:t>
            </w:r>
            <w:r>
              <w:rPr>
                <w:rFonts w:hint="eastAsia"/>
                <w:color w:val="auto"/>
                <w:lang w:val="en-US"/>
              </w:rPr>
              <w:t>类项目，应编制环境影响报告表。</w:t>
            </w:r>
          </w:p>
          <w:p w14:paraId="2031BE21">
            <w:pPr>
              <w:pStyle w:val="23"/>
              <w:keepNext w:val="0"/>
              <w:keepLines w:val="0"/>
              <w:suppressLineNumbers w:val="0"/>
              <w:spacing w:before="0" w:beforeAutospacing="0" w:after="0" w:afterAutospacing="0"/>
              <w:ind w:left="0" w:right="0"/>
              <w:rPr>
                <w:rFonts w:hint="default" w:ascii="Times New Roman" w:hAnsi="Times New Roman" w:eastAsia="宋体"/>
                <w:color w:val="auto"/>
                <w:sz w:val="22"/>
                <w:szCs w:val="22"/>
                <w:highlight w:val="none"/>
              </w:rPr>
            </w:pPr>
            <w:r>
              <w:rPr>
                <w:rFonts w:ascii="Times New Roman" w:hAnsi="Times New Roman" w:eastAsia="宋体"/>
                <w:color w:val="auto"/>
                <w:sz w:val="22"/>
                <w:szCs w:val="22"/>
                <w:highlight w:val="none"/>
              </w:rPr>
              <w:t>表2-1环评类别判定表</w:t>
            </w:r>
          </w:p>
          <w:tbl>
            <w:tblPr>
              <w:tblStyle w:val="30"/>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433"/>
              <w:gridCol w:w="1637"/>
              <w:gridCol w:w="2373"/>
              <w:gridCol w:w="2193"/>
              <w:gridCol w:w="1187"/>
            </w:tblGrid>
            <w:tr w14:paraId="2CE1BBC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070" w:type="dxa"/>
                  <w:gridSpan w:val="2"/>
                  <w:tcBorders>
                    <w:tl2br w:val="single" w:color="000000" w:sz="4" w:space="0"/>
                  </w:tcBorders>
                  <w:vAlign w:val="center"/>
                </w:tcPr>
                <w:p w14:paraId="2F57B162">
                  <w:pPr>
                    <w:pStyle w:val="21"/>
                    <w:bidi w:val="0"/>
                    <w:rPr>
                      <w:b/>
                      <w:bCs/>
                      <w:color w:val="auto"/>
                      <w:lang w:val="en-US"/>
                    </w:rPr>
                  </w:pPr>
                  <w:r>
                    <w:rPr>
                      <w:rFonts w:hint="eastAsia"/>
                      <w:b/>
                      <w:bCs/>
                      <w:color w:val="auto"/>
                      <w:lang w:val="en-US"/>
                    </w:rPr>
                    <w:t>环评类别</w:t>
                  </w:r>
                </w:p>
                <w:p w14:paraId="523CDBAF">
                  <w:pPr>
                    <w:pStyle w:val="21"/>
                    <w:bidi w:val="0"/>
                    <w:jc w:val="both"/>
                    <w:rPr>
                      <w:b/>
                      <w:bCs/>
                      <w:color w:val="auto"/>
                      <w:lang w:val="en-US"/>
                    </w:rPr>
                  </w:pPr>
                  <w:r>
                    <w:rPr>
                      <w:rFonts w:hint="eastAsia"/>
                      <w:b/>
                      <w:bCs/>
                      <w:color w:val="auto"/>
                      <w:lang w:val="en-US"/>
                    </w:rPr>
                    <w:t>项目类别</w:t>
                  </w:r>
                </w:p>
              </w:tc>
              <w:tc>
                <w:tcPr>
                  <w:tcW w:w="2373" w:type="dxa"/>
                  <w:tcBorders>
                    <w:tl2br w:val="nil"/>
                    <w:tr2bl w:val="nil"/>
                  </w:tcBorders>
                  <w:vAlign w:val="center"/>
                </w:tcPr>
                <w:p w14:paraId="03C4B5AC">
                  <w:pPr>
                    <w:pStyle w:val="21"/>
                    <w:bidi w:val="0"/>
                    <w:rPr>
                      <w:b/>
                      <w:bCs/>
                      <w:color w:val="auto"/>
                      <w:lang w:val="en-US"/>
                    </w:rPr>
                  </w:pPr>
                  <w:r>
                    <w:rPr>
                      <w:rFonts w:hint="eastAsia"/>
                      <w:b/>
                      <w:bCs/>
                      <w:color w:val="auto"/>
                      <w:lang w:val="en-US"/>
                    </w:rPr>
                    <w:t>报告书</w:t>
                  </w:r>
                </w:p>
              </w:tc>
              <w:tc>
                <w:tcPr>
                  <w:tcW w:w="2193" w:type="dxa"/>
                  <w:tcBorders>
                    <w:tl2br w:val="nil"/>
                    <w:tr2bl w:val="nil"/>
                  </w:tcBorders>
                  <w:shd w:val="clear" w:color="auto" w:fill="D7D7D7" w:themeFill="background1" w:themeFillShade="D8"/>
                  <w:vAlign w:val="center"/>
                </w:tcPr>
                <w:p w14:paraId="2C7A4CF2">
                  <w:pPr>
                    <w:pStyle w:val="21"/>
                    <w:bidi w:val="0"/>
                    <w:rPr>
                      <w:b/>
                      <w:bCs/>
                      <w:color w:val="auto"/>
                    </w:rPr>
                  </w:pPr>
                  <w:r>
                    <w:rPr>
                      <w:rFonts w:hint="eastAsia"/>
                      <w:b/>
                      <w:bCs/>
                      <w:color w:val="auto"/>
                      <w:lang w:val="en-US"/>
                    </w:rPr>
                    <w:t>报告表</w:t>
                  </w:r>
                </w:p>
              </w:tc>
              <w:tc>
                <w:tcPr>
                  <w:tcW w:w="1187" w:type="dxa"/>
                  <w:tcBorders>
                    <w:tl2br w:val="nil"/>
                    <w:tr2bl w:val="nil"/>
                  </w:tcBorders>
                  <w:vAlign w:val="center"/>
                </w:tcPr>
                <w:p w14:paraId="6AE6A200">
                  <w:pPr>
                    <w:pStyle w:val="21"/>
                    <w:bidi w:val="0"/>
                    <w:rPr>
                      <w:b/>
                      <w:bCs/>
                      <w:color w:val="auto"/>
                      <w:lang w:val="en-US"/>
                    </w:rPr>
                  </w:pPr>
                  <w:r>
                    <w:rPr>
                      <w:rFonts w:hint="eastAsia"/>
                      <w:b/>
                      <w:bCs/>
                      <w:color w:val="auto"/>
                      <w:lang w:val="en-US"/>
                    </w:rPr>
                    <w:t>登记表</w:t>
                  </w:r>
                </w:p>
              </w:tc>
            </w:tr>
            <w:tr w14:paraId="3E6433F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823" w:type="dxa"/>
                  <w:gridSpan w:val="5"/>
                  <w:tcBorders>
                    <w:tl2br w:val="nil"/>
                    <w:tr2bl w:val="nil"/>
                  </w:tcBorders>
                  <w:vAlign w:val="center"/>
                </w:tcPr>
                <w:p w14:paraId="6AEDC324">
                  <w:pPr>
                    <w:pStyle w:val="21"/>
                    <w:bidi w:val="0"/>
                    <w:rPr>
                      <w:color w:val="auto"/>
                      <w:lang w:val="en-US"/>
                    </w:rPr>
                  </w:pPr>
                  <w:r>
                    <w:rPr>
                      <w:rFonts w:hint="eastAsia"/>
                      <w:color w:val="auto"/>
                      <w:lang w:val="en-US"/>
                    </w:rPr>
                    <w:t>十二、酒、饮料制造业15</w:t>
                  </w:r>
                </w:p>
              </w:tc>
            </w:tr>
            <w:tr w14:paraId="08001A3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33" w:type="dxa"/>
                  <w:tcBorders>
                    <w:tl2br w:val="nil"/>
                    <w:tr2bl w:val="nil"/>
                  </w:tcBorders>
                  <w:vAlign w:val="center"/>
                </w:tcPr>
                <w:p w14:paraId="252A562F">
                  <w:pPr>
                    <w:pStyle w:val="21"/>
                    <w:bidi w:val="0"/>
                    <w:rPr>
                      <w:rFonts w:hint="default"/>
                      <w:color w:val="auto"/>
                      <w:lang w:val="en-US" w:eastAsia="zh-CN"/>
                    </w:rPr>
                  </w:pPr>
                  <w:r>
                    <w:rPr>
                      <w:rFonts w:hint="eastAsia"/>
                      <w:color w:val="auto"/>
                      <w:lang w:val="en-US" w:eastAsia="zh-CN"/>
                    </w:rPr>
                    <w:t>26</w:t>
                  </w:r>
                </w:p>
              </w:tc>
              <w:tc>
                <w:tcPr>
                  <w:tcW w:w="1637" w:type="dxa"/>
                  <w:tcBorders>
                    <w:tl2br w:val="nil"/>
                    <w:tr2bl w:val="nil"/>
                  </w:tcBorders>
                  <w:vAlign w:val="center"/>
                </w:tcPr>
                <w:p w14:paraId="64391F8A">
                  <w:pPr>
                    <w:pStyle w:val="21"/>
                    <w:bidi w:val="0"/>
                    <w:rPr>
                      <w:color w:val="auto"/>
                    </w:rPr>
                  </w:pPr>
                  <w:r>
                    <w:rPr>
                      <w:rFonts w:hint="default"/>
                      <w:color w:val="auto"/>
                      <w:lang w:val="en-US"/>
                    </w:rPr>
                    <w:t>饮料制造</w:t>
                  </w:r>
                </w:p>
              </w:tc>
              <w:tc>
                <w:tcPr>
                  <w:tcW w:w="2373" w:type="dxa"/>
                  <w:tcBorders>
                    <w:tl2br w:val="nil"/>
                    <w:tr2bl w:val="nil"/>
                  </w:tcBorders>
                  <w:shd w:val="clear" w:color="auto" w:fill="auto"/>
                  <w:vAlign w:val="center"/>
                </w:tcPr>
                <w:p w14:paraId="7E7BE27F">
                  <w:pPr>
                    <w:pStyle w:val="21"/>
                    <w:bidi w:val="0"/>
                    <w:rPr>
                      <w:rFonts w:hint="eastAsia"/>
                      <w:color w:val="auto"/>
                      <w:lang w:eastAsia="zh-CN"/>
                    </w:rPr>
                  </w:pPr>
                  <w:r>
                    <w:rPr>
                      <w:rFonts w:hint="eastAsia"/>
                      <w:color w:val="auto"/>
                      <w:lang w:val="en-US" w:eastAsia="zh-CN"/>
                    </w:rPr>
                    <w:t>/</w:t>
                  </w:r>
                </w:p>
              </w:tc>
              <w:tc>
                <w:tcPr>
                  <w:tcW w:w="2193" w:type="dxa"/>
                  <w:tcBorders>
                    <w:tl2br w:val="nil"/>
                    <w:tr2bl w:val="nil"/>
                  </w:tcBorders>
                  <w:shd w:val="clear" w:color="auto" w:fill="auto"/>
                  <w:vAlign w:val="center"/>
                </w:tcPr>
                <w:p w14:paraId="71AD1B85">
                  <w:pPr>
                    <w:pStyle w:val="21"/>
                    <w:bidi w:val="0"/>
                    <w:rPr>
                      <w:color w:val="auto"/>
                    </w:rPr>
                  </w:pPr>
                  <w:r>
                    <w:rPr>
                      <w:rFonts w:hint="eastAsia"/>
                      <w:color w:val="auto"/>
                    </w:rPr>
                    <w:t>有发酵工艺、原汁生产的</w:t>
                  </w:r>
                </w:p>
              </w:tc>
              <w:tc>
                <w:tcPr>
                  <w:tcW w:w="1187" w:type="dxa"/>
                  <w:tcBorders>
                    <w:tl2br w:val="nil"/>
                    <w:tr2bl w:val="nil"/>
                  </w:tcBorders>
                  <w:vAlign w:val="center"/>
                </w:tcPr>
                <w:p w14:paraId="1905A10C">
                  <w:pPr>
                    <w:pStyle w:val="21"/>
                    <w:bidi w:val="0"/>
                    <w:rPr>
                      <w:color w:val="auto"/>
                      <w:lang w:val="en-US"/>
                    </w:rPr>
                  </w:pPr>
                  <w:r>
                    <w:rPr>
                      <w:rFonts w:hint="eastAsia"/>
                      <w:color w:val="auto"/>
                      <w:lang w:val="en-US"/>
                    </w:rPr>
                    <w:t>/</w:t>
                  </w:r>
                </w:p>
              </w:tc>
            </w:tr>
            <w:tr w14:paraId="0BD8687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823" w:type="dxa"/>
                  <w:gridSpan w:val="5"/>
                  <w:tcBorders>
                    <w:tl2br w:val="nil"/>
                    <w:tr2bl w:val="nil"/>
                  </w:tcBorders>
                  <w:vAlign w:val="center"/>
                </w:tcPr>
                <w:p w14:paraId="0971F4AA">
                  <w:pPr>
                    <w:pStyle w:val="21"/>
                    <w:bidi w:val="0"/>
                    <w:rPr>
                      <w:rFonts w:hint="eastAsia"/>
                      <w:color w:val="auto"/>
                      <w:lang w:val="en-US"/>
                    </w:rPr>
                  </w:pPr>
                  <w:r>
                    <w:rPr>
                      <w:rFonts w:hint="eastAsia"/>
                      <w:color w:val="auto"/>
                      <w:lang w:val="en-US" w:eastAsia="zh-CN"/>
                    </w:rPr>
                    <w:t>二十六、橡胶和塑料制品业29</w:t>
                  </w:r>
                </w:p>
              </w:tc>
            </w:tr>
            <w:tr w14:paraId="2A2E8DD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33" w:type="dxa"/>
                  <w:tcBorders>
                    <w:tl2br w:val="nil"/>
                    <w:tr2bl w:val="nil"/>
                  </w:tcBorders>
                  <w:vAlign w:val="center"/>
                </w:tcPr>
                <w:p w14:paraId="753F2191">
                  <w:pPr>
                    <w:pStyle w:val="21"/>
                    <w:bidi w:val="0"/>
                    <w:rPr>
                      <w:rFonts w:hint="eastAsia"/>
                      <w:color w:val="auto"/>
                      <w:lang w:val="en-US" w:eastAsia="zh-CN"/>
                    </w:rPr>
                  </w:pPr>
                  <w:r>
                    <w:rPr>
                      <w:rFonts w:hint="eastAsia"/>
                      <w:color w:val="auto"/>
                      <w:lang w:val="en-US" w:eastAsia="zh-CN"/>
                    </w:rPr>
                    <w:t>53</w:t>
                  </w:r>
                </w:p>
              </w:tc>
              <w:tc>
                <w:tcPr>
                  <w:tcW w:w="1637" w:type="dxa"/>
                  <w:tcBorders>
                    <w:tl2br w:val="nil"/>
                    <w:tr2bl w:val="nil"/>
                  </w:tcBorders>
                  <w:vAlign w:val="center"/>
                </w:tcPr>
                <w:p w14:paraId="7BCAA7C6">
                  <w:pPr>
                    <w:pStyle w:val="21"/>
                    <w:bidi w:val="0"/>
                    <w:rPr>
                      <w:rFonts w:hint="eastAsia"/>
                      <w:color w:val="auto"/>
                      <w:lang w:val="en-US"/>
                    </w:rPr>
                  </w:pPr>
                  <w:r>
                    <w:rPr>
                      <w:rFonts w:hint="eastAsia"/>
                      <w:color w:val="auto"/>
                      <w:lang w:val="en-US" w:eastAsia="zh-CN"/>
                    </w:rPr>
                    <w:t>塑料制品业292</w:t>
                  </w:r>
                </w:p>
              </w:tc>
              <w:tc>
                <w:tcPr>
                  <w:tcW w:w="2373" w:type="dxa"/>
                  <w:tcBorders>
                    <w:tl2br w:val="nil"/>
                    <w:tr2bl w:val="nil"/>
                  </w:tcBorders>
                  <w:vAlign w:val="center"/>
                </w:tcPr>
                <w:p w14:paraId="324C6D52">
                  <w:pPr>
                    <w:pStyle w:val="21"/>
                    <w:bidi w:val="0"/>
                    <w:rPr>
                      <w:rFonts w:hint="eastAsia"/>
                      <w:color w:val="auto"/>
                    </w:rPr>
                  </w:pPr>
                  <w:r>
                    <w:rPr>
                      <w:rFonts w:hint="eastAsia"/>
                      <w:color w:val="auto"/>
                    </w:rPr>
                    <w:t>以再生塑料为原料生产的；有电镀工艺的；年用溶剂型胶粘剂10吨及以上的；年用溶剂型涂料（含稀释剂）10吨及以上的</w:t>
                  </w:r>
                </w:p>
              </w:tc>
              <w:tc>
                <w:tcPr>
                  <w:tcW w:w="2193" w:type="dxa"/>
                  <w:tcBorders>
                    <w:tl2br w:val="nil"/>
                    <w:tr2bl w:val="nil"/>
                  </w:tcBorders>
                  <w:shd w:val="clear" w:color="auto" w:fill="D7D7D7" w:themeFill="background1" w:themeFillShade="D8"/>
                  <w:vAlign w:val="center"/>
                </w:tcPr>
                <w:p w14:paraId="1067F287">
                  <w:pPr>
                    <w:pStyle w:val="21"/>
                    <w:bidi w:val="0"/>
                    <w:rPr>
                      <w:rFonts w:hint="eastAsia"/>
                      <w:color w:val="auto"/>
                    </w:rPr>
                  </w:pPr>
                  <w:r>
                    <w:rPr>
                      <w:rFonts w:hint="eastAsia"/>
                      <w:color w:val="auto"/>
                    </w:rPr>
                    <w:t>其他（年用非溶剂型低VOCs含量涂料10吨以下的除外）</w:t>
                  </w:r>
                </w:p>
              </w:tc>
              <w:tc>
                <w:tcPr>
                  <w:tcW w:w="1187" w:type="dxa"/>
                  <w:tcBorders>
                    <w:tl2br w:val="nil"/>
                    <w:tr2bl w:val="nil"/>
                  </w:tcBorders>
                  <w:vAlign w:val="center"/>
                </w:tcPr>
                <w:p w14:paraId="26E0C60A">
                  <w:pPr>
                    <w:pStyle w:val="21"/>
                    <w:bidi w:val="0"/>
                    <w:rPr>
                      <w:rFonts w:hint="eastAsia"/>
                      <w:color w:val="auto"/>
                      <w:lang w:val="en-US" w:eastAsia="zh-CN"/>
                    </w:rPr>
                  </w:pPr>
                  <w:r>
                    <w:rPr>
                      <w:rFonts w:hint="eastAsia"/>
                      <w:color w:val="auto"/>
                      <w:lang w:val="en-US" w:eastAsia="zh-CN"/>
                    </w:rPr>
                    <w:t>/</w:t>
                  </w:r>
                </w:p>
              </w:tc>
            </w:tr>
          </w:tbl>
          <w:p w14:paraId="06FA3CB9">
            <w:pPr>
              <w:keepNext w:val="0"/>
              <w:keepLines w:val="0"/>
              <w:suppressLineNumbers w:val="0"/>
              <w:spacing w:before="0" w:beforeAutospacing="0" w:after="0" w:afterAutospacing="0"/>
              <w:ind w:left="0" w:right="0" w:firstLine="480"/>
              <w:rPr>
                <w:rFonts w:hint="default" w:ascii="Times New Roman" w:hAnsi="Times New Roman" w:eastAsia="宋体"/>
                <w:color w:val="auto"/>
                <w:sz w:val="22"/>
                <w:szCs w:val="22"/>
                <w:highlight w:val="none"/>
                <w:lang w:val="en-US"/>
              </w:rPr>
            </w:pPr>
            <w:r>
              <w:rPr>
                <w:rFonts w:hint="eastAsia" w:ascii="Times New Roman" w:hAnsi="Times New Roman" w:eastAsia="宋体"/>
                <w:color w:val="auto"/>
                <w:sz w:val="22"/>
                <w:szCs w:val="22"/>
                <w:highlight w:val="none"/>
                <w:lang w:val="en-US"/>
              </w:rPr>
              <w:t>2、项目概况</w:t>
            </w:r>
          </w:p>
          <w:p w14:paraId="48F83409">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sz w:val="22"/>
                <w:szCs w:val="22"/>
                <w:highlight w:val="none"/>
                <w:lang w:val="en-US"/>
              </w:rPr>
              <w:t>项目名称：</w:t>
            </w:r>
            <w:r>
              <w:rPr>
                <w:rFonts w:hint="eastAsia" w:ascii="Times New Roman" w:hAnsi="Times New Roman" w:eastAsia="宋体"/>
                <w:color w:val="auto"/>
                <w:highlight w:val="none"/>
              </w:rPr>
              <w:t>瓶装纯净水生产项目</w:t>
            </w:r>
            <w:r>
              <w:rPr>
                <w:rFonts w:hint="eastAsia" w:ascii="Times New Roman" w:hAnsi="Times New Roman" w:eastAsia="宋体"/>
                <w:color w:val="auto"/>
                <w:highlight w:val="none"/>
                <w:lang w:val="en-US"/>
              </w:rPr>
              <w:t>；</w:t>
            </w:r>
          </w:p>
          <w:p w14:paraId="74F12B4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建设单位：南京恒枫食品有限公司；</w:t>
            </w:r>
          </w:p>
          <w:p w14:paraId="63159C0E">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行业类别：</w:t>
            </w:r>
            <w:r>
              <w:rPr>
                <w:rFonts w:hint="eastAsia"/>
                <w:color w:val="auto"/>
                <w:highlight w:val="none"/>
                <w:lang w:val="en-US" w:eastAsia="zh-CN"/>
              </w:rPr>
              <w:t>C1522</w:t>
            </w:r>
            <w:r>
              <w:rPr>
                <w:rFonts w:hint="eastAsia" w:ascii="Times New Roman" w:hAnsi="Times New Roman" w:eastAsia="宋体"/>
                <w:color w:val="auto"/>
                <w:highlight w:val="none"/>
                <w:lang w:val="en-US"/>
              </w:rPr>
              <w:t>瓶（罐）装饮用水制造；</w:t>
            </w:r>
          </w:p>
          <w:p w14:paraId="4F10A285">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项目性质：</w:t>
            </w:r>
            <w:r>
              <w:rPr>
                <w:rFonts w:hint="eastAsia" w:ascii="Times New Roman" w:hAnsi="Times New Roman" w:eastAsia="宋体"/>
                <w:color w:val="auto"/>
                <w:highlight w:val="none"/>
                <w:lang w:val="en-US" w:eastAsia="zh-CN"/>
              </w:rPr>
              <w:t>扩建</w:t>
            </w:r>
            <w:r>
              <w:rPr>
                <w:rFonts w:hint="eastAsia" w:ascii="Times New Roman" w:hAnsi="Times New Roman" w:eastAsia="宋体"/>
                <w:color w:val="auto"/>
                <w:highlight w:val="none"/>
                <w:lang w:val="en-US"/>
              </w:rPr>
              <w:t>；</w:t>
            </w:r>
          </w:p>
          <w:p w14:paraId="4C37B590">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建设地点：</w:t>
            </w:r>
            <w:r>
              <w:rPr>
                <w:rFonts w:hint="default" w:ascii="Times New Roman" w:hAnsi="Times New Roman" w:eastAsia="宋体"/>
                <w:color w:val="auto"/>
                <w:highlight w:val="none"/>
              </w:rPr>
              <w:t>南京江宁区空港工业园东西京路以东、双塘路以南（吴歌路36号）</w:t>
            </w:r>
            <w:r>
              <w:rPr>
                <w:rFonts w:hint="eastAsia" w:ascii="Times New Roman" w:hAnsi="Times New Roman" w:eastAsia="宋体"/>
                <w:color w:val="auto"/>
                <w:highlight w:val="none"/>
                <w:lang w:val="en-US"/>
              </w:rPr>
              <w:t>；</w:t>
            </w:r>
          </w:p>
          <w:p w14:paraId="103D28B6">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投资总额：</w:t>
            </w:r>
            <w:r>
              <w:rPr>
                <w:rFonts w:hint="eastAsia"/>
                <w:color w:val="auto"/>
                <w:highlight w:val="none"/>
                <w:lang w:val="en-US" w:eastAsia="zh-CN"/>
              </w:rPr>
              <w:t>10193.71</w:t>
            </w:r>
            <w:r>
              <w:rPr>
                <w:rFonts w:hint="eastAsia" w:ascii="Times New Roman" w:hAnsi="Times New Roman" w:eastAsia="宋体"/>
                <w:color w:val="auto"/>
                <w:highlight w:val="none"/>
                <w:lang w:val="en-US"/>
              </w:rPr>
              <w:t>万元；</w:t>
            </w:r>
          </w:p>
          <w:p w14:paraId="61103B0F">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建设内容：</w:t>
            </w:r>
            <w:r>
              <w:rPr>
                <w:rFonts w:hint="eastAsia"/>
                <w:color w:val="auto"/>
                <w:sz w:val="24"/>
                <w:szCs w:val="24"/>
                <w:highlight w:val="none"/>
                <w:lang w:val="en-US" w:eastAsia="zh-CN"/>
              </w:rPr>
              <w:t>购置吹瓶机、上盖机等国产设备33台，引进制盖机、瓶胚机等进口设备2套，</w:t>
            </w:r>
            <w:r>
              <w:rPr>
                <w:rFonts w:hint="eastAsia" w:ascii="Times New Roman" w:hAnsi="Times New Roman" w:eastAsia="宋体"/>
                <w:color w:val="auto"/>
                <w:sz w:val="24"/>
                <w:szCs w:val="24"/>
                <w:highlight w:val="none"/>
                <w:lang w:val="en-US"/>
              </w:rPr>
              <w:t>建设</w:t>
            </w:r>
            <w:r>
              <w:rPr>
                <w:rFonts w:hint="eastAsia"/>
                <w:color w:val="auto"/>
                <w:sz w:val="24"/>
                <w:szCs w:val="24"/>
                <w:highlight w:val="none"/>
                <w:lang w:val="en-US" w:eastAsia="zh-CN"/>
              </w:rPr>
              <w:t>1条瓶装纯净水生产线</w:t>
            </w:r>
            <w:r>
              <w:rPr>
                <w:rFonts w:hint="eastAsia" w:ascii="Times New Roman" w:hAnsi="Times New Roman" w:eastAsia="宋体"/>
                <w:color w:val="auto"/>
                <w:sz w:val="24"/>
                <w:szCs w:val="24"/>
                <w:highlight w:val="none"/>
                <w:lang w:val="en-US" w:eastAsia="zh-CN"/>
              </w:rPr>
              <w:t>，</w:t>
            </w:r>
            <w:r>
              <w:rPr>
                <w:rFonts w:hint="eastAsia" w:ascii="Times New Roman" w:hAnsi="Times New Roman" w:eastAsia="宋体"/>
                <w:color w:val="auto"/>
                <w:sz w:val="24"/>
                <w:szCs w:val="24"/>
                <w:highlight w:val="none"/>
                <w:lang w:val="en-US"/>
              </w:rPr>
              <w:t>形成</w:t>
            </w:r>
            <w:r>
              <w:rPr>
                <w:rFonts w:hint="eastAsia"/>
                <w:color w:val="auto"/>
                <w:sz w:val="24"/>
                <w:szCs w:val="24"/>
                <w:highlight w:val="none"/>
                <w:lang w:val="en-US" w:eastAsia="zh-CN"/>
              </w:rPr>
              <w:t>新增</w:t>
            </w:r>
            <w:r>
              <w:rPr>
                <w:rFonts w:hint="eastAsia" w:ascii="Times New Roman" w:hAnsi="Times New Roman" w:eastAsia="宋体"/>
                <w:color w:val="auto"/>
                <w:sz w:val="24"/>
                <w:szCs w:val="24"/>
                <w:highlight w:val="none"/>
                <w:lang w:val="en-US"/>
              </w:rPr>
              <w:t>年产</w:t>
            </w:r>
            <w:r>
              <w:rPr>
                <w:rFonts w:hint="eastAsia"/>
                <w:color w:val="auto"/>
                <w:sz w:val="24"/>
                <w:szCs w:val="24"/>
                <w:highlight w:val="none"/>
                <w:lang w:val="en-US" w:eastAsia="zh-CN"/>
              </w:rPr>
              <w:t>15万吨瓶装纯净水的</w:t>
            </w:r>
            <w:r>
              <w:rPr>
                <w:rFonts w:hint="eastAsia" w:ascii="Times New Roman" w:hAnsi="Times New Roman" w:eastAsia="宋体"/>
                <w:color w:val="auto"/>
                <w:sz w:val="24"/>
                <w:szCs w:val="24"/>
                <w:highlight w:val="none"/>
                <w:lang w:val="en-US"/>
              </w:rPr>
              <w:t>生产能力。</w:t>
            </w:r>
          </w:p>
          <w:p w14:paraId="271FCAE6">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工作制度：本项目年运行300天，</w:t>
            </w:r>
            <w:r>
              <w:rPr>
                <w:rFonts w:hint="eastAsia"/>
                <w:color w:val="auto"/>
                <w:highlight w:val="none"/>
                <w:lang w:val="en-US" w:eastAsia="zh-CN"/>
              </w:rPr>
              <w:t>3</w:t>
            </w:r>
            <w:r>
              <w:rPr>
                <w:rFonts w:hint="eastAsia" w:ascii="Times New Roman" w:hAnsi="Times New Roman" w:eastAsia="宋体"/>
                <w:color w:val="auto"/>
                <w:highlight w:val="none"/>
                <w:lang w:val="en-US"/>
              </w:rPr>
              <w:t>班制，每班工作8小时</w:t>
            </w:r>
            <w:r>
              <w:rPr>
                <w:rFonts w:hint="eastAsia"/>
                <w:color w:val="auto"/>
                <w:highlight w:val="none"/>
                <w:lang w:val="en-US" w:eastAsia="zh-CN"/>
              </w:rPr>
              <w:t>，年工作7200小时</w:t>
            </w:r>
            <w:r>
              <w:rPr>
                <w:rFonts w:hint="eastAsia" w:ascii="Times New Roman" w:hAnsi="Times New Roman" w:eastAsia="宋体"/>
                <w:color w:val="auto"/>
                <w:highlight w:val="none"/>
                <w:lang w:val="en-US"/>
              </w:rPr>
              <w:t>；</w:t>
            </w:r>
          </w:p>
          <w:p w14:paraId="09B7ADED">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劳动定员：本项目</w:t>
            </w:r>
            <w:r>
              <w:rPr>
                <w:rFonts w:hint="eastAsia"/>
                <w:color w:val="auto"/>
                <w:highlight w:val="none"/>
                <w:lang w:val="en-US" w:eastAsia="zh-CN"/>
              </w:rPr>
              <w:t>员工定员4</w:t>
            </w:r>
            <w:r>
              <w:rPr>
                <w:rFonts w:hint="eastAsia" w:ascii="Times New Roman" w:hAnsi="Times New Roman" w:eastAsia="宋体"/>
                <w:color w:val="auto"/>
                <w:highlight w:val="none"/>
                <w:lang w:val="en-US" w:eastAsia="zh-CN"/>
              </w:rPr>
              <w:t>0</w:t>
            </w:r>
            <w:r>
              <w:rPr>
                <w:rFonts w:hint="eastAsia" w:ascii="Times New Roman" w:hAnsi="Times New Roman" w:eastAsia="宋体"/>
                <w:color w:val="auto"/>
                <w:highlight w:val="none"/>
                <w:lang w:val="en-US"/>
              </w:rPr>
              <w:t>人，</w:t>
            </w:r>
            <w:r>
              <w:rPr>
                <w:rFonts w:hint="eastAsia"/>
                <w:color w:val="auto"/>
                <w:highlight w:val="none"/>
                <w:lang w:val="en-US" w:eastAsia="zh-CN"/>
              </w:rPr>
              <w:t>依托租赁厂区现有食堂和倒班宿舍</w:t>
            </w:r>
            <w:r>
              <w:rPr>
                <w:rFonts w:hint="eastAsia" w:ascii="Times New Roman" w:hAnsi="Times New Roman" w:eastAsia="宋体"/>
                <w:color w:val="auto"/>
                <w:highlight w:val="none"/>
                <w:lang w:val="en-US"/>
              </w:rPr>
              <w:t>。</w:t>
            </w:r>
          </w:p>
          <w:p w14:paraId="669824CD">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3、建设内容</w:t>
            </w:r>
          </w:p>
          <w:p w14:paraId="75C8C627">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（1）产品方案</w:t>
            </w:r>
          </w:p>
          <w:p w14:paraId="3266C5C6">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本项目从事</w:t>
            </w:r>
            <w:r>
              <w:rPr>
                <w:rFonts w:hint="eastAsia"/>
                <w:color w:val="auto"/>
                <w:sz w:val="24"/>
                <w:szCs w:val="24"/>
                <w:highlight w:val="none"/>
                <w:lang w:val="en-US" w:eastAsia="zh-CN"/>
              </w:rPr>
              <w:t>瓶装纯净水生产</w:t>
            </w:r>
            <w:r>
              <w:rPr>
                <w:rFonts w:hint="eastAsia" w:ascii="Times New Roman" w:hAnsi="Times New Roman" w:eastAsia="宋体"/>
                <w:color w:val="auto"/>
                <w:highlight w:val="none"/>
                <w:lang w:val="en-US" w:eastAsia="zh-CN"/>
              </w:rPr>
              <w:t>，</w:t>
            </w:r>
            <w:r>
              <w:rPr>
                <w:rFonts w:hint="eastAsia"/>
                <w:color w:val="auto"/>
                <w:highlight w:val="none"/>
                <w:lang w:val="en-US" w:eastAsia="zh-CN"/>
              </w:rPr>
              <w:t>建成后达到年产</w:t>
            </w:r>
            <w:r>
              <w:rPr>
                <w:rFonts w:hint="eastAsia"/>
                <w:color w:val="auto"/>
                <w:sz w:val="24"/>
                <w:szCs w:val="24"/>
                <w:highlight w:val="none"/>
                <w:lang w:val="en-US" w:eastAsia="zh-CN"/>
              </w:rPr>
              <w:t>瓶装纯净水15万吨</w:t>
            </w:r>
            <w:r>
              <w:rPr>
                <w:rFonts w:hint="eastAsia"/>
                <w:color w:val="auto"/>
                <w:highlight w:val="none"/>
                <w:lang w:val="en-US" w:eastAsia="zh-CN"/>
              </w:rPr>
              <w:t>，</w:t>
            </w:r>
            <w:r>
              <w:rPr>
                <w:rFonts w:hint="eastAsia" w:ascii="Times New Roman" w:hAnsi="Times New Roman" w:eastAsia="宋体"/>
                <w:color w:val="auto"/>
                <w:highlight w:val="none"/>
                <w:lang w:val="en-US"/>
              </w:rPr>
              <w:t>具体产品方案见下表：</w:t>
            </w:r>
          </w:p>
          <w:p w14:paraId="2BBDFD4B">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ascii="Times New Roman" w:hAnsi="Times New Roman" w:eastAsia="宋体"/>
                <w:color w:val="auto"/>
                <w:highlight w:val="none"/>
              </w:rPr>
              <w:t>表2-2建设项目产品方案一览表</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270"/>
              <w:gridCol w:w="842"/>
              <w:gridCol w:w="627"/>
              <w:gridCol w:w="781"/>
              <w:gridCol w:w="949"/>
              <w:gridCol w:w="1194"/>
              <w:gridCol w:w="2159"/>
            </w:tblGrid>
            <w:tr w14:paraId="3AC9F6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11" w:type="pct"/>
                  <w:tcBorders>
                    <w:tl2br w:val="nil"/>
                    <w:tr2bl w:val="nil"/>
                  </w:tcBorders>
                  <w:vAlign w:val="center"/>
                </w:tcPr>
                <w:p w14:paraId="32AB0136">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textAlignment w:val="auto"/>
                    <w:rPr>
                      <w:rFonts w:hint="default" w:ascii="Times New Roman" w:hAnsi="Times New Roman" w:eastAsia="宋体"/>
                      <w:b/>
                      <w:bCs/>
                      <w:color w:val="auto"/>
                      <w:highlight w:val="none"/>
                      <w:lang w:val="en-US" w:eastAsia="zh-CN"/>
                    </w:rPr>
                  </w:pPr>
                  <w:r>
                    <w:rPr>
                      <w:rFonts w:hint="eastAsia"/>
                      <w:b/>
                      <w:bCs/>
                      <w:color w:val="auto"/>
                      <w:highlight w:val="none"/>
                      <w:lang w:val="en-US" w:eastAsia="zh-CN"/>
                    </w:rPr>
                    <w:t>生产线名称</w:t>
                  </w:r>
                </w:p>
              </w:tc>
              <w:tc>
                <w:tcPr>
                  <w:tcW w:w="538" w:type="pct"/>
                  <w:tcBorders>
                    <w:tl2br w:val="nil"/>
                    <w:tr2bl w:val="nil"/>
                  </w:tcBorders>
                  <w:vAlign w:val="center"/>
                </w:tcPr>
                <w:p w14:paraId="655A3BB9">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textAlignment w:val="auto"/>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产品名称</w:t>
                  </w:r>
                </w:p>
              </w:tc>
              <w:tc>
                <w:tcPr>
                  <w:tcW w:w="400" w:type="pct"/>
                  <w:tcBorders>
                    <w:tl2br w:val="nil"/>
                    <w:tr2bl w:val="nil"/>
                  </w:tcBorders>
                  <w:vAlign w:val="center"/>
                </w:tcPr>
                <w:p w14:paraId="51B21082">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textAlignment w:val="auto"/>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生产能力</w:t>
                  </w:r>
                </w:p>
              </w:tc>
              <w:tc>
                <w:tcPr>
                  <w:tcW w:w="499" w:type="pct"/>
                  <w:tcBorders>
                    <w:tl2br w:val="nil"/>
                    <w:tr2bl w:val="nil"/>
                  </w:tcBorders>
                  <w:vAlign w:val="center"/>
                </w:tcPr>
                <w:p w14:paraId="37301F12">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textAlignment w:val="auto"/>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单位</w:t>
                  </w:r>
                </w:p>
              </w:tc>
              <w:tc>
                <w:tcPr>
                  <w:tcW w:w="606" w:type="pct"/>
                  <w:tcBorders>
                    <w:tl2br w:val="nil"/>
                    <w:tr2bl w:val="nil"/>
                  </w:tcBorders>
                  <w:vAlign w:val="center"/>
                </w:tcPr>
                <w:p w14:paraId="4C24D931">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textAlignment w:val="auto"/>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设计年生产时间</w:t>
                  </w:r>
                </w:p>
              </w:tc>
              <w:tc>
                <w:tcPr>
                  <w:tcW w:w="763" w:type="pct"/>
                  <w:tcBorders>
                    <w:tl2br w:val="nil"/>
                    <w:tr2bl w:val="nil"/>
                  </w:tcBorders>
                  <w:vAlign w:val="center"/>
                </w:tcPr>
                <w:p w14:paraId="3CAD1CF8">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textAlignment w:val="auto"/>
                    <w:rPr>
                      <w:rFonts w:hint="eastAsia" w:ascii="Times New Roman" w:hAnsi="Times New Roman" w:eastAsia="宋体"/>
                      <w:b/>
                      <w:bCs/>
                      <w:color w:val="auto"/>
                      <w:highlight w:val="none"/>
                      <w:lang w:eastAsia="zh-CN"/>
                    </w:rPr>
                  </w:pPr>
                  <w:r>
                    <w:rPr>
                      <w:rFonts w:hint="default" w:ascii="Times New Roman" w:hAnsi="Times New Roman" w:eastAsia="宋体"/>
                      <w:b/>
                      <w:bCs/>
                      <w:color w:val="auto"/>
                      <w:highlight w:val="none"/>
                    </w:rPr>
                    <w:t>产品</w:t>
                  </w:r>
                  <w:r>
                    <w:rPr>
                      <w:rFonts w:hint="eastAsia" w:ascii="Times New Roman" w:hAnsi="Times New Roman" w:eastAsia="宋体"/>
                      <w:b/>
                      <w:bCs/>
                      <w:color w:val="auto"/>
                      <w:highlight w:val="none"/>
                      <w:lang w:val="en-US" w:eastAsia="zh-CN"/>
                    </w:rPr>
                    <w:t>规格（mm）</w:t>
                  </w:r>
                </w:p>
              </w:tc>
              <w:tc>
                <w:tcPr>
                  <w:tcW w:w="1380" w:type="pct"/>
                  <w:tcBorders>
                    <w:tl2br w:val="nil"/>
                    <w:tr2bl w:val="nil"/>
                  </w:tcBorders>
                  <w:vAlign w:val="center"/>
                </w:tcPr>
                <w:p w14:paraId="0F7E73D8">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textAlignment w:val="auto"/>
                    <w:rPr>
                      <w:rFonts w:hint="default" w:ascii="Times New Roman" w:hAnsi="Times New Roman" w:eastAsia="宋体"/>
                      <w:b/>
                      <w:bCs/>
                      <w:color w:val="auto"/>
                      <w:highlight w:val="none"/>
                      <w:lang w:val="en-US" w:eastAsia="zh-CN"/>
                    </w:rPr>
                  </w:pPr>
                  <w:r>
                    <w:rPr>
                      <w:rFonts w:hint="eastAsia"/>
                      <w:b/>
                      <w:bCs/>
                      <w:color w:val="auto"/>
                      <w:highlight w:val="none"/>
                      <w:lang w:val="en-US" w:eastAsia="zh-CN"/>
                    </w:rPr>
                    <w:t>产品照片</w:t>
                  </w:r>
                </w:p>
              </w:tc>
            </w:tr>
            <w:tr w14:paraId="560AF2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11" w:type="pct"/>
                  <w:tcBorders>
                    <w:tl2br w:val="nil"/>
                    <w:tr2bl w:val="nil"/>
                  </w:tcBorders>
                  <w:vAlign w:val="center"/>
                </w:tcPr>
                <w:p w14:paraId="3DE91B0F">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textAlignment w:val="auto"/>
                    <w:rPr>
                      <w:rFonts w:hint="default" w:ascii="Times New Roman" w:hAnsi="Times New Roman" w:eastAsia="宋体"/>
                      <w:color w:val="auto"/>
                      <w:highlight w:val="none"/>
                      <w:lang w:val="en-US"/>
                    </w:rPr>
                  </w:pPr>
                  <w:r>
                    <w:rPr>
                      <w:rFonts w:hint="eastAsia"/>
                      <w:color w:val="auto"/>
                      <w:highlight w:val="none"/>
                      <w:lang w:val="en-US" w:eastAsia="zh-CN"/>
                    </w:rPr>
                    <w:t>瓶装饮用水生产线</w:t>
                  </w:r>
                </w:p>
              </w:tc>
              <w:tc>
                <w:tcPr>
                  <w:tcW w:w="538" w:type="pct"/>
                  <w:tcBorders>
                    <w:tl2br w:val="nil"/>
                    <w:tr2bl w:val="nil"/>
                  </w:tcBorders>
                  <w:vAlign w:val="center"/>
                </w:tcPr>
                <w:p w14:paraId="32BFD93B">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textAlignment w:val="auto"/>
                    <w:rPr>
                      <w:rFonts w:hint="default" w:ascii="Times New Roman" w:hAnsi="Times New Roman" w:eastAsia="宋体"/>
                      <w:color w:val="auto"/>
                      <w:highlight w:val="none"/>
                      <w:lang w:val="en-US" w:eastAsia="zh-CN"/>
                    </w:rPr>
                  </w:pPr>
                  <w:r>
                    <w:rPr>
                      <w:rFonts w:hint="eastAsia"/>
                      <w:color w:val="auto"/>
                      <w:highlight w:val="none"/>
                      <w:lang w:val="en-US" w:eastAsia="zh-CN"/>
                    </w:rPr>
                    <w:t>瓶装饮用水</w:t>
                  </w:r>
                </w:p>
              </w:tc>
              <w:tc>
                <w:tcPr>
                  <w:tcW w:w="400" w:type="pct"/>
                  <w:tcBorders>
                    <w:tl2br w:val="nil"/>
                    <w:tr2bl w:val="nil"/>
                  </w:tcBorders>
                  <w:vAlign w:val="center"/>
                </w:tcPr>
                <w:p w14:paraId="56C9CEEC">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15</w:t>
                  </w:r>
                </w:p>
              </w:tc>
              <w:tc>
                <w:tcPr>
                  <w:tcW w:w="499" w:type="pct"/>
                  <w:tcBorders>
                    <w:tl2br w:val="nil"/>
                    <w:tr2bl w:val="nil"/>
                  </w:tcBorders>
                  <w:vAlign w:val="center"/>
                </w:tcPr>
                <w:p w14:paraId="08ED6CF5">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textAlignment w:val="auto"/>
                    <w:rPr>
                      <w:rFonts w:hint="default" w:ascii="Times New Roman" w:hAnsi="Times New Roman" w:eastAsia="宋体"/>
                      <w:color w:val="auto"/>
                      <w:highlight w:val="none"/>
                      <w:lang w:val="en-US" w:eastAsia="zh-CN"/>
                    </w:rPr>
                  </w:pPr>
                  <w:r>
                    <w:rPr>
                      <w:rFonts w:hint="eastAsia"/>
                      <w:color w:val="auto"/>
                      <w:highlight w:val="none"/>
                      <w:lang w:val="en-US" w:eastAsia="zh-CN"/>
                    </w:rPr>
                    <w:t>万吨/年</w:t>
                  </w:r>
                </w:p>
              </w:tc>
              <w:tc>
                <w:tcPr>
                  <w:tcW w:w="606" w:type="pct"/>
                  <w:tcBorders>
                    <w:tl2br w:val="nil"/>
                    <w:tr2bl w:val="nil"/>
                  </w:tcBorders>
                  <w:vAlign w:val="center"/>
                </w:tcPr>
                <w:p w14:paraId="17799C4B">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textAlignment w:val="auto"/>
                    <w:rPr>
                      <w:rFonts w:hint="default" w:ascii="Times New Roman" w:hAnsi="Times New Roman" w:eastAsia="宋体"/>
                      <w:color w:val="auto"/>
                      <w:highlight w:val="none"/>
                    </w:rPr>
                  </w:pPr>
                  <w:r>
                    <w:rPr>
                      <w:rFonts w:hint="eastAsia"/>
                      <w:color w:val="auto"/>
                      <w:highlight w:val="none"/>
                      <w:lang w:val="en-US" w:eastAsia="zh-CN"/>
                    </w:rPr>
                    <w:t>72</w:t>
                  </w:r>
                  <w:r>
                    <w:rPr>
                      <w:rFonts w:hint="default" w:ascii="Times New Roman" w:hAnsi="Times New Roman" w:eastAsia="宋体"/>
                      <w:color w:val="auto"/>
                      <w:highlight w:val="none"/>
                    </w:rPr>
                    <w:t>00</w:t>
                  </w:r>
                  <w:r>
                    <w:rPr>
                      <w:rFonts w:hint="eastAsia" w:ascii="Times New Roman" w:hAnsi="Times New Roman" w:eastAsia="宋体"/>
                      <w:color w:val="auto"/>
                      <w:highlight w:val="none"/>
                    </w:rPr>
                    <w:t>h</w:t>
                  </w:r>
                </w:p>
              </w:tc>
              <w:tc>
                <w:tcPr>
                  <w:tcW w:w="763" w:type="pct"/>
                  <w:tcBorders>
                    <w:tl2br w:val="nil"/>
                    <w:tr2bl w:val="nil"/>
                  </w:tcBorders>
                  <w:vAlign w:val="center"/>
                </w:tcPr>
                <w:p w14:paraId="2F6D9FF2">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textAlignment w:val="auto"/>
                    <w:rPr>
                      <w:rFonts w:hint="default" w:ascii="Times New Roman" w:hAnsi="Times New Roman" w:eastAsia="宋体"/>
                      <w:color w:val="auto"/>
                      <w:sz w:val="21"/>
                      <w:highlight w:val="none"/>
                      <w:lang w:val="en-US" w:eastAsia="zh-CN"/>
                    </w:rPr>
                  </w:pPr>
                  <w:r>
                    <w:rPr>
                      <w:rFonts w:hint="eastAsia"/>
                      <w:color w:val="auto"/>
                      <w:sz w:val="21"/>
                      <w:highlight w:val="none"/>
                      <w:lang w:val="en-US" w:eastAsia="zh-CN"/>
                    </w:rPr>
                    <w:t>600mL/瓶</w:t>
                  </w:r>
                </w:p>
              </w:tc>
              <w:tc>
                <w:tcPr>
                  <w:tcW w:w="1380" w:type="pct"/>
                  <w:tcBorders>
                    <w:tl2br w:val="nil"/>
                    <w:tr2bl w:val="nil"/>
                  </w:tcBorders>
                  <w:vAlign w:val="center"/>
                </w:tcPr>
                <w:p w14:paraId="3F3052A2">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textAlignment w:val="auto"/>
                    <w:rPr>
                      <w:rFonts w:hint="eastAsia"/>
                      <w:color w:val="auto"/>
                      <w:sz w:val="21"/>
                      <w:highlight w:val="none"/>
                      <w:lang w:val="en-US" w:eastAsia="zh-CN"/>
                    </w:rPr>
                  </w:pPr>
                  <w:r>
                    <w:rPr>
                      <w:rFonts w:hint="eastAsia" w:ascii="Times New Roman" w:hAnsi="Times New Roman" w:eastAsia="宋体"/>
                      <w:color w:val="auto"/>
                      <w:highlight w:val="none"/>
                      <w:lang w:val="en-US" w:eastAsia="zh-CN"/>
                    </w:rPr>
                    <w:drawing>
                      <wp:inline distT="0" distB="0" distL="114300" distR="114300">
                        <wp:extent cx="664210" cy="1384300"/>
                        <wp:effectExtent l="0" t="0" r="6350" b="2540"/>
                        <wp:docPr id="6" name="图片 6" descr="1742433357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742433357626"/>
                                <pic:cNvPicPr>
                                  <a:picLocks noChangeAspect="1"/>
                                </pic:cNvPicPr>
                              </pic:nvPicPr>
                              <pic:blipFill>
                                <a:blip r:embed="rId15"/>
                                <a:stretch>
                                  <a:fillRect/>
                                </a:stretch>
                              </pic:blipFill>
                              <pic:spPr>
                                <a:xfrm rot="5400000">
                                  <a:off x="0" y="0"/>
                                  <a:ext cx="664210" cy="1384300"/>
                                </a:xfrm>
                                <a:prstGeom prst="rect">
                                  <a:avLst/>
                                </a:prstGeom>
                              </pic:spPr>
                            </pic:pic>
                          </a:graphicData>
                        </a:graphic>
                      </wp:inline>
                    </w:drawing>
                  </w:r>
                </w:p>
              </w:tc>
            </w:tr>
          </w:tbl>
          <w:p w14:paraId="7CA24C7D">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（2）项目组成</w:t>
            </w:r>
          </w:p>
          <w:p w14:paraId="795D6459">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建设项目主要工程组成见下表：</w:t>
            </w:r>
          </w:p>
          <w:p w14:paraId="0EDF9DCD">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ascii="Times New Roman" w:hAnsi="Times New Roman" w:eastAsia="宋体"/>
                <w:color w:val="auto"/>
                <w:highlight w:val="none"/>
              </w:rPr>
              <w:t>表2-</w:t>
            </w:r>
            <w:r>
              <w:rPr>
                <w:rFonts w:hint="eastAsia"/>
                <w:color w:val="auto"/>
                <w:highlight w:val="none"/>
                <w:lang w:val="en-US" w:eastAsia="zh-CN"/>
              </w:rPr>
              <w:t>4</w:t>
            </w:r>
            <w:r>
              <w:rPr>
                <w:rFonts w:ascii="Times New Roman" w:hAnsi="Times New Roman" w:eastAsia="宋体"/>
                <w:color w:val="auto"/>
                <w:highlight w:val="none"/>
              </w:rPr>
              <w:t>建设项目</w:t>
            </w:r>
            <w:r>
              <w:rPr>
                <w:rFonts w:hint="eastAsia" w:ascii="Times New Roman" w:hAnsi="Times New Roman" w:eastAsia="宋体"/>
                <w:color w:val="auto"/>
                <w:highlight w:val="none"/>
                <w:lang w:val="en-US" w:eastAsia="zh-CN"/>
              </w:rPr>
              <w:t>工程内容</w:t>
            </w:r>
            <w:r>
              <w:rPr>
                <w:rFonts w:ascii="Times New Roman" w:hAnsi="Times New Roman" w:eastAsia="宋体"/>
                <w:color w:val="auto"/>
                <w:highlight w:val="none"/>
              </w:rPr>
              <w:t>一览表</w:t>
            </w:r>
          </w:p>
          <w:tbl>
            <w:tblPr>
              <w:tblStyle w:val="16"/>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Layout w:type="fixed"/>
              <w:tblCellMar>
                <w:top w:w="0" w:type="dxa"/>
                <w:left w:w="0" w:type="dxa"/>
                <w:bottom w:w="0" w:type="dxa"/>
                <w:right w:w="0" w:type="dxa"/>
              </w:tblCellMar>
            </w:tblPr>
            <w:tblGrid>
              <w:gridCol w:w="629"/>
              <w:gridCol w:w="437"/>
              <w:gridCol w:w="1420"/>
              <w:gridCol w:w="3040"/>
              <w:gridCol w:w="2295"/>
            </w:tblGrid>
            <w:tr w14:paraId="2C05A8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tblHeader/>
                <w:jc w:val="center"/>
              </w:trPr>
              <w:tc>
                <w:tcPr>
                  <w:tcW w:w="629" w:type="dxa"/>
                  <w:tcBorders>
                    <w:tl2br w:val="nil"/>
                    <w:tr2bl w:val="nil"/>
                  </w:tcBorders>
                  <w:shd w:val="clear" w:color="auto" w:fill="FFFFFF"/>
                  <w:vAlign w:val="center"/>
                </w:tcPr>
                <w:p w14:paraId="33B57181">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rPr>
                    <w:t>工程</w:t>
                  </w:r>
                </w:p>
                <w:p w14:paraId="52D025E6">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rPr>
                    <w:t>类别</w:t>
                  </w:r>
                </w:p>
              </w:tc>
              <w:tc>
                <w:tcPr>
                  <w:tcW w:w="1857" w:type="dxa"/>
                  <w:gridSpan w:val="2"/>
                  <w:tcBorders>
                    <w:tl2br w:val="nil"/>
                    <w:tr2bl w:val="nil"/>
                  </w:tcBorders>
                  <w:shd w:val="clear" w:color="auto" w:fill="FFFFFF"/>
                  <w:vAlign w:val="center"/>
                </w:tcPr>
                <w:p w14:paraId="164ABFB3">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b/>
                      <w:bCs/>
                      <w:color w:val="auto"/>
                      <w:highlight w:val="none"/>
                      <w:lang w:val="en-US"/>
                    </w:rPr>
                  </w:pPr>
                  <w:r>
                    <w:rPr>
                      <w:rFonts w:hint="eastAsia" w:ascii="Times New Roman" w:hAnsi="Times New Roman" w:eastAsia="宋体"/>
                      <w:b/>
                      <w:bCs/>
                      <w:color w:val="auto"/>
                      <w:highlight w:val="none"/>
                      <w:lang w:val="en-US" w:eastAsia="zh-CN"/>
                    </w:rPr>
                    <w:t>工程</w:t>
                  </w:r>
                  <w:r>
                    <w:rPr>
                      <w:rFonts w:hint="eastAsia" w:ascii="Times New Roman" w:hAnsi="Times New Roman" w:eastAsia="宋体"/>
                      <w:b/>
                      <w:bCs/>
                      <w:color w:val="auto"/>
                      <w:highlight w:val="none"/>
                      <w:lang w:val="en-US"/>
                    </w:rPr>
                    <w:t>名称</w:t>
                  </w:r>
                </w:p>
              </w:tc>
              <w:tc>
                <w:tcPr>
                  <w:tcW w:w="3040" w:type="dxa"/>
                  <w:tcBorders>
                    <w:tl2br w:val="nil"/>
                    <w:tr2bl w:val="nil"/>
                  </w:tcBorders>
                  <w:shd w:val="clear" w:color="auto" w:fill="FFFFFF"/>
                  <w:vAlign w:val="center"/>
                </w:tcPr>
                <w:p w14:paraId="17587D94">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b/>
                      <w:bCs/>
                      <w:color w:val="auto"/>
                      <w:highlight w:val="none"/>
                    </w:rPr>
                  </w:pPr>
                  <w:r>
                    <w:rPr>
                      <w:rFonts w:hint="eastAsia" w:ascii="Times New Roman" w:hAnsi="Times New Roman" w:eastAsia="宋体"/>
                      <w:b/>
                      <w:bCs/>
                      <w:color w:val="auto"/>
                      <w:highlight w:val="none"/>
                    </w:rPr>
                    <w:t>设计能力/设计规模</w:t>
                  </w:r>
                </w:p>
              </w:tc>
              <w:tc>
                <w:tcPr>
                  <w:tcW w:w="2295" w:type="dxa"/>
                  <w:tcBorders>
                    <w:tl2br w:val="nil"/>
                    <w:tr2bl w:val="nil"/>
                  </w:tcBorders>
                  <w:shd w:val="clear" w:color="auto" w:fill="FFFFFF"/>
                  <w:vAlign w:val="center"/>
                </w:tcPr>
                <w:p w14:paraId="087FDB1D">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rPr>
                    <w:t>备注</w:t>
                  </w:r>
                </w:p>
              </w:tc>
            </w:tr>
            <w:tr w14:paraId="46B0A0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9" w:type="dxa"/>
                  <w:tcBorders>
                    <w:tl2br w:val="nil"/>
                    <w:tr2bl w:val="nil"/>
                  </w:tcBorders>
                  <w:shd w:val="clear" w:color="auto" w:fill="FFFFFF"/>
                  <w:vAlign w:val="center"/>
                </w:tcPr>
                <w:p w14:paraId="70155CDE">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主体工程</w:t>
                  </w:r>
                </w:p>
              </w:tc>
              <w:tc>
                <w:tcPr>
                  <w:tcW w:w="1857" w:type="dxa"/>
                  <w:gridSpan w:val="2"/>
                  <w:tcBorders>
                    <w:tl2br w:val="nil"/>
                    <w:tr2bl w:val="nil"/>
                  </w:tcBorders>
                  <w:shd w:val="clear" w:color="auto" w:fill="FFFFFF"/>
                  <w:vAlign w:val="center"/>
                </w:tcPr>
                <w:p w14:paraId="7E98AFE0">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rPr>
                  </w:pPr>
                  <w:r>
                    <w:rPr>
                      <w:rFonts w:hint="eastAsia"/>
                      <w:color w:val="auto"/>
                      <w:highlight w:val="none"/>
                      <w:lang w:val="en-US" w:eastAsia="zh-CN"/>
                    </w:rPr>
                    <w:t>瓶装饮用水生产线</w:t>
                  </w:r>
                </w:p>
              </w:tc>
              <w:tc>
                <w:tcPr>
                  <w:tcW w:w="3040" w:type="dxa"/>
                  <w:tcBorders>
                    <w:tl2br w:val="nil"/>
                    <w:tr2bl w:val="nil"/>
                  </w:tcBorders>
                  <w:shd w:val="clear" w:color="auto" w:fill="FFFFFF"/>
                  <w:vAlign w:val="center"/>
                </w:tcPr>
                <w:p w14:paraId="7BF292B9">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lang w:val="en-US" w:eastAsia="zh-CN"/>
                    </w:rPr>
                  </w:pPr>
                  <w:r>
                    <w:rPr>
                      <w:rFonts w:hint="eastAsia"/>
                      <w:color w:val="auto"/>
                      <w:highlight w:val="none"/>
                      <w:lang w:val="en-US" w:eastAsia="zh-CN"/>
                    </w:rPr>
                    <w:t>年产瓶装饮用水15万吨</w:t>
                  </w:r>
                </w:p>
              </w:tc>
              <w:tc>
                <w:tcPr>
                  <w:tcW w:w="2295" w:type="dxa"/>
                  <w:tcBorders>
                    <w:tl2br w:val="nil"/>
                    <w:tr2bl w:val="nil"/>
                  </w:tcBorders>
                  <w:shd w:val="clear" w:color="auto" w:fill="FFFFFF"/>
                  <w:vAlign w:val="center"/>
                </w:tcPr>
                <w:p w14:paraId="6C3F7017">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含灌装生产线和纯净水制备生产线，分别位于1#厂房和纯水车间</w:t>
                  </w:r>
                </w:p>
              </w:tc>
            </w:tr>
            <w:tr w14:paraId="36A919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9" w:type="dxa"/>
                  <w:vMerge w:val="restart"/>
                  <w:tcBorders>
                    <w:tl2br w:val="nil"/>
                    <w:tr2bl w:val="nil"/>
                  </w:tcBorders>
                  <w:shd w:val="clear" w:color="auto" w:fill="FFFFFF"/>
                  <w:vAlign w:val="center"/>
                </w:tcPr>
                <w:p w14:paraId="19E41240">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辅助</w:t>
                  </w:r>
                </w:p>
                <w:p w14:paraId="5D9CCDFB">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工程</w:t>
                  </w:r>
                </w:p>
              </w:tc>
              <w:tc>
                <w:tcPr>
                  <w:tcW w:w="1857" w:type="dxa"/>
                  <w:gridSpan w:val="2"/>
                  <w:tcBorders>
                    <w:tl2br w:val="nil"/>
                    <w:tr2bl w:val="nil"/>
                  </w:tcBorders>
                  <w:shd w:val="clear" w:color="auto" w:fill="FFFFFF"/>
                  <w:vAlign w:val="center"/>
                </w:tcPr>
                <w:p w14:paraId="639700E1">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lang w:val="en-US" w:eastAsia="zh-CN"/>
                    </w:rPr>
                  </w:pPr>
                  <w:r>
                    <w:rPr>
                      <w:rFonts w:hint="eastAsia"/>
                      <w:color w:val="auto"/>
                      <w:highlight w:val="none"/>
                      <w:lang w:val="en-US" w:eastAsia="zh-CN"/>
                    </w:rPr>
                    <w:t>办公区域</w:t>
                  </w:r>
                </w:p>
              </w:tc>
              <w:tc>
                <w:tcPr>
                  <w:tcW w:w="3040" w:type="dxa"/>
                  <w:tcBorders>
                    <w:tl2br w:val="nil"/>
                    <w:tr2bl w:val="nil"/>
                  </w:tcBorders>
                  <w:shd w:val="clear" w:color="auto" w:fill="FFFFFF"/>
                  <w:vAlign w:val="center"/>
                </w:tcPr>
                <w:p w14:paraId="69693971">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lang w:val="en-US"/>
                    </w:rPr>
                  </w:pPr>
                  <w:r>
                    <w:rPr>
                      <w:rFonts w:hint="eastAsia"/>
                      <w:color w:val="auto"/>
                      <w:highlight w:val="none"/>
                      <w:lang w:val="en-US" w:eastAsia="zh-CN"/>
                    </w:rPr>
                    <w:t>依托租赁厂区办公楼</w:t>
                  </w:r>
                </w:p>
              </w:tc>
              <w:tc>
                <w:tcPr>
                  <w:tcW w:w="2295" w:type="dxa"/>
                  <w:tcBorders>
                    <w:tl2br w:val="nil"/>
                    <w:tr2bl w:val="nil"/>
                  </w:tcBorders>
                  <w:shd w:val="clear" w:color="auto" w:fill="FFFFFF"/>
                  <w:vAlign w:val="center"/>
                </w:tcPr>
                <w:p w14:paraId="66F35D1D">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位于厂区</w:t>
                  </w:r>
                  <w:r>
                    <w:rPr>
                      <w:rFonts w:hint="eastAsia"/>
                      <w:color w:val="auto"/>
                      <w:highlight w:val="none"/>
                      <w:lang w:val="en-US" w:eastAsia="zh-CN"/>
                    </w:rPr>
                    <w:t>东北</w:t>
                  </w:r>
                  <w:r>
                    <w:rPr>
                      <w:rFonts w:hint="eastAsia" w:ascii="Times New Roman" w:hAnsi="Times New Roman" w:eastAsia="宋体"/>
                      <w:color w:val="auto"/>
                      <w:highlight w:val="none"/>
                      <w:lang w:val="en-US" w:eastAsia="zh-CN"/>
                    </w:rPr>
                    <w:t>侧</w:t>
                  </w:r>
                </w:p>
              </w:tc>
            </w:tr>
            <w:tr w14:paraId="11B122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9" w:type="dxa"/>
                  <w:vMerge w:val="continue"/>
                  <w:tcBorders>
                    <w:tl2br w:val="nil"/>
                    <w:tr2bl w:val="nil"/>
                  </w:tcBorders>
                  <w:shd w:val="clear" w:color="auto" w:fill="FFFFFF"/>
                  <w:vAlign w:val="center"/>
                </w:tcPr>
                <w:p w14:paraId="1EF6C6D2">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rPr>
                  </w:pPr>
                </w:p>
              </w:tc>
              <w:tc>
                <w:tcPr>
                  <w:tcW w:w="1857" w:type="dxa"/>
                  <w:gridSpan w:val="2"/>
                  <w:tcBorders>
                    <w:tl2br w:val="nil"/>
                    <w:tr2bl w:val="nil"/>
                  </w:tcBorders>
                  <w:shd w:val="clear" w:color="auto" w:fill="FFFFFF"/>
                  <w:vAlign w:val="center"/>
                </w:tcPr>
                <w:p w14:paraId="49776075">
                  <w:pPr>
                    <w:pStyle w:val="21"/>
                    <w:keepNext w:val="0"/>
                    <w:keepLines w:val="0"/>
                    <w:suppressLineNumbers w:val="0"/>
                    <w:autoSpaceDE/>
                    <w:autoSpaceDN/>
                    <w:spacing w:before="0" w:beforeAutospacing="0" w:after="0" w:afterAutospacing="0" w:line="240" w:lineRule="exact"/>
                    <w:ind w:left="0" w:right="0"/>
                    <w:rPr>
                      <w:rFonts w:hint="default"/>
                      <w:color w:val="auto"/>
                      <w:highlight w:val="none"/>
                      <w:lang w:val="en-US" w:eastAsia="zh-CN"/>
                    </w:rPr>
                  </w:pPr>
                  <w:r>
                    <w:rPr>
                      <w:rFonts w:hint="eastAsia"/>
                      <w:color w:val="auto"/>
                      <w:highlight w:val="none"/>
                      <w:lang w:val="en-US" w:eastAsia="zh-CN"/>
                    </w:rPr>
                    <w:t>食堂</w:t>
                  </w:r>
                </w:p>
              </w:tc>
              <w:tc>
                <w:tcPr>
                  <w:tcW w:w="3040" w:type="dxa"/>
                  <w:tcBorders>
                    <w:tl2br w:val="nil"/>
                    <w:tr2bl w:val="nil"/>
                  </w:tcBorders>
                  <w:shd w:val="clear" w:color="auto" w:fill="FFFFFF"/>
                  <w:vAlign w:val="center"/>
                </w:tcPr>
                <w:p w14:paraId="57A5DED2">
                  <w:pPr>
                    <w:pStyle w:val="21"/>
                    <w:keepNext w:val="0"/>
                    <w:keepLines w:val="0"/>
                    <w:suppressLineNumbers w:val="0"/>
                    <w:autoSpaceDE/>
                    <w:autoSpaceDN/>
                    <w:spacing w:before="0" w:beforeAutospacing="0" w:after="0" w:afterAutospacing="0" w:line="240" w:lineRule="exact"/>
                    <w:ind w:left="0" w:right="0"/>
                    <w:rPr>
                      <w:rFonts w:hint="default"/>
                      <w:color w:val="auto"/>
                      <w:highlight w:val="none"/>
                      <w:lang w:val="en-US" w:eastAsia="zh-CN"/>
                    </w:rPr>
                  </w:pPr>
                  <w:r>
                    <w:rPr>
                      <w:rFonts w:hint="eastAsia"/>
                      <w:color w:val="auto"/>
                      <w:highlight w:val="none"/>
                      <w:lang w:val="en-US" w:eastAsia="zh-CN"/>
                    </w:rPr>
                    <w:t>依托租赁厂区现有食堂</w:t>
                  </w:r>
                </w:p>
              </w:tc>
              <w:tc>
                <w:tcPr>
                  <w:tcW w:w="2295" w:type="dxa"/>
                  <w:tcBorders>
                    <w:tl2br w:val="nil"/>
                    <w:tr2bl w:val="nil"/>
                  </w:tcBorders>
                  <w:shd w:val="clear" w:color="auto" w:fill="FFFFFF"/>
                  <w:vAlign w:val="center"/>
                </w:tcPr>
                <w:p w14:paraId="311C630A">
                  <w:pPr>
                    <w:pStyle w:val="21"/>
                    <w:keepNext w:val="0"/>
                    <w:keepLines w:val="0"/>
                    <w:suppressLineNumbers w:val="0"/>
                    <w:autoSpaceDE/>
                    <w:autoSpaceDN/>
                    <w:spacing w:before="0" w:beforeAutospacing="0" w:after="0" w:afterAutospacing="0" w:line="240" w:lineRule="exact"/>
                    <w:ind w:left="0" w:right="0"/>
                    <w:jc w:val="center"/>
                    <w:rPr>
                      <w:rFonts w:hint="default" w:ascii="Times New Roman" w:hAnsi="Times New Roman" w:eastAsia="宋体"/>
                      <w:color w:val="auto"/>
                      <w:highlight w:val="none"/>
                      <w:lang w:val="en-US" w:eastAsia="zh-CN"/>
                    </w:rPr>
                  </w:pPr>
                  <w:r>
                    <w:rPr>
                      <w:rFonts w:hint="eastAsia"/>
                      <w:color w:val="auto"/>
                      <w:highlight w:val="none"/>
                      <w:lang w:val="en-US" w:eastAsia="zh-CN"/>
                    </w:rPr>
                    <w:t>位于办公楼内</w:t>
                  </w:r>
                </w:p>
              </w:tc>
            </w:tr>
            <w:tr w14:paraId="5801F8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9" w:type="dxa"/>
                  <w:vMerge w:val="continue"/>
                  <w:tcBorders>
                    <w:tl2br w:val="nil"/>
                    <w:tr2bl w:val="nil"/>
                  </w:tcBorders>
                  <w:shd w:val="clear" w:color="auto" w:fill="FFFFFF"/>
                  <w:vAlign w:val="center"/>
                </w:tcPr>
                <w:p w14:paraId="31C5DC45">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rPr>
                  </w:pPr>
                </w:p>
              </w:tc>
              <w:tc>
                <w:tcPr>
                  <w:tcW w:w="1857" w:type="dxa"/>
                  <w:gridSpan w:val="2"/>
                  <w:tcBorders>
                    <w:tl2br w:val="nil"/>
                    <w:tr2bl w:val="nil"/>
                  </w:tcBorders>
                  <w:shd w:val="clear" w:color="auto" w:fill="FFFFFF"/>
                  <w:vAlign w:val="center"/>
                </w:tcPr>
                <w:p w14:paraId="5E39CAE0">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倒班宿舍</w:t>
                  </w:r>
                </w:p>
              </w:tc>
              <w:tc>
                <w:tcPr>
                  <w:tcW w:w="3040" w:type="dxa"/>
                  <w:tcBorders>
                    <w:tl2br w:val="nil"/>
                    <w:tr2bl w:val="nil"/>
                  </w:tcBorders>
                  <w:shd w:val="clear" w:color="auto" w:fill="FFFFFF"/>
                  <w:vAlign w:val="center"/>
                </w:tcPr>
                <w:p w14:paraId="74A94650">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rPr>
                  </w:pPr>
                  <w:r>
                    <w:rPr>
                      <w:rFonts w:hint="eastAsia"/>
                      <w:color w:val="auto"/>
                      <w:highlight w:val="none"/>
                      <w:lang w:val="en-US" w:eastAsia="zh-CN"/>
                    </w:rPr>
                    <w:t>依托租赁厂区现有倒班宿舍</w:t>
                  </w:r>
                </w:p>
              </w:tc>
              <w:tc>
                <w:tcPr>
                  <w:tcW w:w="2295" w:type="dxa"/>
                  <w:tcBorders>
                    <w:tl2br w:val="nil"/>
                    <w:tr2bl w:val="nil"/>
                  </w:tcBorders>
                  <w:shd w:val="clear" w:color="auto" w:fill="FFFFFF"/>
                  <w:vAlign w:val="center"/>
                </w:tcPr>
                <w:p w14:paraId="3B6F9B27">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位于厂区</w:t>
                  </w:r>
                  <w:r>
                    <w:rPr>
                      <w:rFonts w:hint="eastAsia"/>
                      <w:color w:val="auto"/>
                      <w:highlight w:val="none"/>
                      <w:lang w:val="en-US" w:eastAsia="zh-CN"/>
                    </w:rPr>
                    <w:t>东北</w:t>
                  </w:r>
                  <w:r>
                    <w:rPr>
                      <w:rFonts w:hint="eastAsia" w:ascii="Times New Roman" w:hAnsi="Times New Roman" w:eastAsia="宋体"/>
                      <w:color w:val="auto"/>
                      <w:highlight w:val="none"/>
                      <w:lang w:val="en-US" w:eastAsia="zh-CN"/>
                    </w:rPr>
                    <w:t>侧</w:t>
                  </w:r>
                  <w:r>
                    <w:rPr>
                      <w:rFonts w:hint="eastAsia"/>
                      <w:color w:val="auto"/>
                      <w:highlight w:val="none"/>
                      <w:lang w:val="en-US" w:eastAsia="zh-CN"/>
                    </w:rPr>
                    <w:t>综合楼</w:t>
                  </w:r>
                </w:p>
              </w:tc>
            </w:tr>
            <w:tr w14:paraId="1C45CE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9" w:type="dxa"/>
                  <w:vMerge w:val="restart"/>
                  <w:tcBorders>
                    <w:tl2br w:val="nil"/>
                    <w:tr2bl w:val="nil"/>
                  </w:tcBorders>
                  <w:shd w:val="clear" w:color="auto" w:fill="FFFFFF"/>
                  <w:vAlign w:val="center"/>
                </w:tcPr>
                <w:p w14:paraId="103DF7A0">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储运工程</w:t>
                  </w:r>
                </w:p>
              </w:tc>
              <w:tc>
                <w:tcPr>
                  <w:tcW w:w="437" w:type="dxa"/>
                  <w:vMerge w:val="restart"/>
                  <w:tcBorders>
                    <w:tl2br w:val="nil"/>
                    <w:tr2bl w:val="nil"/>
                  </w:tcBorders>
                  <w:shd w:val="clear" w:color="auto" w:fill="FFFFFF"/>
                  <w:vAlign w:val="center"/>
                </w:tcPr>
                <w:p w14:paraId="30F03B96">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原料储存</w:t>
                  </w:r>
                </w:p>
              </w:tc>
              <w:tc>
                <w:tcPr>
                  <w:tcW w:w="1420" w:type="dxa"/>
                  <w:tcBorders>
                    <w:tl2br w:val="nil"/>
                    <w:tr2bl w:val="nil"/>
                  </w:tcBorders>
                  <w:shd w:val="clear" w:color="auto" w:fill="FFFFFF"/>
                  <w:vAlign w:val="center"/>
                </w:tcPr>
                <w:p w14:paraId="444BFA6A">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原料仓库</w:t>
                  </w:r>
                </w:p>
              </w:tc>
              <w:tc>
                <w:tcPr>
                  <w:tcW w:w="3040" w:type="dxa"/>
                  <w:tcBorders>
                    <w:tl2br w:val="nil"/>
                    <w:tr2bl w:val="nil"/>
                  </w:tcBorders>
                  <w:shd w:val="clear" w:color="auto" w:fill="FFFFFF"/>
                  <w:vAlign w:val="center"/>
                </w:tcPr>
                <w:p w14:paraId="3A487533">
                  <w:pPr>
                    <w:pStyle w:val="21"/>
                    <w:keepNext w:val="0"/>
                    <w:keepLines w:val="0"/>
                    <w:suppressLineNumbers w:val="0"/>
                    <w:autoSpaceDE/>
                    <w:autoSpaceDN/>
                    <w:spacing w:before="0" w:beforeAutospacing="0" w:after="0" w:afterAutospacing="0" w:line="240" w:lineRule="exact"/>
                    <w:ind w:left="0" w:right="0" w:firstLine="0" w:firstLineChars="0"/>
                    <w:rPr>
                      <w:rFonts w:hint="eastAsia" w:ascii="Times New Roman" w:hAnsi="Times New Roman" w:eastAsia="宋体" w:cs="Times New Roman"/>
                      <w:color w:val="auto"/>
                      <w:sz w:val="21"/>
                      <w:szCs w:val="24"/>
                      <w:highlight w:val="none"/>
                      <w:vertAlign w:val="superscript"/>
                      <w:lang w:val="en-US" w:eastAsia="zh-CN" w:bidi="zh-CN"/>
                    </w:rPr>
                  </w:pPr>
                  <w:r>
                    <w:rPr>
                      <w:rFonts w:hint="eastAsia"/>
                      <w:color w:val="auto"/>
                      <w:lang w:val="en-US" w:eastAsia="zh-CN"/>
                    </w:rPr>
                    <w:t>依托南京娃哈哈饮料有限公司原料仓库</w:t>
                  </w:r>
                </w:p>
              </w:tc>
              <w:tc>
                <w:tcPr>
                  <w:tcW w:w="2295" w:type="dxa"/>
                  <w:tcBorders>
                    <w:tl2br w:val="nil"/>
                    <w:tr2bl w:val="nil"/>
                  </w:tcBorders>
                  <w:shd w:val="clear" w:color="auto" w:fill="FFFFFF"/>
                  <w:vAlign w:val="center"/>
                </w:tcPr>
                <w:p w14:paraId="0038C0B7">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位于所在厂区东北侧厂房内</w:t>
                  </w:r>
                </w:p>
              </w:tc>
            </w:tr>
            <w:tr w14:paraId="49E6C1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29" w:type="dxa"/>
                  <w:vMerge w:val="continue"/>
                  <w:tcBorders>
                    <w:tl2br w:val="nil"/>
                    <w:tr2bl w:val="nil"/>
                  </w:tcBorders>
                  <w:shd w:val="clear" w:color="auto" w:fill="FFFFFF"/>
                  <w:vAlign w:val="center"/>
                </w:tcPr>
                <w:p w14:paraId="0865529A">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lang w:val="en-US"/>
                    </w:rPr>
                  </w:pPr>
                </w:p>
              </w:tc>
              <w:tc>
                <w:tcPr>
                  <w:tcW w:w="437" w:type="dxa"/>
                  <w:vMerge w:val="continue"/>
                  <w:tcBorders>
                    <w:tl2br w:val="nil"/>
                    <w:tr2bl w:val="nil"/>
                  </w:tcBorders>
                  <w:shd w:val="clear" w:color="auto" w:fill="FFFFFF"/>
                  <w:vAlign w:val="center"/>
                </w:tcPr>
                <w:p w14:paraId="641A8D46">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lang w:val="en-US" w:eastAsia="zh-CN"/>
                    </w:rPr>
                  </w:pPr>
                </w:p>
              </w:tc>
              <w:tc>
                <w:tcPr>
                  <w:tcW w:w="1420" w:type="dxa"/>
                  <w:tcBorders>
                    <w:tl2br w:val="nil"/>
                    <w:tr2bl w:val="nil"/>
                  </w:tcBorders>
                  <w:shd w:val="clear" w:color="auto" w:fill="FFFFFF"/>
                  <w:vAlign w:val="center"/>
                </w:tcPr>
                <w:p w14:paraId="611E8D20">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化学品仓库</w:t>
                  </w:r>
                </w:p>
              </w:tc>
              <w:tc>
                <w:tcPr>
                  <w:tcW w:w="3040" w:type="dxa"/>
                  <w:tcBorders>
                    <w:tl2br w:val="nil"/>
                    <w:tr2bl w:val="nil"/>
                  </w:tcBorders>
                  <w:shd w:val="clear" w:color="auto" w:fill="FFFFFF"/>
                  <w:vAlign w:val="center"/>
                </w:tcPr>
                <w:p w14:paraId="0B43D085">
                  <w:pPr>
                    <w:pStyle w:val="21"/>
                    <w:keepNext w:val="0"/>
                    <w:keepLines w:val="0"/>
                    <w:suppressLineNumbers w:val="0"/>
                    <w:autoSpaceDE/>
                    <w:autoSpaceDN/>
                    <w:spacing w:before="0" w:beforeAutospacing="0" w:after="0" w:afterAutospacing="0" w:line="240" w:lineRule="exact"/>
                    <w:ind w:left="0" w:right="0" w:firstLine="0" w:firstLineChars="0"/>
                    <w:rPr>
                      <w:rFonts w:hint="eastAsia" w:ascii="Times New Roman" w:hAnsi="Times New Roman" w:eastAsia="宋体"/>
                      <w:color w:val="auto"/>
                      <w:highlight w:val="none"/>
                      <w:lang w:val="en-US" w:eastAsia="zh-CN"/>
                    </w:rPr>
                  </w:pPr>
                  <w:r>
                    <w:rPr>
                      <w:rFonts w:hint="eastAsia"/>
                      <w:color w:val="auto"/>
                      <w:lang w:val="en-US" w:eastAsia="zh-CN"/>
                    </w:rPr>
                    <w:t>依托南京娃哈哈饮料有限公司化学品仓库</w:t>
                  </w:r>
                </w:p>
              </w:tc>
              <w:tc>
                <w:tcPr>
                  <w:tcW w:w="2295" w:type="dxa"/>
                  <w:tcBorders>
                    <w:tl2br w:val="nil"/>
                    <w:tr2bl w:val="nil"/>
                  </w:tcBorders>
                  <w:shd w:val="clear" w:color="auto" w:fill="FFFFFF"/>
                  <w:vAlign w:val="center"/>
                </w:tcPr>
                <w:p w14:paraId="14B2AAE6">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位于厂区西侧</w:t>
                  </w:r>
                </w:p>
              </w:tc>
            </w:tr>
            <w:tr w14:paraId="6F9019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9" w:type="dxa"/>
                  <w:vMerge w:val="continue"/>
                  <w:tcBorders>
                    <w:tl2br w:val="nil"/>
                    <w:tr2bl w:val="nil"/>
                  </w:tcBorders>
                  <w:shd w:val="clear" w:color="auto" w:fill="FFFFFF"/>
                  <w:vAlign w:val="center"/>
                </w:tcPr>
                <w:p w14:paraId="7F3168AE">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lang w:val="en-US"/>
                    </w:rPr>
                  </w:pPr>
                </w:p>
              </w:tc>
              <w:tc>
                <w:tcPr>
                  <w:tcW w:w="437" w:type="dxa"/>
                  <w:vMerge w:val="continue"/>
                  <w:tcBorders>
                    <w:tl2br w:val="nil"/>
                    <w:tr2bl w:val="nil"/>
                  </w:tcBorders>
                  <w:shd w:val="clear" w:color="auto" w:fill="FFFFFF"/>
                  <w:vAlign w:val="center"/>
                </w:tcPr>
                <w:p w14:paraId="205CCA34">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lang w:val="en-US" w:eastAsia="zh-CN"/>
                    </w:rPr>
                  </w:pPr>
                </w:p>
              </w:tc>
              <w:tc>
                <w:tcPr>
                  <w:tcW w:w="1420" w:type="dxa"/>
                  <w:tcBorders>
                    <w:tl2br w:val="nil"/>
                    <w:tr2bl w:val="nil"/>
                  </w:tcBorders>
                  <w:shd w:val="clear" w:color="auto" w:fill="FFFFFF"/>
                  <w:vAlign w:val="center"/>
                </w:tcPr>
                <w:p w14:paraId="182744EE">
                  <w:pPr>
                    <w:pStyle w:val="21"/>
                    <w:keepNext w:val="0"/>
                    <w:keepLines w:val="0"/>
                    <w:suppressLineNumbers w:val="0"/>
                    <w:autoSpaceDE/>
                    <w:autoSpaceDN/>
                    <w:spacing w:before="0" w:beforeAutospacing="0" w:after="0" w:afterAutospacing="0" w:line="240" w:lineRule="exact"/>
                    <w:ind w:left="0" w:right="0"/>
                    <w:rPr>
                      <w:rFonts w:hint="default"/>
                      <w:color w:val="auto"/>
                      <w:highlight w:val="none"/>
                      <w:lang w:val="en-US" w:eastAsia="zh-CN"/>
                    </w:rPr>
                  </w:pPr>
                  <w:r>
                    <w:rPr>
                      <w:rFonts w:hint="eastAsia"/>
                      <w:color w:val="auto"/>
                      <w:highlight w:val="none"/>
                      <w:lang w:val="en-US" w:eastAsia="zh-CN"/>
                    </w:rPr>
                    <w:t>防爆柜</w:t>
                  </w:r>
                </w:p>
              </w:tc>
              <w:tc>
                <w:tcPr>
                  <w:tcW w:w="3040" w:type="dxa"/>
                  <w:tcBorders>
                    <w:tl2br w:val="nil"/>
                    <w:tr2bl w:val="nil"/>
                  </w:tcBorders>
                  <w:shd w:val="clear" w:color="auto" w:fill="FFFFFF"/>
                  <w:vAlign w:val="center"/>
                </w:tcPr>
                <w:p w14:paraId="33CEAC76">
                  <w:pPr>
                    <w:pStyle w:val="21"/>
                    <w:keepNext w:val="0"/>
                    <w:keepLines w:val="0"/>
                    <w:suppressLineNumbers w:val="0"/>
                    <w:autoSpaceDE/>
                    <w:autoSpaceDN/>
                    <w:spacing w:before="0" w:beforeAutospacing="0" w:after="0" w:afterAutospacing="0" w:line="240" w:lineRule="exact"/>
                    <w:ind w:left="0" w:right="0" w:firstLine="0" w:firstLineChars="0"/>
                    <w:rPr>
                      <w:rFonts w:hint="eastAsia"/>
                      <w:color w:val="auto"/>
                      <w:lang w:val="en-US" w:eastAsia="zh-CN"/>
                    </w:rPr>
                  </w:pPr>
                  <w:r>
                    <w:rPr>
                      <w:rFonts w:hint="eastAsia"/>
                      <w:color w:val="auto"/>
                      <w:lang w:val="en-US" w:eastAsia="zh-CN"/>
                    </w:rPr>
                    <w:t>依托南京娃哈哈饮料有限公司防爆柜</w:t>
                  </w:r>
                </w:p>
              </w:tc>
              <w:tc>
                <w:tcPr>
                  <w:tcW w:w="2295" w:type="dxa"/>
                  <w:tcBorders>
                    <w:tl2br w:val="nil"/>
                    <w:tr2bl w:val="nil"/>
                  </w:tcBorders>
                  <w:shd w:val="clear" w:color="auto" w:fill="FFFFFF"/>
                  <w:vAlign w:val="center"/>
                </w:tcPr>
                <w:p w14:paraId="6F476112">
                  <w:pPr>
                    <w:pStyle w:val="21"/>
                    <w:keepNext w:val="0"/>
                    <w:keepLines w:val="0"/>
                    <w:suppressLineNumbers w:val="0"/>
                    <w:autoSpaceDE/>
                    <w:autoSpaceDN/>
                    <w:spacing w:before="0" w:beforeAutospacing="0" w:after="0" w:afterAutospacing="0" w:line="240" w:lineRule="exact"/>
                    <w:ind w:left="0" w:right="0"/>
                    <w:rPr>
                      <w:rFonts w:hint="default"/>
                      <w:color w:val="auto"/>
                      <w:highlight w:val="none"/>
                      <w:lang w:val="en-US" w:eastAsia="zh-CN"/>
                    </w:rPr>
                  </w:pPr>
                  <w:r>
                    <w:rPr>
                      <w:rFonts w:hint="eastAsia"/>
                      <w:color w:val="auto"/>
                      <w:highlight w:val="none"/>
                      <w:lang w:val="en-US" w:eastAsia="zh-CN"/>
                    </w:rPr>
                    <w:t>储存油墨，位于厂区西侧超净车间</w:t>
                  </w:r>
                </w:p>
              </w:tc>
            </w:tr>
            <w:tr w14:paraId="295AB0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289" w:hRule="atLeast"/>
                <w:jc w:val="center"/>
              </w:trPr>
              <w:tc>
                <w:tcPr>
                  <w:tcW w:w="629" w:type="dxa"/>
                  <w:vMerge w:val="continue"/>
                  <w:tcBorders>
                    <w:tl2br w:val="nil"/>
                    <w:tr2bl w:val="nil"/>
                  </w:tcBorders>
                  <w:shd w:val="clear" w:color="auto" w:fill="FFFFFF"/>
                  <w:vAlign w:val="center"/>
                </w:tcPr>
                <w:p w14:paraId="562FB15B">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lang w:val="en-US"/>
                    </w:rPr>
                  </w:pPr>
                </w:p>
              </w:tc>
              <w:tc>
                <w:tcPr>
                  <w:tcW w:w="1857" w:type="dxa"/>
                  <w:gridSpan w:val="2"/>
                  <w:tcBorders>
                    <w:tl2br w:val="nil"/>
                    <w:tr2bl w:val="nil"/>
                  </w:tcBorders>
                  <w:shd w:val="clear" w:color="auto" w:fill="FFFFFF"/>
                  <w:vAlign w:val="center"/>
                </w:tcPr>
                <w:p w14:paraId="7BDB95AD">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成品仓库</w:t>
                  </w:r>
                </w:p>
              </w:tc>
              <w:tc>
                <w:tcPr>
                  <w:tcW w:w="3040" w:type="dxa"/>
                  <w:tcBorders>
                    <w:tl2br w:val="nil"/>
                    <w:tr2bl w:val="nil"/>
                  </w:tcBorders>
                  <w:shd w:val="clear" w:color="auto" w:fill="FFFFFF"/>
                  <w:vAlign w:val="center"/>
                </w:tcPr>
                <w:p w14:paraId="3092F74C">
                  <w:pPr>
                    <w:pStyle w:val="21"/>
                    <w:keepNext w:val="0"/>
                    <w:keepLines w:val="0"/>
                    <w:suppressLineNumbers w:val="0"/>
                    <w:autoSpaceDE/>
                    <w:autoSpaceDN/>
                    <w:spacing w:before="0" w:beforeAutospacing="0" w:after="0" w:afterAutospacing="0" w:line="240" w:lineRule="exact"/>
                    <w:ind w:left="0" w:right="0" w:firstLine="0" w:firstLineChars="0"/>
                    <w:rPr>
                      <w:rFonts w:hint="eastAsia" w:ascii="Times New Roman" w:hAnsi="Times New Roman" w:eastAsia="宋体"/>
                      <w:color w:val="auto"/>
                      <w:highlight w:val="none"/>
                      <w:lang w:val="en-US" w:eastAsia="zh-CN"/>
                    </w:rPr>
                  </w:pPr>
                  <w:r>
                    <w:rPr>
                      <w:rFonts w:hint="eastAsia"/>
                      <w:color w:val="auto"/>
                      <w:highlight w:val="none"/>
                      <w:lang w:val="en-US" w:eastAsia="zh-CN"/>
                    </w:rPr>
                    <w:t>2700m</w:t>
                  </w:r>
                  <w:r>
                    <w:rPr>
                      <w:rFonts w:hint="eastAsia"/>
                      <w:color w:val="auto"/>
                      <w:highlight w:val="none"/>
                      <w:vertAlign w:val="superscript"/>
                      <w:lang w:val="en-US" w:eastAsia="zh-CN"/>
                    </w:rPr>
                    <w:t>2</w:t>
                  </w:r>
                </w:p>
              </w:tc>
              <w:tc>
                <w:tcPr>
                  <w:tcW w:w="2295" w:type="dxa"/>
                  <w:tcBorders>
                    <w:tl2br w:val="nil"/>
                    <w:tr2bl w:val="nil"/>
                  </w:tcBorders>
                  <w:shd w:val="clear" w:color="auto" w:fill="FFFFFF"/>
                  <w:vAlign w:val="center"/>
                </w:tcPr>
                <w:p w14:paraId="4806F4A5">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新增成品库位于2#厂房东侧</w:t>
                  </w:r>
                </w:p>
              </w:tc>
            </w:tr>
            <w:tr w14:paraId="00587B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9" w:type="dxa"/>
                  <w:vMerge w:val="continue"/>
                  <w:tcBorders>
                    <w:tl2br w:val="nil"/>
                    <w:tr2bl w:val="nil"/>
                  </w:tcBorders>
                  <w:shd w:val="clear" w:color="auto" w:fill="FFFFFF"/>
                  <w:vAlign w:val="center"/>
                </w:tcPr>
                <w:p w14:paraId="7CB80BCE">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p>
              </w:tc>
              <w:tc>
                <w:tcPr>
                  <w:tcW w:w="1857" w:type="dxa"/>
                  <w:gridSpan w:val="2"/>
                  <w:tcBorders>
                    <w:tl2br w:val="nil"/>
                    <w:tr2bl w:val="nil"/>
                  </w:tcBorders>
                  <w:shd w:val="clear" w:color="auto" w:fill="FFFFFF"/>
                  <w:vAlign w:val="center"/>
                </w:tcPr>
                <w:p w14:paraId="55A934B6">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运输</w:t>
                  </w:r>
                </w:p>
              </w:tc>
              <w:tc>
                <w:tcPr>
                  <w:tcW w:w="3040" w:type="dxa"/>
                  <w:tcBorders>
                    <w:tl2br w:val="nil"/>
                    <w:tr2bl w:val="nil"/>
                  </w:tcBorders>
                  <w:shd w:val="clear" w:color="auto" w:fill="FFFFFF"/>
                  <w:vAlign w:val="center"/>
                </w:tcPr>
                <w:p w14:paraId="73C44316">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本项目原料及产品通过汽车运输</w:t>
                  </w:r>
                </w:p>
              </w:tc>
              <w:tc>
                <w:tcPr>
                  <w:tcW w:w="2295" w:type="dxa"/>
                  <w:tcBorders>
                    <w:tl2br w:val="nil"/>
                    <w:tr2bl w:val="nil"/>
                  </w:tcBorders>
                  <w:shd w:val="clear" w:color="auto" w:fill="FFFFFF"/>
                  <w:vAlign w:val="center"/>
                </w:tcPr>
                <w:p w14:paraId="65942B92">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w:t>
                  </w:r>
                </w:p>
              </w:tc>
            </w:tr>
            <w:tr w14:paraId="62C28B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29" w:type="dxa"/>
                  <w:vMerge w:val="restart"/>
                  <w:tcBorders>
                    <w:tl2br w:val="nil"/>
                    <w:tr2bl w:val="nil"/>
                  </w:tcBorders>
                  <w:shd w:val="clear" w:color="auto" w:fill="FFFFFF"/>
                  <w:vAlign w:val="center"/>
                </w:tcPr>
                <w:p w14:paraId="5D7EE4BB">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公用</w:t>
                  </w:r>
                </w:p>
                <w:p w14:paraId="6819B6C5">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工程</w:t>
                  </w:r>
                </w:p>
              </w:tc>
              <w:tc>
                <w:tcPr>
                  <w:tcW w:w="1857" w:type="dxa"/>
                  <w:gridSpan w:val="2"/>
                  <w:tcBorders>
                    <w:tl2br w:val="nil"/>
                    <w:tr2bl w:val="nil"/>
                  </w:tcBorders>
                  <w:shd w:val="clear" w:color="auto" w:fill="FFFFFF"/>
                  <w:vAlign w:val="center"/>
                </w:tcPr>
                <w:p w14:paraId="3D858DD1">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rPr>
                    <w:t>给水</w:t>
                  </w:r>
                </w:p>
              </w:tc>
              <w:tc>
                <w:tcPr>
                  <w:tcW w:w="3040" w:type="dxa"/>
                  <w:tcBorders>
                    <w:tl2br w:val="nil"/>
                    <w:tr2bl w:val="nil"/>
                  </w:tcBorders>
                  <w:shd w:val="clear" w:color="auto" w:fill="FFFFFF"/>
                  <w:vAlign w:val="center"/>
                </w:tcPr>
                <w:p w14:paraId="4D843AF4">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316092</w:t>
                  </w:r>
                  <w:r>
                    <w:rPr>
                      <w:rFonts w:hint="eastAsia" w:ascii="Times New Roman" w:hAnsi="Times New Roman" w:eastAsia="宋体"/>
                      <w:color w:val="auto"/>
                      <w:highlight w:val="none"/>
                      <w:lang w:val="en-US"/>
                    </w:rPr>
                    <w:t>t/a</w:t>
                  </w:r>
                </w:p>
              </w:tc>
              <w:tc>
                <w:tcPr>
                  <w:tcW w:w="2295" w:type="dxa"/>
                  <w:tcBorders>
                    <w:tl2br w:val="nil"/>
                    <w:tr2bl w:val="nil"/>
                  </w:tcBorders>
                  <w:shd w:val="clear" w:color="auto" w:fill="FFFFFF"/>
                  <w:vAlign w:val="center"/>
                </w:tcPr>
                <w:p w14:paraId="200E6196">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来自</w:t>
                  </w:r>
                  <w:r>
                    <w:rPr>
                      <w:rFonts w:hint="eastAsia" w:ascii="Times New Roman" w:hAnsi="Times New Roman" w:eastAsia="宋体"/>
                      <w:color w:val="auto"/>
                      <w:highlight w:val="none"/>
                    </w:rPr>
                    <w:t>市政供水管网</w:t>
                  </w:r>
                </w:p>
              </w:tc>
            </w:tr>
            <w:tr w14:paraId="496EF8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9" w:type="dxa"/>
                  <w:vMerge w:val="continue"/>
                  <w:tcBorders>
                    <w:tl2br w:val="nil"/>
                    <w:tr2bl w:val="nil"/>
                  </w:tcBorders>
                  <w:shd w:val="clear" w:color="auto" w:fill="FFFFFF"/>
                  <w:vAlign w:val="center"/>
                </w:tcPr>
                <w:p w14:paraId="5C5CC66A">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p>
              </w:tc>
              <w:tc>
                <w:tcPr>
                  <w:tcW w:w="1857" w:type="dxa"/>
                  <w:gridSpan w:val="2"/>
                  <w:tcBorders>
                    <w:tl2br w:val="nil"/>
                    <w:tr2bl w:val="nil"/>
                  </w:tcBorders>
                  <w:shd w:val="clear" w:color="auto" w:fill="FFFFFF"/>
                  <w:vAlign w:val="center"/>
                </w:tcPr>
                <w:p w14:paraId="6E34AACB">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rPr>
                    <w:t>排水</w:t>
                  </w:r>
                </w:p>
              </w:tc>
              <w:tc>
                <w:tcPr>
                  <w:tcW w:w="3040" w:type="dxa"/>
                  <w:tcBorders>
                    <w:tl2br w:val="nil"/>
                    <w:tr2bl w:val="nil"/>
                  </w:tcBorders>
                  <w:shd w:val="clear" w:color="auto" w:fill="FFFFFF"/>
                  <w:vAlign w:val="center"/>
                </w:tcPr>
                <w:p w14:paraId="10640715">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140683</w:t>
                  </w:r>
                  <w:r>
                    <w:rPr>
                      <w:rFonts w:hint="eastAsia" w:ascii="Times New Roman" w:hAnsi="Times New Roman" w:eastAsia="宋体"/>
                      <w:color w:val="auto"/>
                      <w:highlight w:val="none"/>
                      <w:lang w:val="en-US"/>
                    </w:rPr>
                    <w:t>t/a</w:t>
                  </w:r>
                </w:p>
              </w:tc>
              <w:tc>
                <w:tcPr>
                  <w:tcW w:w="2295" w:type="dxa"/>
                  <w:tcBorders>
                    <w:tl2br w:val="nil"/>
                    <w:tr2bl w:val="nil"/>
                  </w:tcBorders>
                  <w:shd w:val="clear" w:color="auto" w:fill="FFFFFF"/>
                  <w:vAlign w:val="center"/>
                </w:tcPr>
                <w:p w14:paraId="29FF7D19">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rPr>
                    <w:t>接管</w:t>
                  </w:r>
                  <w:r>
                    <w:rPr>
                      <w:rFonts w:hint="eastAsia"/>
                      <w:color w:val="auto"/>
                      <w:highlight w:val="none"/>
                      <w:lang w:val="en-US" w:eastAsia="zh-CN"/>
                    </w:rPr>
                    <w:t>空港</w:t>
                  </w:r>
                  <w:r>
                    <w:rPr>
                      <w:rFonts w:hint="eastAsia" w:ascii="Times New Roman" w:hAnsi="Times New Roman" w:eastAsia="宋体"/>
                      <w:color w:val="auto"/>
                      <w:highlight w:val="none"/>
                    </w:rPr>
                    <w:t>污水处理厂</w:t>
                  </w:r>
                </w:p>
              </w:tc>
            </w:tr>
            <w:tr w14:paraId="0769A4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9" w:type="dxa"/>
                  <w:vMerge w:val="continue"/>
                  <w:tcBorders>
                    <w:tl2br w:val="nil"/>
                    <w:tr2bl w:val="nil"/>
                  </w:tcBorders>
                  <w:shd w:val="clear" w:color="auto" w:fill="FFFFFF"/>
                  <w:vAlign w:val="center"/>
                </w:tcPr>
                <w:p w14:paraId="41451C71">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p>
              </w:tc>
              <w:tc>
                <w:tcPr>
                  <w:tcW w:w="1857" w:type="dxa"/>
                  <w:gridSpan w:val="2"/>
                  <w:tcBorders>
                    <w:tl2br w:val="nil"/>
                    <w:tr2bl w:val="nil"/>
                  </w:tcBorders>
                  <w:shd w:val="clear" w:color="auto" w:fill="FFFFFF"/>
                  <w:vAlign w:val="center"/>
                </w:tcPr>
                <w:p w14:paraId="136100BB">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rPr>
                    <w:t>供电</w:t>
                  </w:r>
                </w:p>
              </w:tc>
              <w:tc>
                <w:tcPr>
                  <w:tcW w:w="3040" w:type="dxa"/>
                  <w:tcBorders>
                    <w:tl2br w:val="nil"/>
                    <w:tr2bl w:val="nil"/>
                  </w:tcBorders>
                  <w:shd w:val="clear" w:color="auto" w:fill="FFFFFF"/>
                  <w:vAlign w:val="center"/>
                </w:tcPr>
                <w:p w14:paraId="6EDF727C">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1100</w:t>
                  </w:r>
                  <w:r>
                    <w:rPr>
                      <w:rFonts w:hint="eastAsia" w:ascii="Times New Roman" w:hAnsi="Times New Roman" w:eastAsia="宋体"/>
                      <w:color w:val="auto"/>
                      <w:highlight w:val="none"/>
                      <w:lang w:val="en-US" w:eastAsia="zh-CN"/>
                    </w:rPr>
                    <w:t>万度</w:t>
                  </w:r>
                  <w:r>
                    <w:rPr>
                      <w:rFonts w:hint="default" w:ascii="Times New Roman" w:hAnsi="Times New Roman" w:eastAsia="宋体"/>
                      <w:color w:val="auto"/>
                      <w:highlight w:val="none"/>
                    </w:rPr>
                    <w:t>/</w:t>
                  </w:r>
                  <w:r>
                    <w:rPr>
                      <w:rFonts w:hint="eastAsia" w:ascii="Times New Roman" w:hAnsi="Times New Roman" w:eastAsia="宋体"/>
                      <w:color w:val="auto"/>
                      <w:highlight w:val="none"/>
                      <w:lang w:val="en-US"/>
                    </w:rPr>
                    <w:t>a</w:t>
                  </w:r>
                </w:p>
              </w:tc>
              <w:tc>
                <w:tcPr>
                  <w:tcW w:w="2295" w:type="dxa"/>
                  <w:tcBorders>
                    <w:tl2br w:val="nil"/>
                    <w:tr2bl w:val="nil"/>
                  </w:tcBorders>
                  <w:shd w:val="clear" w:color="auto" w:fill="FFFFFF"/>
                  <w:vAlign w:val="center"/>
                </w:tcPr>
                <w:p w14:paraId="5B52829D">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来自</w:t>
                  </w:r>
                  <w:r>
                    <w:rPr>
                      <w:rFonts w:hint="eastAsia" w:ascii="Times New Roman" w:hAnsi="Times New Roman" w:eastAsia="宋体"/>
                      <w:color w:val="auto"/>
                      <w:highlight w:val="none"/>
                    </w:rPr>
                    <w:t>市政电网</w:t>
                  </w:r>
                </w:p>
              </w:tc>
            </w:tr>
            <w:tr w14:paraId="460290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9" w:type="dxa"/>
                  <w:vMerge w:val="continue"/>
                  <w:tcBorders>
                    <w:tl2br w:val="nil"/>
                    <w:tr2bl w:val="nil"/>
                  </w:tcBorders>
                  <w:shd w:val="clear" w:color="auto" w:fill="FFFFFF"/>
                  <w:vAlign w:val="center"/>
                </w:tcPr>
                <w:p w14:paraId="0DAEBBD0">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p>
              </w:tc>
              <w:tc>
                <w:tcPr>
                  <w:tcW w:w="1857" w:type="dxa"/>
                  <w:gridSpan w:val="2"/>
                  <w:tcBorders>
                    <w:tl2br w:val="nil"/>
                    <w:tr2bl w:val="nil"/>
                  </w:tcBorders>
                  <w:shd w:val="clear" w:color="auto" w:fill="FFFFFF"/>
                  <w:vAlign w:val="center"/>
                </w:tcPr>
                <w:p w14:paraId="65BECC82">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循环冷却水</w:t>
                  </w:r>
                </w:p>
              </w:tc>
              <w:tc>
                <w:tcPr>
                  <w:tcW w:w="3040" w:type="dxa"/>
                  <w:tcBorders>
                    <w:tl2br w:val="nil"/>
                    <w:tr2bl w:val="nil"/>
                  </w:tcBorders>
                  <w:shd w:val="clear" w:color="auto" w:fill="FFFFFF"/>
                  <w:vAlign w:val="center"/>
                </w:tcPr>
                <w:p w14:paraId="4614695D">
                  <w:pPr>
                    <w:pStyle w:val="21"/>
                    <w:keepNext w:val="0"/>
                    <w:keepLines w:val="0"/>
                    <w:suppressLineNumbers w:val="0"/>
                    <w:autoSpaceDE/>
                    <w:autoSpaceDN/>
                    <w:spacing w:before="0" w:beforeAutospacing="0" w:after="0" w:afterAutospacing="0" w:line="240" w:lineRule="exact"/>
                    <w:ind w:left="0" w:right="0"/>
                    <w:rPr>
                      <w:rFonts w:hint="default"/>
                      <w:color w:val="auto"/>
                      <w:highlight w:val="none"/>
                      <w:lang w:val="en-US" w:eastAsia="zh-CN"/>
                    </w:rPr>
                  </w:pPr>
                  <w:r>
                    <w:rPr>
                      <w:rFonts w:hint="eastAsia"/>
                      <w:color w:val="auto"/>
                      <w:highlight w:val="none"/>
                      <w:lang w:val="en-US" w:eastAsia="zh-CN"/>
                    </w:rPr>
                    <w:t>300t/h</w:t>
                  </w:r>
                </w:p>
              </w:tc>
              <w:tc>
                <w:tcPr>
                  <w:tcW w:w="2295" w:type="dxa"/>
                  <w:tcBorders>
                    <w:tl2br w:val="nil"/>
                    <w:tr2bl w:val="nil"/>
                  </w:tcBorders>
                  <w:shd w:val="clear" w:color="auto" w:fill="FFFFFF"/>
                  <w:vAlign w:val="center"/>
                </w:tcPr>
                <w:p w14:paraId="11E3FFD5">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项目设置60t/h闭式冷却塔和300t/h冷水机组各一套，配备50t/h、250t/h冷却水泵各一台，满足项目需要</w:t>
                  </w:r>
                </w:p>
              </w:tc>
            </w:tr>
            <w:tr w14:paraId="10B28C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9" w:type="dxa"/>
                  <w:vMerge w:val="continue"/>
                  <w:tcBorders>
                    <w:tl2br w:val="nil"/>
                    <w:tr2bl w:val="nil"/>
                  </w:tcBorders>
                  <w:shd w:val="clear" w:color="auto" w:fill="FFFFFF"/>
                  <w:vAlign w:val="center"/>
                </w:tcPr>
                <w:p w14:paraId="4F70DEF0">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p>
              </w:tc>
              <w:tc>
                <w:tcPr>
                  <w:tcW w:w="1857" w:type="dxa"/>
                  <w:gridSpan w:val="2"/>
                  <w:tcBorders>
                    <w:tl2br w:val="nil"/>
                    <w:tr2bl w:val="nil"/>
                  </w:tcBorders>
                  <w:shd w:val="clear" w:color="auto" w:fill="FFFFFF"/>
                  <w:vAlign w:val="center"/>
                </w:tcPr>
                <w:p w14:paraId="2E987F2F">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纯水制备设施</w:t>
                  </w:r>
                </w:p>
              </w:tc>
              <w:tc>
                <w:tcPr>
                  <w:tcW w:w="3040" w:type="dxa"/>
                  <w:tcBorders>
                    <w:tl2br w:val="nil"/>
                    <w:tr2bl w:val="nil"/>
                  </w:tcBorders>
                  <w:shd w:val="clear" w:color="auto" w:fill="FFFFFF"/>
                  <w:vAlign w:val="center"/>
                </w:tcPr>
                <w:p w14:paraId="4C6B37CA">
                  <w:pPr>
                    <w:pStyle w:val="21"/>
                    <w:keepNext w:val="0"/>
                    <w:keepLines w:val="0"/>
                    <w:suppressLineNumbers w:val="0"/>
                    <w:autoSpaceDE/>
                    <w:autoSpaceDN/>
                    <w:spacing w:before="0" w:beforeAutospacing="0" w:after="0" w:afterAutospacing="0" w:line="240" w:lineRule="exact"/>
                    <w:ind w:left="0" w:right="0"/>
                    <w:rPr>
                      <w:rFonts w:hint="default"/>
                      <w:color w:val="auto"/>
                      <w:highlight w:val="none"/>
                      <w:lang w:val="en-US" w:eastAsia="zh-CN"/>
                    </w:rPr>
                  </w:pPr>
                  <w:r>
                    <w:rPr>
                      <w:rFonts w:hint="eastAsia"/>
                      <w:color w:val="auto"/>
                      <w:highlight w:val="none"/>
                      <w:lang w:val="en-US" w:eastAsia="zh-CN"/>
                    </w:rPr>
                    <w:t>约24t/h</w:t>
                  </w:r>
                </w:p>
              </w:tc>
              <w:tc>
                <w:tcPr>
                  <w:tcW w:w="2295" w:type="dxa"/>
                  <w:tcBorders>
                    <w:tl2br w:val="nil"/>
                    <w:tr2bl w:val="nil"/>
                  </w:tcBorders>
                  <w:shd w:val="clear" w:color="auto" w:fill="FFFFFF"/>
                  <w:vAlign w:val="center"/>
                </w:tcPr>
                <w:p w14:paraId="0BFF3C85">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考虑后期扩建项目，本项目设置70t/h纯水制备设施，满足项目生产需要</w:t>
                  </w:r>
                </w:p>
              </w:tc>
            </w:tr>
            <w:tr w14:paraId="569A47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9" w:type="dxa"/>
                  <w:vMerge w:val="continue"/>
                  <w:tcBorders>
                    <w:tl2br w:val="nil"/>
                    <w:tr2bl w:val="nil"/>
                  </w:tcBorders>
                  <w:shd w:val="clear" w:color="auto" w:fill="FFFFFF"/>
                  <w:vAlign w:val="center"/>
                </w:tcPr>
                <w:p w14:paraId="22DCBFCC">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p>
              </w:tc>
              <w:tc>
                <w:tcPr>
                  <w:tcW w:w="1857" w:type="dxa"/>
                  <w:gridSpan w:val="2"/>
                  <w:tcBorders>
                    <w:tl2br w:val="nil"/>
                    <w:tr2bl w:val="nil"/>
                  </w:tcBorders>
                  <w:shd w:val="clear" w:color="auto" w:fill="FFFFFF"/>
                  <w:vAlign w:val="center"/>
                </w:tcPr>
                <w:p w14:paraId="6DC26EC2">
                  <w:pPr>
                    <w:pStyle w:val="21"/>
                    <w:keepNext w:val="0"/>
                    <w:keepLines w:val="0"/>
                    <w:suppressLineNumbers w:val="0"/>
                    <w:autoSpaceDE/>
                    <w:autoSpaceDN/>
                    <w:spacing w:before="0" w:beforeAutospacing="0" w:after="0" w:afterAutospacing="0" w:line="240" w:lineRule="exact"/>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压缩空气</w:t>
                  </w:r>
                </w:p>
              </w:tc>
              <w:tc>
                <w:tcPr>
                  <w:tcW w:w="3040" w:type="dxa"/>
                  <w:tcBorders>
                    <w:tl2br w:val="nil"/>
                    <w:tr2bl w:val="nil"/>
                  </w:tcBorders>
                  <w:shd w:val="clear" w:color="auto" w:fill="FFFFFF"/>
                  <w:vAlign w:val="center"/>
                </w:tcPr>
                <w:p w14:paraId="3854E25D">
                  <w:pPr>
                    <w:pStyle w:val="21"/>
                    <w:keepNext w:val="0"/>
                    <w:keepLines w:val="0"/>
                    <w:suppressLineNumbers w:val="0"/>
                    <w:autoSpaceDE/>
                    <w:autoSpaceDN/>
                    <w:spacing w:before="0" w:beforeAutospacing="0" w:after="0" w:afterAutospacing="0" w:line="240" w:lineRule="exact"/>
                    <w:ind w:left="0" w:leftChars="0" w:right="0" w:rightChars="0" w:firstLine="0" w:firstLineChars="0"/>
                    <w:rPr>
                      <w:rFonts w:hint="eastAsia" w:ascii="Times New Roman" w:hAnsi="Times New Roman" w:eastAsia="宋体" w:cs="Times New Roman"/>
                      <w:color w:val="auto"/>
                      <w:sz w:val="21"/>
                      <w:szCs w:val="24"/>
                      <w:highlight w:val="none"/>
                      <w:vertAlign w:val="baseline"/>
                      <w:lang w:val="en-US" w:eastAsia="zh-CN" w:bidi="zh-CN"/>
                    </w:rPr>
                  </w:pPr>
                  <w:r>
                    <w:rPr>
                      <w:rFonts w:hint="eastAsia"/>
                      <w:color w:val="auto"/>
                      <w:highlight w:val="none"/>
                      <w:lang w:val="en-US" w:eastAsia="zh-CN"/>
                    </w:rPr>
                    <w:t>7m</w:t>
                  </w:r>
                  <w:r>
                    <w:rPr>
                      <w:rFonts w:hint="eastAsia"/>
                      <w:color w:val="auto"/>
                      <w:highlight w:val="none"/>
                      <w:vertAlign w:val="superscript"/>
                      <w:lang w:val="en-US" w:eastAsia="zh-CN"/>
                    </w:rPr>
                    <w:t>3</w:t>
                  </w:r>
                  <w:r>
                    <w:rPr>
                      <w:rFonts w:hint="eastAsia"/>
                      <w:color w:val="auto"/>
                      <w:highlight w:val="none"/>
                      <w:vertAlign w:val="baseline"/>
                      <w:lang w:val="en-US" w:eastAsia="zh-CN"/>
                    </w:rPr>
                    <w:t>/min</w:t>
                  </w:r>
                </w:p>
              </w:tc>
              <w:tc>
                <w:tcPr>
                  <w:tcW w:w="2295" w:type="dxa"/>
                  <w:tcBorders>
                    <w:tl2br w:val="nil"/>
                    <w:tr2bl w:val="nil"/>
                  </w:tcBorders>
                  <w:shd w:val="clear" w:color="auto" w:fill="FFFFFF"/>
                  <w:vAlign w:val="center"/>
                </w:tcPr>
                <w:p w14:paraId="7CBD8E3D">
                  <w:pPr>
                    <w:pStyle w:val="21"/>
                    <w:keepNext w:val="0"/>
                    <w:keepLines w:val="0"/>
                    <w:suppressLineNumbers w:val="0"/>
                    <w:autoSpaceDE/>
                    <w:autoSpaceDN/>
                    <w:spacing w:before="0" w:beforeAutospacing="0" w:after="0" w:afterAutospacing="0" w:line="240" w:lineRule="exact"/>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设置7m</w:t>
                  </w:r>
                  <w:r>
                    <w:rPr>
                      <w:rFonts w:hint="eastAsia"/>
                      <w:color w:val="auto"/>
                      <w:highlight w:val="none"/>
                      <w:vertAlign w:val="superscript"/>
                      <w:lang w:val="en-US" w:eastAsia="zh-CN"/>
                    </w:rPr>
                    <w:t>3</w:t>
                  </w:r>
                  <w:r>
                    <w:rPr>
                      <w:rFonts w:hint="eastAsia"/>
                      <w:color w:val="auto"/>
                      <w:highlight w:val="none"/>
                      <w:vertAlign w:val="baseline"/>
                      <w:lang w:val="en-US" w:eastAsia="zh-CN"/>
                    </w:rPr>
                    <w:t>/min空压机一台，满足项目生产需要</w:t>
                  </w:r>
                </w:p>
              </w:tc>
            </w:tr>
            <w:tr w14:paraId="099D50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9" w:type="dxa"/>
                  <w:vMerge w:val="continue"/>
                  <w:tcBorders>
                    <w:tl2br w:val="nil"/>
                    <w:tr2bl w:val="nil"/>
                  </w:tcBorders>
                  <w:shd w:val="clear" w:color="auto" w:fill="FFFFFF"/>
                  <w:vAlign w:val="center"/>
                </w:tcPr>
                <w:p w14:paraId="03B2845A">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p>
              </w:tc>
              <w:tc>
                <w:tcPr>
                  <w:tcW w:w="1857" w:type="dxa"/>
                  <w:gridSpan w:val="2"/>
                  <w:tcBorders>
                    <w:tl2br w:val="nil"/>
                    <w:tr2bl w:val="nil"/>
                  </w:tcBorders>
                  <w:shd w:val="clear" w:color="auto" w:fill="FFFFFF"/>
                  <w:vAlign w:val="center"/>
                </w:tcPr>
                <w:p w14:paraId="134777DF">
                  <w:pPr>
                    <w:pStyle w:val="21"/>
                    <w:keepNext w:val="0"/>
                    <w:keepLines w:val="0"/>
                    <w:suppressLineNumbers w:val="0"/>
                    <w:autoSpaceDE/>
                    <w:autoSpaceDN/>
                    <w:spacing w:before="0" w:beforeAutospacing="0" w:after="0" w:afterAutospacing="0" w:line="240" w:lineRule="exact"/>
                    <w:ind w:left="0" w:right="0"/>
                    <w:rPr>
                      <w:rFonts w:hint="default"/>
                      <w:color w:val="auto"/>
                      <w:highlight w:val="none"/>
                      <w:lang w:val="en-US" w:eastAsia="zh-CN"/>
                    </w:rPr>
                  </w:pPr>
                  <w:r>
                    <w:rPr>
                      <w:rFonts w:hint="eastAsia"/>
                      <w:color w:val="auto"/>
                      <w:highlight w:val="none"/>
                      <w:lang w:val="en-US" w:eastAsia="zh-CN"/>
                    </w:rPr>
                    <w:t>臭氧供应</w:t>
                  </w:r>
                </w:p>
              </w:tc>
              <w:tc>
                <w:tcPr>
                  <w:tcW w:w="3040" w:type="dxa"/>
                  <w:tcBorders>
                    <w:tl2br w:val="nil"/>
                    <w:tr2bl w:val="nil"/>
                  </w:tcBorders>
                  <w:shd w:val="clear" w:color="auto" w:fill="FFFFFF"/>
                  <w:vAlign w:val="center"/>
                </w:tcPr>
                <w:p w14:paraId="62D5181D">
                  <w:pPr>
                    <w:pStyle w:val="21"/>
                    <w:keepNext w:val="0"/>
                    <w:keepLines w:val="0"/>
                    <w:suppressLineNumbers w:val="0"/>
                    <w:autoSpaceDE/>
                    <w:autoSpaceDN/>
                    <w:spacing w:before="0" w:beforeAutospacing="0" w:after="0" w:afterAutospacing="0" w:line="240" w:lineRule="exact"/>
                    <w:ind w:left="0" w:right="0"/>
                    <w:rPr>
                      <w:rFonts w:hint="default"/>
                      <w:color w:val="auto"/>
                      <w:highlight w:val="none"/>
                      <w:vertAlign w:val="baseline"/>
                      <w:lang w:val="en-US" w:eastAsia="zh-CN"/>
                    </w:rPr>
                  </w:pPr>
                  <w:r>
                    <w:rPr>
                      <w:rFonts w:hint="eastAsia"/>
                      <w:color w:val="auto"/>
                      <w:lang w:val="en-US" w:eastAsia="zh-CN"/>
                    </w:rPr>
                    <w:t>800g/h</w:t>
                  </w:r>
                </w:p>
              </w:tc>
              <w:tc>
                <w:tcPr>
                  <w:tcW w:w="2295" w:type="dxa"/>
                  <w:tcBorders>
                    <w:tl2br w:val="nil"/>
                    <w:tr2bl w:val="nil"/>
                  </w:tcBorders>
                  <w:shd w:val="clear" w:color="auto" w:fill="FFFFFF"/>
                  <w:vAlign w:val="center"/>
                </w:tcPr>
                <w:p w14:paraId="0F220201">
                  <w:pPr>
                    <w:pStyle w:val="21"/>
                    <w:keepNext w:val="0"/>
                    <w:keepLines w:val="0"/>
                    <w:suppressLineNumbers w:val="0"/>
                    <w:autoSpaceDE/>
                    <w:autoSpaceDN/>
                    <w:spacing w:before="0" w:beforeAutospacing="0" w:after="0" w:afterAutospacing="0" w:line="240" w:lineRule="exact"/>
                    <w:ind w:left="0" w:right="0"/>
                    <w:rPr>
                      <w:rFonts w:hint="default"/>
                      <w:color w:val="auto"/>
                      <w:highlight w:val="none"/>
                      <w:lang w:val="en-US" w:eastAsia="zh-CN"/>
                    </w:rPr>
                  </w:pPr>
                  <w:r>
                    <w:rPr>
                      <w:rFonts w:hint="eastAsia"/>
                      <w:color w:val="auto"/>
                      <w:highlight w:val="none"/>
                      <w:lang w:val="en-US" w:eastAsia="zh-CN"/>
                    </w:rPr>
                    <w:t>设置</w:t>
                  </w:r>
                  <w:r>
                    <w:rPr>
                      <w:rFonts w:hint="eastAsia"/>
                      <w:color w:val="auto"/>
                      <w:lang w:val="en-US" w:eastAsia="zh-CN"/>
                    </w:rPr>
                    <w:t>1000g/h</w:t>
                  </w:r>
                  <w:r>
                    <w:rPr>
                      <w:rFonts w:hint="eastAsia"/>
                      <w:color w:val="auto"/>
                      <w:highlight w:val="none"/>
                      <w:lang w:val="en-US" w:eastAsia="zh-CN"/>
                    </w:rPr>
                    <w:t>臭氧发生器一套，满足生产需要</w:t>
                  </w:r>
                </w:p>
              </w:tc>
            </w:tr>
            <w:tr w14:paraId="5FA5A7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29" w:type="dxa"/>
                  <w:vMerge w:val="restart"/>
                  <w:tcBorders>
                    <w:tl2br w:val="nil"/>
                    <w:tr2bl w:val="nil"/>
                  </w:tcBorders>
                  <w:shd w:val="clear" w:color="auto" w:fill="FFFFFF"/>
                  <w:vAlign w:val="center"/>
                </w:tcPr>
                <w:p w14:paraId="4C517B1E">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环保</w:t>
                  </w:r>
                </w:p>
                <w:p w14:paraId="6CED1752">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工程</w:t>
                  </w:r>
                </w:p>
              </w:tc>
              <w:tc>
                <w:tcPr>
                  <w:tcW w:w="437" w:type="dxa"/>
                  <w:vMerge w:val="restart"/>
                  <w:tcBorders>
                    <w:tl2br w:val="nil"/>
                    <w:tr2bl w:val="nil"/>
                  </w:tcBorders>
                  <w:shd w:val="clear" w:color="auto" w:fill="FFFFFF"/>
                  <w:vAlign w:val="center"/>
                </w:tcPr>
                <w:p w14:paraId="5EA4946E">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废水</w:t>
                  </w:r>
                </w:p>
              </w:tc>
              <w:tc>
                <w:tcPr>
                  <w:tcW w:w="1420" w:type="dxa"/>
                  <w:tcBorders>
                    <w:tl2br w:val="nil"/>
                    <w:tr2bl w:val="nil"/>
                  </w:tcBorders>
                  <w:shd w:val="clear" w:color="auto" w:fill="FFFFFF"/>
                  <w:vAlign w:val="center"/>
                </w:tcPr>
                <w:p w14:paraId="6ADF32AD">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生活污水</w:t>
                  </w:r>
                </w:p>
              </w:tc>
              <w:tc>
                <w:tcPr>
                  <w:tcW w:w="3040" w:type="dxa"/>
                  <w:vMerge w:val="restart"/>
                  <w:tcBorders>
                    <w:tl2br w:val="nil"/>
                    <w:tr2bl w:val="nil"/>
                  </w:tcBorders>
                  <w:shd w:val="clear" w:color="auto" w:fill="FFFFFF"/>
                  <w:vAlign w:val="center"/>
                </w:tcPr>
                <w:p w14:paraId="61CAC57D">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依托租赁厂区化粪池、隔油池及污水处理站（设计处理能力2250m</w:t>
                  </w:r>
                  <w:r>
                    <w:rPr>
                      <w:rFonts w:hint="eastAsia"/>
                      <w:color w:val="auto"/>
                      <w:highlight w:val="none"/>
                      <w:vertAlign w:val="superscript"/>
                      <w:lang w:val="en-US" w:eastAsia="zh-CN"/>
                    </w:rPr>
                    <w:t>3</w:t>
                  </w:r>
                  <w:r>
                    <w:rPr>
                      <w:rFonts w:hint="eastAsia"/>
                      <w:color w:val="auto"/>
                      <w:highlight w:val="none"/>
                      <w:vertAlign w:val="baseline"/>
                      <w:lang w:val="en-US" w:eastAsia="zh-CN"/>
                    </w:rPr>
                    <w:t>/d</w:t>
                  </w:r>
                  <w:r>
                    <w:rPr>
                      <w:rFonts w:hint="eastAsia"/>
                      <w:color w:val="auto"/>
                      <w:highlight w:val="none"/>
                      <w:lang w:val="en-US" w:eastAsia="zh-CN"/>
                    </w:rPr>
                    <w:t>）预处理后接管空港污水处理厂</w:t>
                  </w:r>
                </w:p>
              </w:tc>
              <w:tc>
                <w:tcPr>
                  <w:tcW w:w="2295" w:type="dxa"/>
                  <w:vMerge w:val="restart"/>
                  <w:tcBorders>
                    <w:tl2br w:val="nil"/>
                    <w:tr2bl w:val="nil"/>
                  </w:tcBorders>
                  <w:shd w:val="clear" w:color="auto" w:fill="FFFFFF"/>
                  <w:vAlign w:val="center"/>
                </w:tcPr>
                <w:p w14:paraId="39507BAE">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执行《污水综合排放标准》（GB8978-1996）表4三级标准及</w:t>
                  </w:r>
                  <w:r>
                    <w:rPr>
                      <w:rFonts w:hint="eastAsia"/>
                      <w:color w:val="auto"/>
                      <w:highlight w:val="none"/>
                      <w:lang w:val="en-US" w:eastAsia="zh-CN"/>
                    </w:rPr>
                    <w:t>空港</w:t>
                  </w:r>
                  <w:r>
                    <w:rPr>
                      <w:rFonts w:hint="eastAsia" w:ascii="Times New Roman" w:hAnsi="Times New Roman" w:eastAsia="宋体"/>
                      <w:color w:val="auto"/>
                      <w:highlight w:val="none"/>
                      <w:lang w:val="en-US"/>
                    </w:rPr>
                    <w:t>污水处理厂接管水质要求</w:t>
                  </w:r>
                </w:p>
              </w:tc>
            </w:tr>
            <w:tr w14:paraId="7C1717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9" w:type="dxa"/>
                  <w:vMerge w:val="continue"/>
                  <w:tcBorders>
                    <w:tl2br w:val="nil"/>
                    <w:tr2bl w:val="nil"/>
                  </w:tcBorders>
                  <w:shd w:val="clear" w:color="auto" w:fill="FFFFFF"/>
                  <w:vAlign w:val="center"/>
                </w:tcPr>
                <w:p w14:paraId="652C2111">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rPr>
                  </w:pPr>
                </w:p>
              </w:tc>
              <w:tc>
                <w:tcPr>
                  <w:tcW w:w="437" w:type="dxa"/>
                  <w:vMerge w:val="continue"/>
                  <w:tcBorders>
                    <w:tl2br w:val="nil"/>
                    <w:tr2bl w:val="nil"/>
                  </w:tcBorders>
                  <w:shd w:val="clear" w:color="auto" w:fill="FFFFFF"/>
                  <w:vAlign w:val="center"/>
                </w:tcPr>
                <w:p w14:paraId="0026E4F6">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rPr>
                  </w:pPr>
                </w:p>
              </w:tc>
              <w:tc>
                <w:tcPr>
                  <w:tcW w:w="1420" w:type="dxa"/>
                  <w:tcBorders>
                    <w:tl2br w:val="nil"/>
                    <w:tr2bl w:val="nil"/>
                  </w:tcBorders>
                  <w:shd w:val="clear" w:color="auto" w:fill="FFFFFF"/>
                  <w:vAlign w:val="center"/>
                </w:tcPr>
                <w:p w14:paraId="5A31FE5D">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食堂废水</w:t>
                  </w:r>
                </w:p>
              </w:tc>
              <w:tc>
                <w:tcPr>
                  <w:tcW w:w="3040" w:type="dxa"/>
                  <w:vMerge w:val="continue"/>
                  <w:tcBorders>
                    <w:tl2br w:val="nil"/>
                    <w:tr2bl w:val="nil"/>
                  </w:tcBorders>
                  <w:shd w:val="clear" w:color="auto" w:fill="FFFFFF"/>
                  <w:vAlign w:val="center"/>
                </w:tcPr>
                <w:p w14:paraId="51C2416C">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lang w:val="en-US"/>
                    </w:rPr>
                  </w:pPr>
                </w:p>
              </w:tc>
              <w:tc>
                <w:tcPr>
                  <w:tcW w:w="2295" w:type="dxa"/>
                  <w:vMerge w:val="continue"/>
                  <w:tcBorders>
                    <w:tl2br w:val="nil"/>
                    <w:tr2bl w:val="nil"/>
                  </w:tcBorders>
                  <w:shd w:val="clear" w:color="auto" w:fill="FFFFFF"/>
                  <w:vAlign w:val="center"/>
                </w:tcPr>
                <w:p w14:paraId="6933BE94">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lang w:val="en-US"/>
                    </w:rPr>
                  </w:pPr>
                </w:p>
              </w:tc>
            </w:tr>
            <w:tr w14:paraId="3A1774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9" w:type="dxa"/>
                  <w:vMerge w:val="continue"/>
                  <w:tcBorders>
                    <w:tl2br w:val="nil"/>
                    <w:tr2bl w:val="nil"/>
                  </w:tcBorders>
                  <w:shd w:val="clear" w:color="auto" w:fill="FFFFFF"/>
                  <w:vAlign w:val="center"/>
                </w:tcPr>
                <w:p w14:paraId="09B56C79">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rPr>
                  </w:pPr>
                </w:p>
              </w:tc>
              <w:tc>
                <w:tcPr>
                  <w:tcW w:w="437" w:type="dxa"/>
                  <w:vMerge w:val="continue"/>
                  <w:tcBorders>
                    <w:tl2br w:val="nil"/>
                    <w:tr2bl w:val="nil"/>
                  </w:tcBorders>
                  <w:shd w:val="clear" w:color="auto" w:fill="FFFFFF"/>
                  <w:vAlign w:val="center"/>
                </w:tcPr>
                <w:p w14:paraId="5EB0483A">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rPr>
                  </w:pPr>
                </w:p>
              </w:tc>
              <w:tc>
                <w:tcPr>
                  <w:tcW w:w="1420" w:type="dxa"/>
                  <w:tcBorders>
                    <w:tl2br w:val="nil"/>
                    <w:tr2bl w:val="nil"/>
                  </w:tcBorders>
                  <w:shd w:val="clear" w:color="auto" w:fill="FFFFFF"/>
                  <w:vAlign w:val="center"/>
                </w:tcPr>
                <w:p w14:paraId="1675DB8F">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设备清洗废水</w:t>
                  </w:r>
                </w:p>
              </w:tc>
              <w:tc>
                <w:tcPr>
                  <w:tcW w:w="3040" w:type="dxa"/>
                  <w:vMerge w:val="continue"/>
                  <w:tcBorders>
                    <w:tl2br w:val="nil"/>
                    <w:tr2bl w:val="nil"/>
                  </w:tcBorders>
                  <w:shd w:val="clear" w:color="auto" w:fill="FFFFFF"/>
                  <w:vAlign w:val="center"/>
                </w:tcPr>
                <w:p w14:paraId="3E618239">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lang w:val="en-US"/>
                    </w:rPr>
                  </w:pPr>
                </w:p>
              </w:tc>
              <w:tc>
                <w:tcPr>
                  <w:tcW w:w="2295" w:type="dxa"/>
                  <w:vMerge w:val="continue"/>
                  <w:tcBorders>
                    <w:tl2br w:val="nil"/>
                    <w:tr2bl w:val="nil"/>
                  </w:tcBorders>
                  <w:shd w:val="clear" w:color="auto" w:fill="FFFFFF"/>
                  <w:vAlign w:val="center"/>
                </w:tcPr>
                <w:p w14:paraId="28145117">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lang w:val="en-US"/>
                    </w:rPr>
                  </w:pPr>
                </w:p>
              </w:tc>
            </w:tr>
            <w:tr w14:paraId="31EAE7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9" w:type="dxa"/>
                  <w:vMerge w:val="continue"/>
                  <w:tcBorders>
                    <w:tl2br w:val="nil"/>
                    <w:tr2bl w:val="nil"/>
                  </w:tcBorders>
                  <w:shd w:val="clear" w:color="auto" w:fill="FFFFFF"/>
                  <w:vAlign w:val="center"/>
                </w:tcPr>
                <w:p w14:paraId="0F502C41">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rPr>
                  </w:pPr>
                </w:p>
              </w:tc>
              <w:tc>
                <w:tcPr>
                  <w:tcW w:w="437" w:type="dxa"/>
                  <w:vMerge w:val="continue"/>
                  <w:tcBorders>
                    <w:tl2br w:val="nil"/>
                    <w:tr2bl w:val="nil"/>
                  </w:tcBorders>
                  <w:shd w:val="clear" w:color="auto" w:fill="FFFFFF"/>
                  <w:vAlign w:val="center"/>
                </w:tcPr>
                <w:p w14:paraId="49285972">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rPr>
                  </w:pPr>
                </w:p>
              </w:tc>
              <w:tc>
                <w:tcPr>
                  <w:tcW w:w="1420" w:type="dxa"/>
                  <w:tcBorders>
                    <w:tl2br w:val="nil"/>
                    <w:tr2bl w:val="nil"/>
                  </w:tcBorders>
                  <w:shd w:val="clear" w:color="auto" w:fill="FFFFFF"/>
                  <w:vAlign w:val="center"/>
                </w:tcPr>
                <w:p w14:paraId="4779DE45">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地面冲洗废水</w:t>
                  </w:r>
                </w:p>
              </w:tc>
              <w:tc>
                <w:tcPr>
                  <w:tcW w:w="3040" w:type="dxa"/>
                  <w:vMerge w:val="continue"/>
                  <w:tcBorders>
                    <w:tl2br w:val="nil"/>
                    <w:tr2bl w:val="nil"/>
                  </w:tcBorders>
                  <w:shd w:val="clear" w:color="auto" w:fill="FFFFFF"/>
                  <w:vAlign w:val="center"/>
                </w:tcPr>
                <w:p w14:paraId="04C972FD">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lang w:val="en-US"/>
                    </w:rPr>
                  </w:pPr>
                </w:p>
              </w:tc>
              <w:tc>
                <w:tcPr>
                  <w:tcW w:w="2295" w:type="dxa"/>
                  <w:vMerge w:val="continue"/>
                  <w:tcBorders>
                    <w:tl2br w:val="nil"/>
                    <w:tr2bl w:val="nil"/>
                  </w:tcBorders>
                  <w:shd w:val="clear" w:color="auto" w:fill="FFFFFF"/>
                  <w:vAlign w:val="center"/>
                </w:tcPr>
                <w:p w14:paraId="21A3D25B">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lang w:val="en-US"/>
                    </w:rPr>
                  </w:pPr>
                </w:p>
              </w:tc>
            </w:tr>
            <w:tr w14:paraId="71D172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9" w:type="dxa"/>
                  <w:vMerge w:val="continue"/>
                  <w:tcBorders>
                    <w:tl2br w:val="nil"/>
                    <w:tr2bl w:val="nil"/>
                  </w:tcBorders>
                  <w:shd w:val="clear" w:color="auto" w:fill="FFFFFF"/>
                  <w:vAlign w:val="center"/>
                </w:tcPr>
                <w:p w14:paraId="49615E81">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rPr>
                  </w:pPr>
                </w:p>
              </w:tc>
              <w:tc>
                <w:tcPr>
                  <w:tcW w:w="437" w:type="dxa"/>
                  <w:vMerge w:val="continue"/>
                  <w:tcBorders>
                    <w:tl2br w:val="nil"/>
                    <w:tr2bl w:val="nil"/>
                  </w:tcBorders>
                  <w:shd w:val="clear" w:color="auto" w:fill="FFFFFF"/>
                  <w:vAlign w:val="center"/>
                </w:tcPr>
                <w:p w14:paraId="75B05AB3">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rPr>
                  </w:pPr>
                </w:p>
              </w:tc>
              <w:tc>
                <w:tcPr>
                  <w:tcW w:w="1420" w:type="dxa"/>
                  <w:tcBorders>
                    <w:tl2br w:val="nil"/>
                    <w:tr2bl w:val="nil"/>
                  </w:tcBorders>
                  <w:shd w:val="clear" w:color="auto" w:fill="FFFFFF"/>
                  <w:vAlign w:val="center"/>
                </w:tcPr>
                <w:p w14:paraId="6D09C22C">
                  <w:pPr>
                    <w:pStyle w:val="21"/>
                    <w:keepNext w:val="0"/>
                    <w:keepLines w:val="0"/>
                    <w:suppressLineNumbers w:val="0"/>
                    <w:autoSpaceDE/>
                    <w:autoSpaceDN/>
                    <w:spacing w:before="0" w:beforeAutospacing="0" w:after="0" w:afterAutospacing="0" w:line="240" w:lineRule="exact"/>
                    <w:ind w:left="0" w:right="0"/>
                    <w:rPr>
                      <w:rFonts w:hint="default"/>
                      <w:color w:val="auto"/>
                      <w:highlight w:val="none"/>
                      <w:lang w:val="en-US" w:eastAsia="zh-CN"/>
                    </w:rPr>
                  </w:pPr>
                  <w:r>
                    <w:rPr>
                      <w:rFonts w:hint="eastAsia"/>
                      <w:color w:val="auto"/>
                      <w:highlight w:val="none"/>
                      <w:lang w:val="en-US" w:eastAsia="zh-CN"/>
                    </w:rPr>
                    <w:t>纯水制备浓水</w:t>
                  </w:r>
                </w:p>
              </w:tc>
              <w:tc>
                <w:tcPr>
                  <w:tcW w:w="3040" w:type="dxa"/>
                  <w:tcBorders>
                    <w:tl2br w:val="nil"/>
                    <w:tr2bl w:val="nil"/>
                  </w:tcBorders>
                  <w:shd w:val="clear" w:color="auto" w:fill="FFFFFF"/>
                  <w:vAlign w:val="center"/>
                </w:tcPr>
                <w:p w14:paraId="4677CBCC">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lang w:val="en-US"/>
                    </w:rPr>
                  </w:pPr>
                  <w:r>
                    <w:rPr>
                      <w:rFonts w:hint="eastAsia"/>
                      <w:color w:val="auto"/>
                      <w:highlight w:val="none"/>
                      <w:lang w:val="en-US" w:eastAsia="zh-CN"/>
                    </w:rPr>
                    <w:t>接管空港污水处理厂</w:t>
                  </w:r>
                </w:p>
              </w:tc>
              <w:tc>
                <w:tcPr>
                  <w:tcW w:w="2295" w:type="dxa"/>
                  <w:vMerge w:val="continue"/>
                  <w:tcBorders>
                    <w:tl2br w:val="nil"/>
                    <w:tr2bl w:val="nil"/>
                  </w:tcBorders>
                  <w:shd w:val="clear" w:color="auto" w:fill="FFFFFF"/>
                  <w:vAlign w:val="center"/>
                </w:tcPr>
                <w:p w14:paraId="13D3319A">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lang w:val="en-US"/>
                    </w:rPr>
                  </w:pPr>
                </w:p>
              </w:tc>
            </w:tr>
            <w:tr w14:paraId="4DE2B1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9" w:type="dxa"/>
                  <w:vMerge w:val="continue"/>
                  <w:tcBorders>
                    <w:tl2br w:val="nil"/>
                    <w:tr2bl w:val="nil"/>
                  </w:tcBorders>
                  <w:shd w:val="clear" w:color="auto" w:fill="FFFFFF"/>
                  <w:vAlign w:val="center"/>
                </w:tcPr>
                <w:p w14:paraId="55F0AE54">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rPr>
                  </w:pPr>
                </w:p>
              </w:tc>
              <w:tc>
                <w:tcPr>
                  <w:tcW w:w="437" w:type="dxa"/>
                  <w:vMerge w:val="continue"/>
                  <w:tcBorders>
                    <w:tl2br w:val="nil"/>
                    <w:tr2bl w:val="nil"/>
                  </w:tcBorders>
                  <w:shd w:val="clear" w:color="auto" w:fill="FFFFFF"/>
                  <w:vAlign w:val="center"/>
                </w:tcPr>
                <w:p w14:paraId="4AFE64DD">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rPr>
                  </w:pPr>
                </w:p>
              </w:tc>
              <w:tc>
                <w:tcPr>
                  <w:tcW w:w="1420" w:type="dxa"/>
                  <w:tcBorders>
                    <w:tl2br w:val="nil"/>
                    <w:tr2bl w:val="nil"/>
                  </w:tcBorders>
                  <w:shd w:val="clear" w:color="auto" w:fill="FFFFFF"/>
                  <w:vAlign w:val="center"/>
                </w:tcPr>
                <w:p w14:paraId="504BF0B1">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排放口</w:t>
                  </w:r>
                </w:p>
              </w:tc>
              <w:tc>
                <w:tcPr>
                  <w:tcW w:w="3040" w:type="dxa"/>
                  <w:tcBorders>
                    <w:tl2br w:val="nil"/>
                    <w:tr2bl w:val="nil"/>
                  </w:tcBorders>
                  <w:shd w:val="clear" w:color="auto" w:fill="FFFFFF"/>
                  <w:vAlign w:val="center"/>
                </w:tcPr>
                <w:p w14:paraId="355E0D8C">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依托租赁厂区1个废水总排口，2个雨水排放口</w:t>
                  </w:r>
                </w:p>
              </w:tc>
              <w:tc>
                <w:tcPr>
                  <w:tcW w:w="2295" w:type="dxa"/>
                  <w:tcBorders>
                    <w:tl2br w:val="nil"/>
                    <w:tr2bl w:val="nil"/>
                  </w:tcBorders>
                  <w:shd w:val="clear" w:color="auto" w:fill="FFFFFF"/>
                  <w:vAlign w:val="center"/>
                </w:tcPr>
                <w:p w14:paraId="0AA5F755">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租赁厂区已建规范化污水排口1个，位于厂区北侧，雨水排口4个，南北厂界各两个，本项目依托南厂界2的两个排口</w:t>
                  </w:r>
                </w:p>
              </w:tc>
            </w:tr>
            <w:tr w14:paraId="061B2D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9" w:type="dxa"/>
                  <w:vMerge w:val="continue"/>
                  <w:tcBorders>
                    <w:tl2br w:val="nil"/>
                    <w:tr2bl w:val="nil"/>
                  </w:tcBorders>
                  <w:shd w:val="clear" w:color="auto" w:fill="FFFFFF"/>
                  <w:vAlign w:val="center"/>
                </w:tcPr>
                <w:p w14:paraId="1249D891">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p>
              </w:tc>
              <w:tc>
                <w:tcPr>
                  <w:tcW w:w="437" w:type="dxa"/>
                  <w:vMerge w:val="restart"/>
                  <w:tcBorders>
                    <w:tl2br w:val="nil"/>
                    <w:tr2bl w:val="nil"/>
                  </w:tcBorders>
                  <w:shd w:val="clear" w:color="auto" w:fill="FFFFFF"/>
                  <w:vAlign w:val="center"/>
                </w:tcPr>
                <w:p w14:paraId="2666C923">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废气</w:t>
                  </w:r>
                </w:p>
              </w:tc>
              <w:tc>
                <w:tcPr>
                  <w:tcW w:w="1420" w:type="dxa"/>
                  <w:tcBorders>
                    <w:tl2br w:val="nil"/>
                    <w:tr2bl w:val="nil"/>
                  </w:tcBorders>
                  <w:shd w:val="clear" w:color="auto" w:fill="FFFFFF"/>
                  <w:vAlign w:val="center"/>
                </w:tcPr>
                <w:p w14:paraId="2524C052">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注塑、吹瓶废气</w:t>
                  </w:r>
                </w:p>
              </w:tc>
              <w:tc>
                <w:tcPr>
                  <w:tcW w:w="3040" w:type="dxa"/>
                  <w:tcBorders>
                    <w:tl2br w:val="nil"/>
                    <w:tr2bl w:val="nil"/>
                  </w:tcBorders>
                  <w:shd w:val="clear" w:color="auto" w:fill="FFFFFF"/>
                  <w:vAlign w:val="center"/>
                </w:tcPr>
                <w:p w14:paraId="548EA83F">
                  <w:pPr>
                    <w:pStyle w:val="21"/>
                    <w:keepNext w:val="0"/>
                    <w:keepLines w:val="0"/>
                    <w:suppressLineNumbers w:val="0"/>
                    <w:autoSpaceDE/>
                    <w:autoSpaceDN/>
                    <w:spacing w:before="0" w:beforeAutospacing="0" w:after="0" w:afterAutospacing="0" w:line="240" w:lineRule="exact"/>
                    <w:ind w:left="0" w:right="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一套二级活性炭吸附+15米高排气筒设施，风量25000m</w:t>
                  </w:r>
                  <w:r>
                    <w:rPr>
                      <w:rFonts w:hint="eastAsia"/>
                      <w:color w:val="auto"/>
                      <w:highlight w:val="none"/>
                      <w:vertAlign w:val="superscript"/>
                      <w:lang w:val="en-US" w:eastAsia="zh-CN"/>
                    </w:rPr>
                    <w:t>3</w:t>
                  </w:r>
                  <w:r>
                    <w:rPr>
                      <w:rFonts w:hint="eastAsia"/>
                      <w:color w:val="auto"/>
                      <w:highlight w:val="none"/>
                      <w:vertAlign w:val="baseline"/>
                      <w:lang w:val="en-US" w:eastAsia="zh-CN"/>
                    </w:rPr>
                    <w:t>/h</w:t>
                  </w:r>
                </w:p>
              </w:tc>
              <w:tc>
                <w:tcPr>
                  <w:tcW w:w="2295" w:type="dxa"/>
                  <w:tcBorders>
                    <w:tl2br w:val="nil"/>
                    <w:tr2bl w:val="nil"/>
                  </w:tcBorders>
                  <w:shd w:val="clear" w:color="auto" w:fill="FFFFFF"/>
                  <w:vAlign w:val="center"/>
                </w:tcPr>
                <w:p w14:paraId="3C077B8A">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rPr>
                  </w:pPr>
                  <w:r>
                    <w:rPr>
                      <w:rFonts w:hint="default"/>
                      <w:color w:val="auto"/>
                      <w:highlight w:val="none"/>
                    </w:rPr>
                    <w:t>《</w:t>
                  </w:r>
                  <w:r>
                    <w:rPr>
                      <w:rFonts w:hint="eastAsia"/>
                      <w:color w:val="auto"/>
                      <w:highlight w:val="none"/>
                      <w:lang w:val="en-US" w:eastAsia="zh-CN"/>
                    </w:rPr>
                    <w:t>合成树脂工业</w:t>
                  </w:r>
                  <w:r>
                    <w:rPr>
                      <w:rFonts w:hint="default"/>
                      <w:color w:val="auto"/>
                      <w:highlight w:val="none"/>
                    </w:rPr>
                    <w:t>污染物排放标准》（</w:t>
                  </w:r>
                  <w:r>
                    <w:rPr>
                      <w:rFonts w:hint="eastAsia"/>
                      <w:color w:val="auto"/>
                      <w:highlight w:val="none"/>
                      <w:lang w:val="en-US" w:eastAsia="zh-CN"/>
                    </w:rPr>
                    <w:t>GB31572-2015</w:t>
                  </w:r>
                  <w:r>
                    <w:rPr>
                      <w:rFonts w:hint="default"/>
                      <w:color w:val="auto"/>
                      <w:highlight w:val="none"/>
                    </w:rPr>
                    <w:t>）</w:t>
                  </w:r>
                  <w:r>
                    <w:rPr>
                      <w:rFonts w:hint="eastAsia"/>
                      <w:color w:val="auto"/>
                      <w:highlight w:val="none"/>
                      <w:lang w:val="en-US" w:eastAsia="zh-CN"/>
                    </w:rPr>
                    <w:t>表5特别排放限值</w:t>
                  </w:r>
                </w:p>
              </w:tc>
            </w:tr>
            <w:tr w14:paraId="52ED9F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9" w:type="dxa"/>
                  <w:vMerge w:val="continue"/>
                  <w:tcBorders>
                    <w:tl2br w:val="nil"/>
                    <w:tr2bl w:val="nil"/>
                  </w:tcBorders>
                  <w:shd w:val="clear" w:color="auto" w:fill="FFFFFF"/>
                  <w:vAlign w:val="center"/>
                </w:tcPr>
                <w:p w14:paraId="02BEA158">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p>
              </w:tc>
              <w:tc>
                <w:tcPr>
                  <w:tcW w:w="437" w:type="dxa"/>
                  <w:vMerge w:val="continue"/>
                  <w:tcBorders>
                    <w:tl2br w:val="nil"/>
                    <w:tr2bl w:val="nil"/>
                  </w:tcBorders>
                  <w:shd w:val="clear" w:color="auto" w:fill="FFFFFF"/>
                  <w:vAlign w:val="center"/>
                </w:tcPr>
                <w:p w14:paraId="1373C795">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lang w:val="en-US"/>
                    </w:rPr>
                  </w:pPr>
                </w:p>
              </w:tc>
              <w:tc>
                <w:tcPr>
                  <w:tcW w:w="1420" w:type="dxa"/>
                  <w:tcBorders>
                    <w:tl2br w:val="nil"/>
                    <w:tr2bl w:val="nil"/>
                  </w:tcBorders>
                  <w:shd w:val="clear" w:color="auto" w:fill="FFFFFF"/>
                  <w:vAlign w:val="center"/>
                </w:tcPr>
                <w:p w14:paraId="606D20EE">
                  <w:pPr>
                    <w:pStyle w:val="21"/>
                    <w:keepNext w:val="0"/>
                    <w:keepLines w:val="0"/>
                    <w:suppressLineNumbers w:val="0"/>
                    <w:autoSpaceDE/>
                    <w:autoSpaceDN/>
                    <w:spacing w:before="0" w:beforeAutospacing="0" w:after="0" w:afterAutospacing="0" w:line="240" w:lineRule="exact"/>
                    <w:ind w:left="0" w:right="0"/>
                    <w:rPr>
                      <w:rFonts w:hint="default"/>
                      <w:color w:val="auto"/>
                      <w:highlight w:val="none"/>
                      <w:lang w:val="en-US" w:eastAsia="zh-CN"/>
                    </w:rPr>
                  </w:pPr>
                  <w:r>
                    <w:rPr>
                      <w:rFonts w:hint="eastAsia"/>
                      <w:color w:val="auto"/>
                      <w:highlight w:val="none"/>
                      <w:lang w:val="en-US" w:eastAsia="zh-CN"/>
                    </w:rPr>
                    <w:t>污水处理恶臭气体</w:t>
                  </w:r>
                </w:p>
              </w:tc>
              <w:tc>
                <w:tcPr>
                  <w:tcW w:w="3040" w:type="dxa"/>
                  <w:tcBorders>
                    <w:tl2br w:val="nil"/>
                    <w:tr2bl w:val="nil"/>
                  </w:tcBorders>
                  <w:shd w:val="clear" w:color="auto" w:fill="FFFFFF"/>
                  <w:vAlign w:val="center"/>
                </w:tcPr>
                <w:p w14:paraId="6CE7922D">
                  <w:pPr>
                    <w:pStyle w:val="21"/>
                    <w:keepNext w:val="0"/>
                    <w:keepLines w:val="0"/>
                    <w:suppressLineNumbers w:val="0"/>
                    <w:autoSpaceDE/>
                    <w:autoSpaceDN/>
                    <w:spacing w:before="0" w:beforeAutospacing="0" w:after="0" w:afterAutospacing="0" w:line="240" w:lineRule="exact"/>
                    <w:ind w:left="0" w:right="0" w:firstLine="0" w:firstLineChars="0"/>
                    <w:rPr>
                      <w:rFonts w:hint="default" w:eastAsia="宋体"/>
                      <w:color w:val="auto"/>
                      <w:highlight w:val="none"/>
                      <w:vertAlign w:val="baseline"/>
                      <w:lang w:val="en-US" w:eastAsia="zh-CN"/>
                    </w:rPr>
                  </w:pPr>
                  <w:r>
                    <w:rPr>
                      <w:rFonts w:hint="eastAsia"/>
                      <w:color w:val="auto"/>
                      <w:lang w:val="en-US" w:eastAsia="zh-CN"/>
                    </w:rPr>
                    <w:t>无组织排放</w:t>
                  </w:r>
                </w:p>
              </w:tc>
              <w:tc>
                <w:tcPr>
                  <w:tcW w:w="2295" w:type="dxa"/>
                  <w:tcBorders>
                    <w:tl2br w:val="nil"/>
                    <w:tr2bl w:val="nil"/>
                  </w:tcBorders>
                  <w:shd w:val="clear" w:color="auto" w:fill="FFFFFF"/>
                  <w:vAlign w:val="center"/>
                </w:tcPr>
                <w:p w14:paraId="37DBE026">
                  <w:pPr>
                    <w:pStyle w:val="21"/>
                    <w:keepNext w:val="0"/>
                    <w:keepLines w:val="0"/>
                    <w:suppressLineNumbers w:val="0"/>
                    <w:autoSpaceDE/>
                    <w:autoSpaceDN/>
                    <w:spacing w:before="0" w:beforeAutospacing="0" w:after="0" w:afterAutospacing="0" w:line="240" w:lineRule="exact"/>
                    <w:ind w:left="0" w:right="0"/>
                    <w:rPr>
                      <w:rFonts w:hint="default" w:eastAsia="宋体"/>
                      <w:color w:val="auto"/>
                      <w:highlight w:val="none"/>
                      <w:lang w:val="en-US" w:eastAsia="zh-CN"/>
                    </w:rPr>
                  </w:pPr>
                  <w:r>
                    <w:rPr>
                      <w:rFonts w:hint="eastAsia"/>
                      <w:color w:val="auto"/>
                      <w:highlight w:val="none"/>
                      <w:lang w:val="en-US" w:eastAsia="zh-CN"/>
                    </w:rPr>
                    <w:t>满足</w:t>
                  </w:r>
                  <w:r>
                    <w:rPr>
                      <w:rFonts w:hint="eastAsia" w:ascii="Times New Roman" w:hAnsi="Times New Roman" w:eastAsia="宋体"/>
                      <w:color w:val="auto"/>
                      <w:highlight w:val="none"/>
                      <w:lang w:val="en-US" w:eastAsia="zh-CN"/>
                    </w:rPr>
                    <w:t>《恶臭污染物排放标准》（GB14554-93）表1二级新扩改建项目限值</w:t>
                  </w:r>
                </w:p>
              </w:tc>
            </w:tr>
            <w:tr w14:paraId="58EAD9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9" w:type="dxa"/>
                  <w:vMerge w:val="continue"/>
                  <w:tcBorders>
                    <w:tl2br w:val="nil"/>
                    <w:tr2bl w:val="nil"/>
                  </w:tcBorders>
                  <w:shd w:val="clear" w:color="auto" w:fill="FFFFFF"/>
                  <w:vAlign w:val="center"/>
                </w:tcPr>
                <w:p w14:paraId="1132792E">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p>
              </w:tc>
              <w:tc>
                <w:tcPr>
                  <w:tcW w:w="437" w:type="dxa"/>
                  <w:vMerge w:val="continue"/>
                  <w:tcBorders>
                    <w:tl2br w:val="nil"/>
                    <w:tr2bl w:val="nil"/>
                  </w:tcBorders>
                  <w:shd w:val="clear" w:color="auto" w:fill="FFFFFF"/>
                  <w:vAlign w:val="center"/>
                </w:tcPr>
                <w:p w14:paraId="2715FC5E">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lang w:val="en-US"/>
                    </w:rPr>
                  </w:pPr>
                </w:p>
              </w:tc>
              <w:tc>
                <w:tcPr>
                  <w:tcW w:w="1420" w:type="dxa"/>
                  <w:tcBorders>
                    <w:tl2br w:val="nil"/>
                    <w:tr2bl w:val="nil"/>
                  </w:tcBorders>
                  <w:shd w:val="clear" w:color="auto" w:fill="FFFFFF"/>
                  <w:vAlign w:val="center"/>
                </w:tcPr>
                <w:p w14:paraId="6878A635">
                  <w:pPr>
                    <w:pStyle w:val="21"/>
                    <w:keepNext w:val="0"/>
                    <w:keepLines w:val="0"/>
                    <w:suppressLineNumbers w:val="0"/>
                    <w:autoSpaceDE/>
                    <w:autoSpaceDN/>
                    <w:spacing w:before="0" w:beforeAutospacing="0" w:after="0" w:afterAutospacing="0" w:line="240" w:lineRule="exact"/>
                    <w:ind w:left="0" w:right="0"/>
                    <w:rPr>
                      <w:rFonts w:hint="default"/>
                      <w:color w:val="auto"/>
                      <w:highlight w:val="none"/>
                      <w:lang w:val="en-US" w:eastAsia="zh-CN"/>
                    </w:rPr>
                  </w:pPr>
                  <w:r>
                    <w:rPr>
                      <w:rFonts w:hint="eastAsia"/>
                      <w:color w:val="auto"/>
                      <w:highlight w:val="none"/>
                      <w:lang w:val="en-US" w:eastAsia="zh-CN"/>
                    </w:rPr>
                    <w:t>喷码废气</w:t>
                  </w:r>
                </w:p>
              </w:tc>
              <w:tc>
                <w:tcPr>
                  <w:tcW w:w="3040" w:type="dxa"/>
                  <w:tcBorders>
                    <w:tl2br w:val="nil"/>
                    <w:tr2bl w:val="nil"/>
                  </w:tcBorders>
                  <w:shd w:val="clear" w:color="auto" w:fill="FFFFFF"/>
                  <w:vAlign w:val="center"/>
                </w:tcPr>
                <w:p w14:paraId="4CDE677B">
                  <w:pPr>
                    <w:pStyle w:val="21"/>
                    <w:keepNext w:val="0"/>
                    <w:keepLines w:val="0"/>
                    <w:suppressLineNumbers w:val="0"/>
                    <w:autoSpaceDE/>
                    <w:autoSpaceDN/>
                    <w:spacing w:before="0" w:beforeAutospacing="0" w:after="0" w:afterAutospacing="0" w:line="240" w:lineRule="exact"/>
                    <w:ind w:left="0" w:right="0" w:firstLine="0" w:firstLineChars="0"/>
                    <w:rPr>
                      <w:rFonts w:hint="default"/>
                      <w:color w:val="auto"/>
                      <w:highlight w:val="none"/>
                      <w:lang w:val="en-US" w:eastAsia="zh-CN"/>
                    </w:rPr>
                  </w:pPr>
                  <w:r>
                    <w:rPr>
                      <w:rFonts w:hint="eastAsia"/>
                      <w:color w:val="auto"/>
                      <w:highlight w:val="none"/>
                      <w:lang w:val="en-US" w:eastAsia="zh-CN"/>
                    </w:rPr>
                    <w:t>无组织排放</w:t>
                  </w:r>
                </w:p>
              </w:tc>
              <w:tc>
                <w:tcPr>
                  <w:tcW w:w="2295" w:type="dxa"/>
                  <w:tcBorders>
                    <w:tl2br w:val="nil"/>
                    <w:tr2bl w:val="nil"/>
                  </w:tcBorders>
                  <w:shd w:val="clear" w:color="auto" w:fill="FFFFFF"/>
                  <w:vAlign w:val="center"/>
                </w:tcPr>
                <w:p w14:paraId="3FB1EB76">
                  <w:pPr>
                    <w:pStyle w:val="21"/>
                    <w:keepNext w:val="0"/>
                    <w:keepLines w:val="0"/>
                    <w:suppressLineNumbers w:val="0"/>
                    <w:autoSpaceDE/>
                    <w:autoSpaceDN/>
                    <w:spacing w:before="0" w:beforeAutospacing="0" w:after="0" w:afterAutospacing="0" w:line="240" w:lineRule="exact"/>
                    <w:ind w:left="0" w:right="0"/>
                    <w:rPr>
                      <w:rFonts w:hint="default"/>
                      <w:color w:val="auto"/>
                      <w:highlight w:val="none"/>
                    </w:rPr>
                  </w:pPr>
                  <w:r>
                    <w:rPr>
                      <w:rFonts w:hint="default"/>
                      <w:color w:val="auto"/>
                      <w:highlight w:val="none"/>
                    </w:rPr>
                    <w:t>《</w:t>
                  </w:r>
                  <w:r>
                    <w:rPr>
                      <w:rFonts w:hint="eastAsia"/>
                      <w:color w:val="auto"/>
                      <w:highlight w:val="none"/>
                      <w:lang w:val="en-US" w:eastAsia="zh-CN"/>
                    </w:rPr>
                    <w:t>合成树脂工业</w:t>
                  </w:r>
                  <w:r>
                    <w:rPr>
                      <w:rFonts w:hint="default"/>
                      <w:color w:val="auto"/>
                      <w:highlight w:val="none"/>
                    </w:rPr>
                    <w:t>污染物排放标准》（</w:t>
                  </w:r>
                  <w:r>
                    <w:rPr>
                      <w:rFonts w:hint="eastAsia"/>
                      <w:color w:val="auto"/>
                      <w:highlight w:val="none"/>
                      <w:lang w:val="en-US" w:eastAsia="zh-CN"/>
                    </w:rPr>
                    <w:t>GB31572-2015</w:t>
                  </w:r>
                  <w:r>
                    <w:rPr>
                      <w:rFonts w:hint="default"/>
                      <w:color w:val="auto"/>
                      <w:highlight w:val="none"/>
                    </w:rPr>
                    <w:t>）</w:t>
                  </w:r>
                  <w:r>
                    <w:rPr>
                      <w:rFonts w:hint="eastAsia"/>
                      <w:color w:val="auto"/>
                      <w:highlight w:val="none"/>
                      <w:lang w:val="en-US" w:eastAsia="zh-CN"/>
                    </w:rPr>
                    <w:t>表9限值</w:t>
                  </w:r>
                </w:p>
              </w:tc>
            </w:tr>
            <w:tr w14:paraId="4D3763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9" w:type="dxa"/>
                  <w:vMerge w:val="continue"/>
                  <w:tcBorders>
                    <w:tl2br w:val="nil"/>
                    <w:tr2bl w:val="nil"/>
                  </w:tcBorders>
                  <w:shd w:val="clear" w:color="auto" w:fill="FFFFFF"/>
                  <w:vAlign w:val="center"/>
                </w:tcPr>
                <w:p w14:paraId="71AD8070">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p>
              </w:tc>
              <w:tc>
                <w:tcPr>
                  <w:tcW w:w="437" w:type="dxa"/>
                  <w:tcBorders>
                    <w:tl2br w:val="nil"/>
                    <w:tr2bl w:val="nil"/>
                  </w:tcBorders>
                  <w:shd w:val="clear" w:color="auto" w:fill="FFFFFF"/>
                  <w:vAlign w:val="center"/>
                </w:tcPr>
                <w:p w14:paraId="64A10343">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噪声</w:t>
                  </w:r>
                </w:p>
              </w:tc>
              <w:tc>
                <w:tcPr>
                  <w:tcW w:w="1420" w:type="dxa"/>
                  <w:tcBorders>
                    <w:tl2br w:val="nil"/>
                    <w:tr2bl w:val="nil"/>
                  </w:tcBorders>
                  <w:shd w:val="clear" w:color="auto" w:fill="FFFFFF"/>
                  <w:vAlign w:val="center"/>
                </w:tcPr>
                <w:p w14:paraId="10070CB7">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隔声降噪措施</w:t>
                  </w:r>
                </w:p>
              </w:tc>
              <w:tc>
                <w:tcPr>
                  <w:tcW w:w="3040" w:type="dxa"/>
                  <w:tcBorders>
                    <w:tl2br w:val="nil"/>
                    <w:tr2bl w:val="nil"/>
                  </w:tcBorders>
                  <w:shd w:val="clear" w:color="auto" w:fill="FFFFFF"/>
                  <w:vAlign w:val="center"/>
                </w:tcPr>
                <w:p w14:paraId="2300E8C6">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rPr>
                  </w:pPr>
                  <w:r>
                    <w:rPr>
                      <w:rFonts w:hint="eastAsia" w:ascii="Times New Roman" w:hAnsi="Times New Roman" w:eastAsia="宋体"/>
                      <w:color w:val="auto"/>
                      <w:highlight w:val="none"/>
                    </w:rPr>
                    <w:t>选用低噪音设备，设备减震，厂房隔声；</w:t>
                  </w:r>
                  <w:r>
                    <w:rPr>
                      <w:rFonts w:hint="eastAsia" w:ascii="Times New Roman" w:hAnsi="Times New Roman" w:eastAsia="宋体"/>
                      <w:color w:val="auto"/>
                      <w:highlight w:val="none"/>
                      <w:lang w:val="en-US"/>
                    </w:rPr>
                    <w:t>设计降噪量为2</w:t>
                  </w:r>
                  <w:r>
                    <w:rPr>
                      <w:rFonts w:hint="eastAsia"/>
                      <w:color w:val="auto"/>
                      <w:highlight w:val="none"/>
                      <w:lang w:val="en-US" w:eastAsia="zh-CN"/>
                    </w:rPr>
                    <w:t>0</w:t>
                  </w:r>
                  <w:r>
                    <w:rPr>
                      <w:rFonts w:hint="eastAsia" w:ascii="Times New Roman" w:hAnsi="Times New Roman" w:eastAsia="宋体"/>
                      <w:color w:val="auto"/>
                      <w:highlight w:val="none"/>
                      <w:lang w:val="en-US"/>
                    </w:rPr>
                    <w:t>dB</w:t>
                  </w:r>
                </w:p>
              </w:tc>
              <w:tc>
                <w:tcPr>
                  <w:tcW w:w="2295" w:type="dxa"/>
                  <w:tcBorders>
                    <w:tl2br w:val="nil"/>
                    <w:tr2bl w:val="nil"/>
                  </w:tcBorders>
                  <w:shd w:val="clear" w:color="auto" w:fill="FFFFFF"/>
                  <w:vAlign w:val="center"/>
                </w:tcPr>
                <w:p w14:paraId="2C6F8468">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rPr>
                    <w:t>厂界环境噪声</w:t>
                  </w:r>
                  <w:r>
                    <w:rPr>
                      <w:rFonts w:hint="eastAsia"/>
                      <w:color w:val="auto"/>
                      <w:highlight w:val="none"/>
                      <w:lang w:val="en-US" w:eastAsia="zh-CN"/>
                    </w:rPr>
                    <w:t>达到</w:t>
                  </w:r>
                  <w:r>
                    <w:rPr>
                      <w:rFonts w:hint="eastAsia" w:ascii="Times New Roman" w:hAnsi="Times New Roman" w:eastAsia="宋体"/>
                      <w:color w:val="auto"/>
                      <w:highlight w:val="none"/>
                      <w:lang w:val="en-US"/>
                    </w:rPr>
                    <w:t>《工业企业厂界环境噪声排放标准》（GB12348-2008）</w:t>
                  </w:r>
                  <w:r>
                    <w:rPr>
                      <w:rFonts w:hint="eastAsia" w:ascii="Times New Roman" w:hAnsi="Times New Roman" w:eastAsia="宋体"/>
                      <w:color w:val="auto"/>
                      <w:highlight w:val="none"/>
                      <w:lang w:val="en-US" w:eastAsia="zh-CN"/>
                    </w:rPr>
                    <w:t>2类标准</w:t>
                  </w:r>
                </w:p>
              </w:tc>
            </w:tr>
            <w:tr w14:paraId="5421F1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9" w:type="dxa"/>
                  <w:vMerge w:val="continue"/>
                  <w:tcBorders>
                    <w:tl2br w:val="nil"/>
                    <w:tr2bl w:val="nil"/>
                  </w:tcBorders>
                  <w:shd w:val="clear" w:color="auto" w:fill="FFFFFF"/>
                  <w:vAlign w:val="center"/>
                </w:tcPr>
                <w:p w14:paraId="60DE9D77">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p>
              </w:tc>
              <w:tc>
                <w:tcPr>
                  <w:tcW w:w="437" w:type="dxa"/>
                  <w:vMerge w:val="restart"/>
                  <w:tcBorders>
                    <w:tl2br w:val="nil"/>
                    <w:tr2bl w:val="nil"/>
                  </w:tcBorders>
                  <w:shd w:val="clear" w:color="auto" w:fill="FFFFFF"/>
                  <w:vAlign w:val="center"/>
                </w:tcPr>
                <w:p w14:paraId="574BD896">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固体废物</w:t>
                  </w:r>
                </w:p>
              </w:tc>
              <w:tc>
                <w:tcPr>
                  <w:tcW w:w="1420" w:type="dxa"/>
                  <w:tcBorders>
                    <w:tl2br w:val="nil"/>
                    <w:tr2bl w:val="nil"/>
                  </w:tcBorders>
                  <w:shd w:val="clear" w:color="auto" w:fill="FFFFFF"/>
                  <w:vAlign w:val="center"/>
                </w:tcPr>
                <w:p w14:paraId="13C0E416">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一般</w:t>
                  </w:r>
                  <w:r>
                    <w:rPr>
                      <w:rFonts w:hint="eastAsia" w:ascii="Times New Roman" w:hAnsi="Times New Roman" w:eastAsia="宋体"/>
                      <w:color w:val="auto"/>
                      <w:highlight w:val="none"/>
                      <w:lang w:val="en-US"/>
                    </w:rPr>
                    <w:t>工业</w:t>
                  </w:r>
                  <w:r>
                    <w:rPr>
                      <w:rFonts w:hint="eastAsia" w:ascii="Times New Roman" w:hAnsi="Times New Roman" w:eastAsia="宋体"/>
                      <w:color w:val="auto"/>
                      <w:highlight w:val="none"/>
                    </w:rPr>
                    <w:t>固废</w:t>
                  </w:r>
                  <w:r>
                    <w:rPr>
                      <w:rFonts w:hint="eastAsia" w:ascii="Times New Roman" w:hAnsi="Times New Roman" w:eastAsia="宋体"/>
                      <w:color w:val="auto"/>
                      <w:highlight w:val="none"/>
                      <w:lang w:val="en-US"/>
                    </w:rPr>
                    <w:t>仓库</w:t>
                  </w:r>
                </w:p>
              </w:tc>
              <w:tc>
                <w:tcPr>
                  <w:tcW w:w="3040" w:type="dxa"/>
                  <w:tcBorders>
                    <w:tl2br w:val="nil"/>
                    <w:tr2bl w:val="nil"/>
                  </w:tcBorders>
                  <w:shd w:val="clear" w:color="auto" w:fill="FFFFFF"/>
                  <w:vAlign w:val="center"/>
                </w:tcPr>
                <w:p w14:paraId="441E6770">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vertAlign w:val="superscript"/>
                      <w:lang w:val="en-US" w:eastAsia="zh-CN"/>
                    </w:rPr>
                  </w:pPr>
                  <w:r>
                    <w:rPr>
                      <w:rFonts w:hint="eastAsia"/>
                      <w:color w:val="auto"/>
                      <w:highlight w:val="none"/>
                      <w:lang w:val="en-US" w:eastAsia="zh-CN"/>
                    </w:rPr>
                    <w:t>依托租赁厂区现有一般工业固废仓库453m</w:t>
                  </w:r>
                  <w:r>
                    <w:rPr>
                      <w:rFonts w:hint="eastAsia"/>
                      <w:color w:val="auto"/>
                      <w:highlight w:val="none"/>
                      <w:vertAlign w:val="superscript"/>
                      <w:lang w:val="en-US" w:eastAsia="zh-CN"/>
                    </w:rPr>
                    <w:t>2</w:t>
                  </w:r>
                </w:p>
              </w:tc>
              <w:tc>
                <w:tcPr>
                  <w:tcW w:w="2295" w:type="dxa"/>
                  <w:tcBorders>
                    <w:tl2br w:val="nil"/>
                    <w:tr2bl w:val="nil"/>
                  </w:tcBorders>
                  <w:shd w:val="clear" w:color="auto" w:fill="FFFFFF"/>
                  <w:vAlign w:val="center"/>
                </w:tcPr>
                <w:p w14:paraId="58ABDBF3">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r>
                    <w:rPr>
                      <w:rFonts w:hint="eastAsia"/>
                      <w:color w:val="auto"/>
                      <w:highlight w:val="none"/>
                    </w:rPr>
                    <w:t>满足相应防渗漏、防雨淋、防扬尘等环境保护要求</w:t>
                  </w:r>
                </w:p>
              </w:tc>
            </w:tr>
            <w:tr w14:paraId="2827C4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9" w:type="dxa"/>
                  <w:vMerge w:val="continue"/>
                  <w:tcBorders>
                    <w:tl2br w:val="nil"/>
                    <w:tr2bl w:val="nil"/>
                  </w:tcBorders>
                  <w:shd w:val="clear" w:color="auto" w:fill="FFFFFF"/>
                  <w:vAlign w:val="center"/>
                </w:tcPr>
                <w:p w14:paraId="353C0311">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p>
              </w:tc>
              <w:tc>
                <w:tcPr>
                  <w:tcW w:w="437" w:type="dxa"/>
                  <w:vMerge w:val="continue"/>
                  <w:tcBorders>
                    <w:tl2br w:val="nil"/>
                    <w:tr2bl w:val="nil"/>
                  </w:tcBorders>
                  <w:shd w:val="clear" w:color="auto" w:fill="FFFFFF"/>
                  <w:vAlign w:val="center"/>
                </w:tcPr>
                <w:p w14:paraId="5A4E6509">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p>
              </w:tc>
              <w:tc>
                <w:tcPr>
                  <w:tcW w:w="1420" w:type="dxa"/>
                  <w:tcBorders>
                    <w:tl2br w:val="nil"/>
                    <w:tr2bl w:val="nil"/>
                  </w:tcBorders>
                  <w:shd w:val="clear" w:color="auto" w:fill="FFFFFF"/>
                  <w:vAlign w:val="center"/>
                </w:tcPr>
                <w:p w14:paraId="0C86FD83">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危废仓库</w:t>
                  </w:r>
                </w:p>
              </w:tc>
              <w:tc>
                <w:tcPr>
                  <w:tcW w:w="3040" w:type="dxa"/>
                  <w:tcBorders>
                    <w:tl2br w:val="nil"/>
                    <w:tr2bl w:val="nil"/>
                  </w:tcBorders>
                  <w:shd w:val="clear" w:color="auto" w:fill="FFFFFF"/>
                  <w:vAlign w:val="center"/>
                </w:tcPr>
                <w:p w14:paraId="75F7877D">
                  <w:pPr>
                    <w:pStyle w:val="21"/>
                    <w:keepNext w:val="0"/>
                    <w:keepLines w:val="0"/>
                    <w:suppressLineNumbers w:val="0"/>
                    <w:autoSpaceDE/>
                    <w:autoSpaceDN/>
                    <w:spacing w:before="0" w:beforeAutospacing="0" w:after="0" w:afterAutospacing="0" w:line="240" w:lineRule="exact"/>
                    <w:ind w:left="0" w:right="0"/>
                    <w:rPr>
                      <w:rFonts w:hint="default" w:eastAsia="宋体"/>
                      <w:color w:val="auto"/>
                      <w:highlight w:val="none"/>
                      <w:vertAlign w:val="baseline"/>
                      <w:lang w:val="en-US" w:eastAsia="zh-CN"/>
                    </w:rPr>
                  </w:pPr>
                  <w:r>
                    <w:rPr>
                      <w:rFonts w:hint="eastAsia"/>
                      <w:color w:val="auto"/>
                      <w:highlight w:val="none"/>
                      <w:lang w:val="en-US" w:eastAsia="zh-CN"/>
                    </w:rPr>
                    <w:t>依托租赁厂区现有危废仓库30m</w:t>
                  </w:r>
                  <w:r>
                    <w:rPr>
                      <w:rFonts w:hint="eastAsia"/>
                      <w:color w:val="auto"/>
                      <w:highlight w:val="none"/>
                      <w:vertAlign w:val="superscript"/>
                      <w:lang w:val="en-US" w:eastAsia="zh-CN"/>
                    </w:rPr>
                    <w:t>2</w:t>
                  </w:r>
                </w:p>
              </w:tc>
              <w:tc>
                <w:tcPr>
                  <w:tcW w:w="2295" w:type="dxa"/>
                  <w:tcBorders>
                    <w:tl2br w:val="nil"/>
                    <w:tr2bl w:val="nil"/>
                  </w:tcBorders>
                  <w:shd w:val="clear" w:color="auto" w:fill="FFFFFF"/>
                  <w:vAlign w:val="center"/>
                </w:tcPr>
                <w:p w14:paraId="06488BCC">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lang w:val="en-US" w:eastAsia="zh-CN"/>
                    </w:rPr>
                  </w:pPr>
                  <w:r>
                    <w:rPr>
                      <w:rFonts w:hint="eastAsia"/>
                      <w:color w:val="auto"/>
                      <w:highlight w:val="none"/>
                      <w:lang w:val="en-US" w:eastAsia="zh-CN"/>
                    </w:rPr>
                    <w:t>满足</w:t>
                  </w:r>
                  <w:r>
                    <w:rPr>
                      <w:rFonts w:hint="eastAsia"/>
                      <w:color w:val="auto"/>
                      <w:highlight w:val="none"/>
                      <w:lang w:val="en-US"/>
                    </w:rPr>
                    <w:t>《危险废物贮存污染控制标准》（GB18597-2023）</w:t>
                  </w:r>
                  <w:r>
                    <w:rPr>
                      <w:rFonts w:hint="eastAsia"/>
                      <w:color w:val="auto"/>
                      <w:highlight w:val="none"/>
                      <w:lang w:val="en-US" w:eastAsia="zh-CN"/>
                    </w:rPr>
                    <w:t>要求</w:t>
                  </w:r>
                </w:p>
              </w:tc>
            </w:tr>
            <w:tr w14:paraId="627B7B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0" w:hRule="atLeast"/>
                <w:jc w:val="center"/>
              </w:trPr>
              <w:tc>
                <w:tcPr>
                  <w:tcW w:w="629" w:type="dxa"/>
                  <w:vMerge w:val="continue"/>
                  <w:tcBorders>
                    <w:tl2br w:val="nil"/>
                    <w:tr2bl w:val="nil"/>
                  </w:tcBorders>
                  <w:shd w:val="clear" w:color="auto" w:fill="FFFFFF"/>
                  <w:vAlign w:val="center"/>
                </w:tcPr>
                <w:p w14:paraId="790A1435">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p>
              </w:tc>
              <w:tc>
                <w:tcPr>
                  <w:tcW w:w="1857" w:type="dxa"/>
                  <w:gridSpan w:val="2"/>
                  <w:tcBorders>
                    <w:tl2br w:val="nil"/>
                    <w:tr2bl w:val="nil"/>
                  </w:tcBorders>
                  <w:shd w:val="clear" w:color="auto" w:fill="FFFFFF"/>
                  <w:vAlign w:val="center"/>
                </w:tcPr>
                <w:p w14:paraId="3E0B7666">
                  <w:pPr>
                    <w:pStyle w:val="21"/>
                    <w:keepNext w:val="0"/>
                    <w:keepLines w:val="0"/>
                    <w:suppressLineNumbers w:val="0"/>
                    <w:autoSpaceDE/>
                    <w:autoSpaceDN/>
                    <w:spacing w:before="0" w:beforeAutospacing="0" w:after="0" w:afterAutospacing="0" w:line="240" w:lineRule="exact"/>
                    <w:ind w:left="0" w:right="0"/>
                    <w:rPr>
                      <w:rFonts w:hint="default"/>
                      <w:color w:val="auto"/>
                      <w:highlight w:val="none"/>
                      <w:lang w:val="en-US" w:eastAsia="zh-CN"/>
                    </w:rPr>
                  </w:pPr>
                  <w:r>
                    <w:rPr>
                      <w:rFonts w:hint="eastAsia"/>
                      <w:color w:val="auto"/>
                      <w:highlight w:val="none"/>
                      <w:lang w:val="en-US" w:eastAsia="zh-CN"/>
                    </w:rPr>
                    <w:t>风险防范措施</w:t>
                  </w:r>
                </w:p>
              </w:tc>
              <w:tc>
                <w:tcPr>
                  <w:tcW w:w="3040" w:type="dxa"/>
                  <w:tcBorders>
                    <w:tl2br w:val="nil"/>
                    <w:tr2bl w:val="nil"/>
                  </w:tcBorders>
                  <w:shd w:val="clear" w:color="auto" w:fill="FFFFFF"/>
                  <w:vAlign w:val="center"/>
                </w:tcPr>
                <w:p w14:paraId="72ADCC23">
                  <w:pPr>
                    <w:pStyle w:val="21"/>
                    <w:keepNext w:val="0"/>
                    <w:keepLines w:val="0"/>
                    <w:suppressLineNumbers w:val="0"/>
                    <w:autoSpaceDE/>
                    <w:autoSpaceDN/>
                    <w:spacing w:before="0" w:beforeAutospacing="0" w:after="0" w:afterAutospacing="0" w:line="240" w:lineRule="exact"/>
                    <w:ind w:left="0" w:right="0"/>
                    <w:rPr>
                      <w:rFonts w:hint="default"/>
                      <w:color w:val="auto"/>
                      <w:highlight w:val="none"/>
                      <w:vertAlign w:val="baseline"/>
                      <w:lang w:val="en-US" w:eastAsia="zh-CN"/>
                    </w:rPr>
                  </w:pPr>
                  <w:r>
                    <w:rPr>
                      <w:rFonts w:hint="eastAsia"/>
                      <w:color w:val="auto"/>
                      <w:highlight w:val="none"/>
                      <w:lang w:val="en-US" w:eastAsia="zh-CN"/>
                    </w:rPr>
                    <w:t>依托租赁厂区现有应急事故池450m</w:t>
                  </w:r>
                  <w:r>
                    <w:rPr>
                      <w:rFonts w:hint="eastAsia"/>
                      <w:color w:val="auto"/>
                      <w:highlight w:val="none"/>
                      <w:vertAlign w:val="superscript"/>
                      <w:lang w:val="en-US" w:eastAsia="zh-CN"/>
                    </w:rPr>
                    <w:t>3</w:t>
                  </w:r>
                </w:p>
              </w:tc>
              <w:tc>
                <w:tcPr>
                  <w:tcW w:w="2295" w:type="dxa"/>
                  <w:tcBorders>
                    <w:tl2br w:val="nil"/>
                    <w:tr2bl w:val="nil"/>
                  </w:tcBorders>
                  <w:shd w:val="clear" w:color="auto" w:fill="FFFFFF"/>
                  <w:vAlign w:val="center"/>
                </w:tcPr>
                <w:p w14:paraId="11E3041F">
                  <w:pPr>
                    <w:pStyle w:val="21"/>
                    <w:keepNext w:val="0"/>
                    <w:keepLines w:val="0"/>
                    <w:suppressLineNumbers w:val="0"/>
                    <w:autoSpaceDE/>
                    <w:autoSpaceDN/>
                    <w:spacing w:before="0" w:beforeAutospacing="0" w:after="0" w:afterAutospacing="0" w:line="240" w:lineRule="exact"/>
                    <w:ind w:left="0" w:right="0"/>
                    <w:rPr>
                      <w:rFonts w:hint="default"/>
                      <w:color w:val="auto"/>
                      <w:highlight w:val="none"/>
                      <w:lang w:val="en-US" w:eastAsia="zh-CN"/>
                    </w:rPr>
                  </w:pPr>
                  <w:r>
                    <w:rPr>
                      <w:rFonts w:hint="eastAsia"/>
                      <w:color w:val="auto"/>
                      <w:highlight w:val="none"/>
                      <w:lang w:val="en-US" w:eastAsia="zh-CN"/>
                    </w:rPr>
                    <w:t>满足项目环境风险防范需要</w:t>
                  </w:r>
                </w:p>
              </w:tc>
            </w:tr>
          </w:tbl>
          <w:p w14:paraId="14182780">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4、原辅材料</w:t>
            </w:r>
          </w:p>
          <w:p w14:paraId="7DB01BA9">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本项目建成后全厂主要原辅料使用情况见下表：</w:t>
            </w:r>
          </w:p>
          <w:p w14:paraId="68220B24">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ascii="Times New Roman" w:hAnsi="Times New Roman" w:eastAsia="宋体"/>
                <w:color w:val="auto"/>
                <w:highlight w:val="none"/>
              </w:rPr>
              <w:t>表2-</w:t>
            </w:r>
            <w:r>
              <w:rPr>
                <w:rFonts w:hint="eastAsia"/>
                <w:color w:val="auto"/>
                <w:highlight w:val="none"/>
                <w:lang w:val="en-US" w:eastAsia="zh-CN"/>
              </w:rPr>
              <w:t>5</w:t>
            </w:r>
            <w:r>
              <w:rPr>
                <w:rFonts w:ascii="Times New Roman" w:hAnsi="Times New Roman" w:eastAsia="宋体"/>
                <w:color w:val="auto"/>
                <w:highlight w:val="none"/>
              </w:rPr>
              <w:t>主要原辅料消耗一览表</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286"/>
              <w:gridCol w:w="1488"/>
              <w:gridCol w:w="652"/>
              <w:gridCol w:w="1723"/>
              <w:gridCol w:w="527"/>
              <w:gridCol w:w="848"/>
              <w:gridCol w:w="958"/>
              <w:gridCol w:w="569"/>
              <w:gridCol w:w="771"/>
            </w:tblGrid>
            <w:tr w14:paraId="47FA43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86" w:type="dxa"/>
                  <w:tcBorders>
                    <w:tl2br w:val="nil"/>
                    <w:tr2bl w:val="nil"/>
                  </w:tcBorders>
                  <w:shd w:val="clear" w:color="auto" w:fill="auto"/>
                  <w:vAlign w:val="center"/>
                </w:tcPr>
                <w:p w14:paraId="4541F3F7">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eastAsia" w:ascii="Times New Roman" w:hAnsi="Times New Roman" w:eastAsia="宋体"/>
                      <w:b/>
                      <w:bCs/>
                      <w:color w:val="auto"/>
                      <w:highlight w:val="none"/>
                      <w:lang w:val="en-US"/>
                    </w:rPr>
                    <w:t>序号</w:t>
                  </w:r>
                </w:p>
              </w:tc>
              <w:tc>
                <w:tcPr>
                  <w:tcW w:w="1488" w:type="dxa"/>
                  <w:tcBorders>
                    <w:tl2br w:val="nil"/>
                    <w:tr2bl w:val="nil"/>
                  </w:tcBorders>
                  <w:shd w:val="clear" w:color="auto" w:fill="auto"/>
                  <w:vAlign w:val="center"/>
                </w:tcPr>
                <w:p w14:paraId="0E39350F">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原料名称</w:t>
                  </w:r>
                </w:p>
              </w:tc>
              <w:tc>
                <w:tcPr>
                  <w:tcW w:w="652" w:type="dxa"/>
                  <w:tcBorders>
                    <w:tl2br w:val="nil"/>
                    <w:tr2bl w:val="nil"/>
                  </w:tcBorders>
                  <w:shd w:val="clear" w:color="auto" w:fill="auto"/>
                  <w:vAlign w:val="center"/>
                </w:tcPr>
                <w:p w14:paraId="72D62FD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b/>
                      <w:bCs/>
                      <w:color w:val="auto"/>
                      <w:sz w:val="21"/>
                      <w:szCs w:val="24"/>
                      <w:highlight w:val="none"/>
                      <w:lang w:val="en-US" w:eastAsia="zh-CN" w:bidi="zh-CN"/>
                    </w:rPr>
                  </w:pPr>
                  <w:r>
                    <w:rPr>
                      <w:rFonts w:hint="eastAsia"/>
                      <w:b/>
                      <w:bCs/>
                      <w:color w:val="auto"/>
                      <w:highlight w:val="none"/>
                      <w:lang w:val="en-US" w:eastAsia="zh-CN"/>
                    </w:rPr>
                    <w:t>使</w:t>
                  </w:r>
                  <w:r>
                    <w:rPr>
                      <w:rFonts w:hint="eastAsia" w:ascii="Times New Roman" w:hAnsi="Times New Roman" w:eastAsia="宋体"/>
                      <w:b/>
                      <w:bCs/>
                      <w:color w:val="auto"/>
                      <w:highlight w:val="none"/>
                      <w:lang w:val="en-US"/>
                    </w:rPr>
                    <w:t>用量</w:t>
                  </w:r>
                  <w:r>
                    <w:rPr>
                      <w:rFonts w:hint="eastAsia" w:ascii="Times New Roman" w:hAnsi="Times New Roman" w:eastAsia="宋体"/>
                      <w:b/>
                      <w:bCs/>
                      <w:color w:val="auto"/>
                      <w:highlight w:val="none"/>
                      <w:lang w:val="en-US" w:eastAsia="zh-CN"/>
                    </w:rPr>
                    <w:t>（t/a）</w:t>
                  </w:r>
                </w:p>
              </w:tc>
              <w:tc>
                <w:tcPr>
                  <w:tcW w:w="1723" w:type="dxa"/>
                  <w:tcBorders>
                    <w:tl2br w:val="nil"/>
                    <w:tr2bl w:val="nil"/>
                  </w:tcBorders>
                  <w:shd w:val="clear" w:color="auto" w:fill="auto"/>
                  <w:vAlign w:val="center"/>
                </w:tcPr>
                <w:p w14:paraId="13C7EF10">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eastAsia="zh-CN"/>
                    </w:rPr>
                    <w:t>主要</w:t>
                  </w:r>
                  <w:r>
                    <w:rPr>
                      <w:rFonts w:hint="eastAsia" w:ascii="Times New Roman" w:hAnsi="Times New Roman" w:eastAsia="宋体"/>
                      <w:b/>
                      <w:bCs/>
                      <w:color w:val="auto"/>
                      <w:highlight w:val="none"/>
                      <w:lang w:val="en-US"/>
                    </w:rPr>
                    <w:t>成分</w:t>
                  </w:r>
                </w:p>
              </w:tc>
              <w:tc>
                <w:tcPr>
                  <w:tcW w:w="527" w:type="dxa"/>
                  <w:tcBorders>
                    <w:tl2br w:val="nil"/>
                    <w:tr2bl w:val="nil"/>
                  </w:tcBorders>
                  <w:shd w:val="clear" w:color="auto" w:fill="auto"/>
                  <w:vAlign w:val="center"/>
                </w:tcPr>
                <w:p w14:paraId="782AFD12">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形态</w:t>
                  </w:r>
                </w:p>
              </w:tc>
              <w:tc>
                <w:tcPr>
                  <w:tcW w:w="848" w:type="dxa"/>
                  <w:tcBorders>
                    <w:tl2br w:val="nil"/>
                    <w:tr2bl w:val="nil"/>
                  </w:tcBorders>
                  <w:shd w:val="clear" w:color="auto" w:fill="auto"/>
                  <w:vAlign w:val="center"/>
                </w:tcPr>
                <w:p w14:paraId="243B8796">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包装规格</w:t>
                  </w:r>
                </w:p>
              </w:tc>
              <w:tc>
                <w:tcPr>
                  <w:tcW w:w="958" w:type="dxa"/>
                  <w:tcBorders>
                    <w:tl2br w:val="nil"/>
                    <w:tr2bl w:val="nil"/>
                  </w:tcBorders>
                  <w:shd w:val="clear" w:color="auto" w:fill="auto"/>
                  <w:vAlign w:val="center"/>
                </w:tcPr>
                <w:p w14:paraId="1ACD5CA3">
                  <w:pPr>
                    <w:pStyle w:val="21"/>
                    <w:keepNext w:val="0"/>
                    <w:keepLines w:val="0"/>
                    <w:suppressLineNumbers w:val="0"/>
                    <w:spacing w:before="0" w:beforeAutospacing="0" w:after="0" w:afterAutospacing="0"/>
                    <w:ind w:left="0" w:right="0"/>
                    <w:rPr>
                      <w:rFonts w:hint="eastAsia" w:ascii="Times New Roman" w:hAnsi="Times New Roman" w:eastAsia="宋体"/>
                      <w:b/>
                      <w:bCs/>
                      <w:color w:val="auto"/>
                      <w:highlight w:val="none"/>
                      <w:lang w:eastAsia="zh-CN"/>
                    </w:rPr>
                  </w:pPr>
                  <w:r>
                    <w:rPr>
                      <w:rFonts w:hint="eastAsia" w:ascii="Times New Roman" w:hAnsi="Times New Roman" w:eastAsia="宋体"/>
                      <w:b/>
                      <w:bCs/>
                      <w:color w:val="auto"/>
                      <w:highlight w:val="none"/>
                      <w:lang w:val="en-US"/>
                    </w:rPr>
                    <w:t>最大存储量</w:t>
                  </w:r>
                  <w:r>
                    <w:rPr>
                      <w:rFonts w:hint="eastAsia" w:ascii="Times New Roman" w:hAnsi="Times New Roman" w:eastAsia="宋体"/>
                      <w:b/>
                      <w:bCs/>
                      <w:color w:val="auto"/>
                      <w:highlight w:val="none"/>
                      <w:lang w:val="en-US" w:eastAsia="zh-CN"/>
                    </w:rPr>
                    <w:t>（t）</w:t>
                  </w:r>
                </w:p>
              </w:tc>
              <w:tc>
                <w:tcPr>
                  <w:tcW w:w="1340" w:type="dxa"/>
                  <w:gridSpan w:val="2"/>
                  <w:tcBorders>
                    <w:tl2br w:val="nil"/>
                    <w:tr2bl w:val="nil"/>
                  </w:tcBorders>
                  <w:shd w:val="clear" w:color="auto" w:fill="auto"/>
                  <w:vAlign w:val="center"/>
                </w:tcPr>
                <w:p w14:paraId="53679635">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储存位置</w:t>
                  </w:r>
                </w:p>
              </w:tc>
            </w:tr>
            <w:tr w14:paraId="68E297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86" w:type="dxa"/>
                  <w:tcBorders>
                    <w:tl2br w:val="nil"/>
                    <w:tr2bl w:val="nil"/>
                  </w:tcBorders>
                  <w:shd w:val="clear" w:color="auto" w:fill="auto"/>
                  <w:vAlign w:val="center"/>
                </w:tcPr>
                <w:p w14:paraId="1B7B3912">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lang w:val="en-US"/>
                    </w:rPr>
                    <w:t>1</w:t>
                  </w:r>
                </w:p>
              </w:tc>
              <w:tc>
                <w:tcPr>
                  <w:tcW w:w="1488" w:type="dxa"/>
                  <w:tcBorders>
                    <w:tl2br w:val="nil"/>
                    <w:tr2bl w:val="nil"/>
                  </w:tcBorders>
                  <w:shd w:val="clear" w:color="auto" w:fill="auto"/>
                  <w:vAlign w:val="center"/>
                </w:tcPr>
                <w:p w14:paraId="66FA3EEC">
                  <w:pPr>
                    <w:pStyle w:val="21"/>
                    <w:keepNext w:val="0"/>
                    <w:keepLines w:val="0"/>
                    <w:suppressLineNumbers w:val="0"/>
                    <w:spacing w:before="0" w:beforeAutospacing="0" w:after="0" w:afterAutospacing="0"/>
                    <w:ind w:left="0" w:right="0"/>
                    <w:rPr>
                      <w:rFonts w:hint="default" w:ascii="Times New Roman" w:hAnsi="Times New Roman" w:eastAsia="宋体"/>
                      <w:b w:val="0"/>
                      <w:bCs w:val="0"/>
                      <w:color w:val="auto"/>
                      <w:highlight w:val="none"/>
                      <w:lang w:val="en-US" w:eastAsia="zh-CN"/>
                    </w:rPr>
                  </w:pPr>
                  <w:r>
                    <w:rPr>
                      <w:rFonts w:hint="eastAsia"/>
                      <w:b w:val="0"/>
                      <w:bCs w:val="0"/>
                      <w:color w:val="auto"/>
                      <w:highlight w:val="none"/>
                      <w:lang w:val="en-US" w:eastAsia="zh-CN"/>
                    </w:rPr>
                    <w:t>PET塑料</w:t>
                  </w:r>
                </w:p>
              </w:tc>
              <w:tc>
                <w:tcPr>
                  <w:tcW w:w="652" w:type="dxa"/>
                  <w:tcBorders>
                    <w:tl2br w:val="nil"/>
                    <w:tr2bl w:val="nil"/>
                  </w:tcBorders>
                  <w:shd w:val="clear" w:color="auto" w:fill="auto"/>
                  <w:vAlign w:val="center"/>
                </w:tcPr>
                <w:p w14:paraId="02722F17">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4500</w:t>
                  </w:r>
                </w:p>
              </w:tc>
              <w:tc>
                <w:tcPr>
                  <w:tcW w:w="1723" w:type="dxa"/>
                  <w:tcBorders>
                    <w:tl2br w:val="nil"/>
                    <w:tr2bl w:val="nil"/>
                  </w:tcBorders>
                  <w:shd w:val="clear" w:color="auto" w:fill="auto"/>
                  <w:vAlign w:val="center"/>
                </w:tcPr>
                <w:p w14:paraId="75F2D0B9">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聚酯树脂</w:t>
                  </w:r>
                </w:p>
              </w:tc>
              <w:tc>
                <w:tcPr>
                  <w:tcW w:w="527" w:type="dxa"/>
                  <w:tcBorders>
                    <w:tl2br w:val="nil"/>
                    <w:tr2bl w:val="nil"/>
                  </w:tcBorders>
                  <w:shd w:val="clear" w:color="auto" w:fill="auto"/>
                  <w:vAlign w:val="center"/>
                </w:tcPr>
                <w:p w14:paraId="1CD10661">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固态</w:t>
                  </w:r>
                </w:p>
              </w:tc>
              <w:tc>
                <w:tcPr>
                  <w:tcW w:w="848" w:type="dxa"/>
                  <w:tcBorders>
                    <w:tl2br w:val="nil"/>
                    <w:tr2bl w:val="nil"/>
                  </w:tcBorders>
                  <w:shd w:val="clear" w:color="auto" w:fill="auto"/>
                  <w:vAlign w:val="center"/>
                </w:tcPr>
                <w:p w14:paraId="4A9E9B73">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1t/袋</w:t>
                  </w:r>
                </w:p>
              </w:tc>
              <w:tc>
                <w:tcPr>
                  <w:tcW w:w="958" w:type="dxa"/>
                  <w:tcBorders>
                    <w:tl2br w:val="nil"/>
                    <w:tr2bl w:val="nil"/>
                  </w:tcBorders>
                  <w:shd w:val="clear" w:color="auto" w:fill="auto"/>
                  <w:vAlign w:val="center"/>
                </w:tcPr>
                <w:p w14:paraId="4C793B04">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100</w:t>
                  </w:r>
                </w:p>
              </w:tc>
              <w:tc>
                <w:tcPr>
                  <w:tcW w:w="1340" w:type="dxa"/>
                  <w:gridSpan w:val="2"/>
                  <w:tcBorders>
                    <w:tl2br w:val="nil"/>
                    <w:tr2bl w:val="nil"/>
                  </w:tcBorders>
                  <w:shd w:val="clear" w:color="auto" w:fill="auto"/>
                  <w:vAlign w:val="center"/>
                </w:tcPr>
                <w:p w14:paraId="3384DB8A">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PET瓶片仓库</w:t>
                  </w:r>
                </w:p>
              </w:tc>
            </w:tr>
            <w:tr w14:paraId="51B8D8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86" w:type="dxa"/>
                  <w:tcBorders>
                    <w:tl2br w:val="nil"/>
                    <w:tr2bl w:val="nil"/>
                  </w:tcBorders>
                  <w:shd w:val="clear" w:color="auto" w:fill="auto"/>
                  <w:vAlign w:val="center"/>
                </w:tcPr>
                <w:p w14:paraId="44EE170A">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lang w:val="en-US"/>
                    </w:rPr>
                    <w:t>2</w:t>
                  </w:r>
                </w:p>
              </w:tc>
              <w:tc>
                <w:tcPr>
                  <w:tcW w:w="1488" w:type="dxa"/>
                  <w:tcBorders>
                    <w:tl2br w:val="nil"/>
                    <w:tr2bl w:val="nil"/>
                  </w:tcBorders>
                  <w:shd w:val="clear" w:color="auto" w:fill="auto"/>
                  <w:vAlign w:val="center"/>
                </w:tcPr>
                <w:p w14:paraId="65106392">
                  <w:pPr>
                    <w:pStyle w:val="21"/>
                    <w:keepNext w:val="0"/>
                    <w:keepLines w:val="0"/>
                    <w:suppressLineNumbers w:val="0"/>
                    <w:spacing w:before="0" w:beforeAutospacing="0" w:after="0" w:afterAutospacing="0"/>
                    <w:ind w:left="0" w:right="0"/>
                    <w:rPr>
                      <w:rFonts w:hint="default" w:ascii="Times New Roman" w:hAnsi="Times New Roman" w:eastAsia="宋体"/>
                      <w:b w:val="0"/>
                      <w:bCs w:val="0"/>
                      <w:color w:val="auto"/>
                      <w:highlight w:val="none"/>
                      <w:lang w:val="en-US" w:eastAsia="zh-CN"/>
                    </w:rPr>
                  </w:pPr>
                  <w:r>
                    <w:rPr>
                      <w:rFonts w:hint="eastAsia"/>
                      <w:b w:val="0"/>
                      <w:bCs w:val="0"/>
                      <w:color w:val="auto"/>
                      <w:highlight w:val="none"/>
                      <w:lang w:val="en-US" w:eastAsia="zh-CN"/>
                    </w:rPr>
                    <w:t>包装纸箱</w:t>
                  </w:r>
                </w:p>
              </w:tc>
              <w:tc>
                <w:tcPr>
                  <w:tcW w:w="652" w:type="dxa"/>
                  <w:tcBorders>
                    <w:tl2br w:val="nil"/>
                    <w:tr2bl w:val="nil"/>
                  </w:tcBorders>
                  <w:shd w:val="clear" w:color="auto" w:fill="auto"/>
                  <w:vAlign w:val="center"/>
                </w:tcPr>
                <w:p w14:paraId="0F2524C6">
                  <w:pPr>
                    <w:pStyle w:val="21"/>
                    <w:keepNext w:val="0"/>
                    <w:keepLines w:val="0"/>
                    <w:suppressLineNumbers w:val="0"/>
                    <w:spacing w:before="0" w:beforeAutospacing="0" w:after="0" w:afterAutospacing="0"/>
                    <w:ind w:left="0" w:right="0"/>
                    <w:rPr>
                      <w:rFonts w:hint="default" w:ascii="Times New Roman" w:hAnsi="Times New Roman" w:eastAsia="宋体"/>
                      <w:b w:val="0"/>
                      <w:bCs w:val="0"/>
                      <w:color w:val="auto"/>
                      <w:highlight w:val="none"/>
                      <w:lang w:val="en-US" w:eastAsia="zh-CN"/>
                    </w:rPr>
                  </w:pPr>
                  <w:r>
                    <w:rPr>
                      <w:rFonts w:hint="eastAsia"/>
                      <w:b w:val="0"/>
                      <w:bCs w:val="0"/>
                      <w:color w:val="auto"/>
                      <w:highlight w:val="none"/>
                      <w:lang w:val="en-US" w:eastAsia="zh-CN"/>
                    </w:rPr>
                    <w:t>7300</w:t>
                  </w:r>
                </w:p>
              </w:tc>
              <w:tc>
                <w:tcPr>
                  <w:tcW w:w="1723" w:type="dxa"/>
                  <w:tcBorders>
                    <w:tl2br w:val="nil"/>
                    <w:tr2bl w:val="nil"/>
                  </w:tcBorders>
                  <w:shd w:val="clear" w:color="auto" w:fill="auto"/>
                  <w:vAlign w:val="center"/>
                </w:tcPr>
                <w:p w14:paraId="6DCE30F7">
                  <w:pPr>
                    <w:pStyle w:val="21"/>
                    <w:keepNext w:val="0"/>
                    <w:keepLines w:val="0"/>
                    <w:suppressLineNumbers w:val="0"/>
                    <w:spacing w:before="0" w:beforeAutospacing="0" w:after="0" w:afterAutospacing="0"/>
                    <w:ind w:left="0" w:right="0"/>
                    <w:rPr>
                      <w:rFonts w:hint="default" w:ascii="Times New Roman" w:hAnsi="Times New Roman" w:eastAsia="宋体"/>
                      <w:b w:val="0"/>
                      <w:bCs w:val="0"/>
                      <w:color w:val="auto"/>
                      <w:highlight w:val="none"/>
                      <w:lang w:val="en-US" w:eastAsia="zh-CN"/>
                    </w:rPr>
                  </w:pPr>
                  <w:r>
                    <w:rPr>
                      <w:rFonts w:hint="eastAsia"/>
                      <w:b w:val="0"/>
                      <w:bCs w:val="0"/>
                      <w:color w:val="auto"/>
                      <w:highlight w:val="none"/>
                      <w:lang w:val="en-US" w:eastAsia="zh-CN"/>
                    </w:rPr>
                    <w:t>纸</w:t>
                  </w:r>
                </w:p>
              </w:tc>
              <w:tc>
                <w:tcPr>
                  <w:tcW w:w="527" w:type="dxa"/>
                  <w:tcBorders>
                    <w:tl2br w:val="nil"/>
                    <w:tr2bl w:val="nil"/>
                  </w:tcBorders>
                  <w:shd w:val="clear" w:color="auto" w:fill="auto"/>
                  <w:vAlign w:val="center"/>
                </w:tcPr>
                <w:p w14:paraId="48EED69D">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固态</w:t>
                  </w:r>
                </w:p>
              </w:tc>
              <w:tc>
                <w:tcPr>
                  <w:tcW w:w="848" w:type="dxa"/>
                  <w:tcBorders>
                    <w:tl2br w:val="nil"/>
                    <w:tr2bl w:val="nil"/>
                  </w:tcBorders>
                  <w:shd w:val="clear" w:color="auto" w:fill="auto"/>
                  <w:vAlign w:val="center"/>
                </w:tcPr>
                <w:p w14:paraId="3EF0B7C1">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捆装</w:t>
                  </w:r>
                </w:p>
              </w:tc>
              <w:tc>
                <w:tcPr>
                  <w:tcW w:w="958" w:type="dxa"/>
                  <w:tcBorders>
                    <w:tl2br w:val="nil"/>
                    <w:tr2bl w:val="nil"/>
                  </w:tcBorders>
                  <w:shd w:val="clear" w:color="auto" w:fill="auto"/>
                  <w:vAlign w:val="center"/>
                </w:tcPr>
                <w:p w14:paraId="48A50A88">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30</w:t>
                  </w:r>
                </w:p>
              </w:tc>
              <w:tc>
                <w:tcPr>
                  <w:tcW w:w="569" w:type="dxa"/>
                  <w:vMerge w:val="restart"/>
                  <w:tcBorders>
                    <w:tl2br w:val="nil"/>
                    <w:tr2bl w:val="nil"/>
                  </w:tcBorders>
                  <w:shd w:val="clear" w:color="auto" w:fill="auto"/>
                  <w:vAlign w:val="center"/>
                </w:tcPr>
                <w:p w14:paraId="69A0A9A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依托南京娃哈哈饮料有限公司厂区贮存设施</w:t>
                  </w:r>
                </w:p>
              </w:tc>
              <w:tc>
                <w:tcPr>
                  <w:tcW w:w="771" w:type="dxa"/>
                  <w:vMerge w:val="restart"/>
                  <w:tcBorders>
                    <w:tl2br w:val="nil"/>
                    <w:tr2bl w:val="nil"/>
                  </w:tcBorders>
                  <w:shd w:val="clear" w:color="auto" w:fill="auto"/>
                  <w:vAlign w:val="center"/>
                </w:tcPr>
                <w:p w14:paraId="2C6CF99E">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原料仓库</w:t>
                  </w:r>
                </w:p>
              </w:tc>
            </w:tr>
            <w:tr w14:paraId="56793F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86" w:type="dxa"/>
                  <w:tcBorders>
                    <w:tl2br w:val="nil"/>
                    <w:tr2bl w:val="nil"/>
                  </w:tcBorders>
                  <w:shd w:val="clear" w:color="auto" w:fill="auto"/>
                  <w:vAlign w:val="center"/>
                </w:tcPr>
                <w:p w14:paraId="59A1B512">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olor w:val="auto"/>
                      <w:highlight w:val="none"/>
                      <w:lang w:val="en-US" w:eastAsia="zh-CN"/>
                    </w:rPr>
                  </w:pPr>
                  <w:r>
                    <w:rPr>
                      <w:rFonts w:hint="eastAsia"/>
                      <w:color w:val="auto"/>
                      <w:highlight w:val="none"/>
                      <w:lang w:val="en-US" w:eastAsia="zh-CN"/>
                    </w:rPr>
                    <w:t>3</w:t>
                  </w:r>
                </w:p>
              </w:tc>
              <w:tc>
                <w:tcPr>
                  <w:tcW w:w="1488" w:type="dxa"/>
                  <w:tcBorders>
                    <w:tl2br w:val="nil"/>
                    <w:tr2bl w:val="nil"/>
                  </w:tcBorders>
                  <w:shd w:val="clear" w:color="auto" w:fill="auto"/>
                  <w:vAlign w:val="center"/>
                </w:tcPr>
                <w:p w14:paraId="655CED27">
                  <w:pPr>
                    <w:pStyle w:val="21"/>
                    <w:keepNext w:val="0"/>
                    <w:keepLines w:val="0"/>
                    <w:suppressLineNumbers w:val="0"/>
                    <w:spacing w:before="0" w:beforeAutospacing="0" w:after="0" w:afterAutospacing="0"/>
                    <w:ind w:left="0" w:right="0"/>
                    <w:rPr>
                      <w:rFonts w:hint="default"/>
                      <w:b w:val="0"/>
                      <w:bCs w:val="0"/>
                      <w:color w:val="auto"/>
                      <w:highlight w:val="none"/>
                      <w:lang w:val="en-US" w:eastAsia="zh-CN"/>
                    </w:rPr>
                  </w:pPr>
                  <w:r>
                    <w:rPr>
                      <w:rFonts w:hint="eastAsia"/>
                      <w:b w:val="0"/>
                      <w:bCs w:val="0"/>
                      <w:color w:val="auto"/>
                      <w:highlight w:val="none"/>
                      <w:lang w:val="en-US" w:eastAsia="zh-CN"/>
                    </w:rPr>
                    <w:t>活性炭</w:t>
                  </w:r>
                </w:p>
              </w:tc>
              <w:tc>
                <w:tcPr>
                  <w:tcW w:w="652" w:type="dxa"/>
                  <w:tcBorders>
                    <w:tl2br w:val="nil"/>
                    <w:tr2bl w:val="nil"/>
                  </w:tcBorders>
                  <w:shd w:val="clear" w:color="auto" w:fill="auto"/>
                  <w:vAlign w:val="center"/>
                </w:tcPr>
                <w:p w14:paraId="071E7096">
                  <w:pPr>
                    <w:pStyle w:val="21"/>
                    <w:keepNext w:val="0"/>
                    <w:keepLines w:val="0"/>
                    <w:suppressLineNumbers w:val="0"/>
                    <w:spacing w:before="0" w:beforeAutospacing="0" w:after="0" w:afterAutospacing="0"/>
                    <w:ind w:left="0" w:right="0"/>
                    <w:rPr>
                      <w:rFonts w:hint="default"/>
                      <w:b w:val="0"/>
                      <w:bCs w:val="0"/>
                      <w:color w:val="auto"/>
                      <w:highlight w:val="none"/>
                      <w:lang w:val="en-US" w:eastAsia="zh-CN"/>
                    </w:rPr>
                  </w:pPr>
                  <w:r>
                    <w:rPr>
                      <w:rFonts w:hint="eastAsia"/>
                      <w:b w:val="0"/>
                      <w:bCs w:val="0"/>
                      <w:color w:val="auto"/>
                      <w:highlight w:val="none"/>
                      <w:lang w:val="en-US" w:eastAsia="zh-CN"/>
                    </w:rPr>
                    <w:t>12</w:t>
                  </w:r>
                </w:p>
              </w:tc>
              <w:tc>
                <w:tcPr>
                  <w:tcW w:w="1723" w:type="dxa"/>
                  <w:tcBorders>
                    <w:tl2br w:val="nil"/>
                    <w:tr2bl w:val="nil"/>
                  </w:tcBorders>
                  <w:shd w:val="clear" w:color="auto" w:fill="auto"/>
                  <w:vAlign w:val="center"/>
                </w:tcPr>
                <w:p w14:paraId="1F4A6454">
                  <w:pPr>
                    <w:pStyle w:val="21"/>
                    <w:keepNext w:val="0"/>
                    <w:keepLines w:val="0"/>
                    <w:suppressLineNumbers w:val="0"/>
                    <w:spacing w:before="0" w:beforeAutospacing="0" w:after="0" w:afterAutospacing="0"/>
                    <w:ind w:left="0" w:right="0"/>
                    <w:rPr>
                      <w:rFonts w:hint="default"/>
                      <w:b w:val="0"/>
                      <w:bCs w:val="0"/>
                      <w:color w:val="auto"/>
                      <w:highlight w:val="none"/>
                      <w:lang w:val="en-US" w:eastAsia="zh-CN"/>
                    </w:rPr>
                  </w:pPr>
                  <w:r>
                    <w:rPr>
                      <w:rFonts w:hint="eastAsia"/>
                      <w:b w:val="0"/>
                      <w:bCs w:val="0"/>
                      <w:color w:val="auto"/>
                      <w:highlight w:val="none"/>
                      <w:lang w:val="en-US" w:eastAsia="zh-CN"/>
                    </w:rPr>
                    <w:t>炭</w:t>
                  </w:r>
                </w:p>
              </w:tc>
              <w:tc>
                <w:tcPr>
                  <w:tcW w:w="527" w:type="dxa"/>
                  <w:tcBorders>
                    <w:tl2br w:val="nil"/>
                    <w:tr2bl w:val="nil"/>
                  </w:tcBorders>
                  <w:shd w:val="clear" w:color="auto" w:fill="auto"/>
                  <w:vAlign w:val="center"/>
                </w:tcPr>
                <w:p w14:paraId="39B3EAF1">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olor w:val="auto"/>
                      <w:highlight w:val="none"/>
                      <w:lang w:val="en-US" w:eastAsia="zh-CN"/>
                    </w:rPr>
                  </w:pPr>
                  <w:r>
                    <w:rPr>
                      <w:rFonts w:hint="eastAsia"/>
                      <w:color w:val="auto"/>
                      <w:highlight w:val="none"/>
                      <w:lang w:val="en-US" w:eastAsia="zh-CN"/>
                    </w:rPr>
                    <w:t>固态</w:t>
                  </w:r>
                </w:p>
              </w:tc>
              <w:tc>
                <w:tcPr>
                  <w:tcW w:w="848" w:type="dxa"/>
                  <w:tcBorders>
                    <w:tl2br w:val="nil"/>
                    <w:tr2bl w:val="nil"/>
                  </w:tcBorders>
                  <w:shd w:val="clear" w:color="auto" w:fill="auto"/>
                  <w:vAlign w:val="center"/>
                </w:tcPr>
                <w:p w14:paraId="11A6F6AA">
                  <w:pPr>
                    <w:pStyle w:val="21"/>
                    <w:keepNext w:val="0"/>
                    <w:keepLines w:val="0"/>
                    <w:suppressLineNumbers w:val="0"/>
                    <w:spacing w:before="0" w:beforeAutospacing="0" w:after="0" w:afterAutospacing="0"/>
                    <w:ind w:left="0" w:right="0" w:firstLine="0" w:firstLineChars="0"/>
                    <w:rPr>
                      <w:rFonts w:hint="default"/>
                      <w:color w:val="auto"/>
                      <w:highlight w:val="none"/>
                      <w:lang w:val="en-US" w:eastAsia="zh-CN"/>
                    </w:rPr>
                  </w:pPr>
                  <w:r>
                    <w:rPr>
                      <w:rFonts w:hint="eastAsia"/>
                      <w:color w:val="auto"/>
                      <w:highlight w:val="none"/>
                      <w:lang w:val="en-US" w:eastAsia="zh-CN"/>
                    </w:rPr>
                    <w:t>25kg/袋</w:t>
                  </w:r>
                </w:p>
              </w:tc>
              <w:tc>
                <w:tcPr>
                  <w:tcW w:w="958" w:type="dxa"/>
                  <w:tcBorders>
                    <w:tl2br w:val="nil"/>
                    <w:tr2bl w:val="nil"/>
                  </w:tcBorders>
                  <w:shd w:val="clear" w:color="auto" w:fill="auto"/>
                  <w:vAlign w:val="center"/>
                </w:tcPr>
                <w:p w14:paraId="2C8466C6">
                  <w:pPr>
                    <w:pStyle w:val="21"/>
                    <w:keepNext w:val="0"/>
                    <w:keepLines w:val="0"/>
                    <w:suppressLineNumbers w:val="0"/>
                    <w:spacing w:before="0" w:beforeAutospacing="0" w:after="0" w:afterAutospacing="0"/>
                    <w:ind w:left="0" w:right="0" w:firstLine="0" w:firstLineChars="0"/>
                    <w:rPr>
                      <w:rFonts w:hint="eastAsia"/>
                      <w:color w:val="auto"/>
                      <w:highlight w:val="none"/>
                      <w:lang w:val="en-US" w:eastAsia="zh-CN"/>
                    </w:rPr>
                  </w:pPr>
                  <w:r>
                    <w:rPr>
                      <w:rFonts w:hint="eastAsia"/>
                      <w:color w:val="auto"/>
                      <w:highlight w:val="none"/>
                      <w:lang w:val="en-US" w:eastAsia="zh-CN"/>
                    </w:rPr>
                    <w:t>3</w:t>
                  </w:r>
                </w:p>
              </w:tc>
              <w:tc>
                <w:tcPr>
                  <w:tcW w:w="569" w:type="dxa"/>
                  <w:vMerge w:val="continue"/>
                  <w:tcBorders>
                    <w:tl2br w:val="nil"/>
                    <w:tr2bl w:val="nil"/>
                  </w:tcBorders>
                  <w:shd w:val="clear" w:color="auto" w:fill="auto"/>
                  <w:vAlign w:val="center"/>
                </w:tcPr>
                <w:p w14:paraId="4E01559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c>
                <w:tcPr>
                  <w:tcW w:w="771" w:type="dxa"/>
                  <w:vMerge w:val="continue"/>
                  <w:tcBorders>
                    <w:tl2br w:val="nil"/>
                    <w:tr2bl w:val="nil"/>
                  </w:tcBorders>
                  <w:shd w:val="clear" w:color="auto" w:fill="auto"/>
                  <w:vAlign w:val="center"/>
                </w:tcPr>
                <w:p w14:paraId="5B2495A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r>
            <w:tr w14:paraId="731C21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86" w:type="dxa"/>
                  <w:tcBorders>
                    <w:tl2br w:val="nil"/>
                    <w:tr2bl w:val="nil"/>
                  </w:tcBorders>
                  <w:shd w:val="clear" w:color="auto" w:fill="auto"/>
                  <w:vAlign w:val="center"/>
                </w:tcPr>
                <w:p w14:paraId="5C15E7FB">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olor w:val="auto"/>
                      <w:highlight w:val="none"/>
                      <w:lang w:val="en-US" w:eastAsia="zh-CN"/>
                    </w:rPr>
                  </w:pPr>
                  <w:r>
                    <w:rPr>
                      <w:rFonts w:hint="eastAsia"/>
                      <w:color w:val="auto"/>
                      <w:highlight w:val="none"/>
                      <w:lang w:val="en-US" w:eastAsia="zh-CN"/>
                    </w:rPr>
                    <w:t>4</w:t>
                  </w:r>
                </w:p>
              </w:tc>
              <w:tc>
                <w:tcPr>
                  <w:tcW w:w="1488" w:type="dxa"/>
                  <w:tcBorders>
                    <w:tl2br w:val="nil"/>
                    <w:tr2bl w:val="nil"/>
                  </w:tcBorders>
                  <w:shd w:val="clear" w:color="auto" w:fill="auto"/>
                  <w:vAlign w:val="center"/>
                </w:tcPr>
                <w:p w14:paraId="668C0B35">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反渗透膜</w:t>
                  </w:r>
                </w:p>
              </w:tc>
              <w:tc>
                <w:tcPr>
                  <w:tcW w:w="652" w:type="dxa"/>
                  <w:tcBorders>
                    <w:tl2br w:val="nil"/>
                    <w:tr2bl w:val="nil"/>
                  </w:tcBorders>
                  <w:shd w:val="clear" w:color="auto" w:fill="auto"/>
                  <w:vAlign w:val="center"/>
                </w:tcPr>
                <w:p w14:paraId="6E78E978">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190</w:t>
                  </w:r>
                </w:p>
              </w:tc>
              <w:tc>
                <w:tcPr>
                  <w:tcW w:w="1723" w:type="dxa"/>
                  <w:tcBorders>
                    <w:tl2br w:val="nil"/>
                    <w:tr2bl w:val="nil"/>
                  </w:tcBorders>
                  <w:shd w:val="clear" w:color="auto" w:fill="auto"/>
                  <w:vAlign w:val="center"/>
                </w:tcPr>
                <w:p w14:paraId="74D82EC2">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塑料</w:t>
                  </w:r>
                </w:p>
              </w:tc>
              <w:tc>
                <w:tcPr>
                  <w:tcW w:w="527" w:type="dxa"/>
                  <w:tcBorders>
                    <w:tl2br w:val="nil"/>
                    <w:tr2bl w:val="nil"/>
                  </w:tcBorders>
                  <w:shd w:val="clear" w:color="auto" w:fill="auto"/>
                  <w:vAlign w:val="center"/>
                </w:tcPr>
                <w:p w14:paraId="2D97C69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根</w:t>
                  </w:r>
                </w:p>
              </w:tc>
              <w:tc>
                <w:tcPr>
                  <w:tcW w:w="848" w:type="dxa"/>
                  <w:tcBorders>
                    <w:tl2br w:val="nil"/>
                    <w:tr2bl w:val="nil"/>
                  </w:tcBorders>
                  <w:shd w:val="clear" w:color="auto" w:fill="auto"/>
                  <w:vAlign w:val="center"/>
                </w:tcPr>
                <w:p w14:paraId="5C4FDC8C">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w:t>
                  </w:r>
                </w:p>
              </w:tc>
              <w:tc>
                <w:tcPr>
                  <w:tcW w:w="958" w:type="dxa"/>
                  <w:tcBorders>
                    <w:tl2br w:val="nil"/>
                    <w:tr2bl w:val="nil"/>
                  </w:tcBorders>
                  <w:shd w:val="clear" w:color="auto" w:fill="auto"/>
                  <w:vAlign w:val="center"/>
                </w:tcPr>
                <w:p w14:paraId="7193E2BA">
                  <w:pPr>
                    <w:pStyle w:val="21"/>
                    <w:keepNext w:val="0"/>
                    <w:keepLines w:val="0"/>
                    <w:suppressLineNumbers w:val="0"/>
                    <w:spacing w:before="0" w:beforeAutospacing="0" w:after="0" w:afterAutospacing="0"/>
                    <w:ind w:left="0" w:right="0" w:firstLine="0" w:firstLineChars="0"/>
                    <w:rPr>
                      <w:rFonts w:hint="default"/>
                      <w:color w:val="auto"/>
                      <w:highlight w:val="none"/>
                      <w:lang w:val="en-US" w:eastAsia="zh-CN"/>
                    </w:rPr>
                  </w:pPr>
                  <w:r>
                    <w:rPr>
                      <w:rFonts w:hint="eastAsia"/>
                      <w:color w:val="auto"/>
                      <w:highlight w:val="none"/>
                      <w:lang w:val="en-US" w:eastAsia="zh-CN"/>
                    </w:rPr>
                    <w:t>100根</w:t>
                  </w:r>
                </w:p>
              </w:tc>
              <w:tc>
                <w:tcPr>
                  <w:tcW w:w="569" w:type="dxa"/>
                  <w:vMerge w:val="continue"/>
                  <w:tcBorders>
                    <w:tl2br w:val="nil"/>
                    <w:tr2bl w:val="nil"/>
                  </w:tcBorders>
                  <w:shd w:val="clear" w:color="auto" w:fill="auto"/>
                  <w:vAlign w:val="center"/>
                </w:tcPr>
                <w:p w14:paraId="47DBFDA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c>
                <w:tcPr>
                  <w:tcW w:w="771" w:type="dxa"/>
                  <w:vMerge w:val="continue"/>
                  <w:tcBorders>
                    <w:tl2br w:val="nil"/>
                    <w:tr2bl w:val="nil"/>
                  </w:tcBorders>
                  <w:shd w:val="clear" w:color="auto" w:fill="auto"/>
                  <w:vAlign w:val="center"/>
                </w:tcPr>
                <w:p w14:paraId="36C9134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r>
            <w:tr w14:paraId="57D16C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86" w:type="dxa"/>
                  <w:tcBorders>
                    <w:tl2br w:val="nil"/>
                    <w:tr2bl w:val="nil"/>
                  </w:tcBorders>
                  <w:shd w:val="clear" w:color="auto" w:fill="auto"/>
                  <w:vAlign w:val="center"/>
                </w:tcPr>
                <w:p w14:paraId="7B202BFC">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olor w:val="auto"/>
                      <w:highlight w:val="none"/>
                      <w:lang w:val="en-US" w:eastAsia="zh-CN"/>
                    </w:rPr>
                  </w:pPr>
                  <w:r>
                    <w:rPr>
                      <w:rFonts w:hint="eastAsia"/>
                      <w:color w:val="auto"/>
                      <w:highlight w:val="none"/>
                      <w:lang w:val="en-US" w:eastAsia="zh-CN"/>
                    </w:rPr>
                    <w:t>5</w:t>
                  </w:r>
                </w:p>
              </w:tc>
              <w:tc>
                <w:tcPr>
                  <w:tcW w:w="1488" w:type="dxa"/>
                  <w:tcBorders>
                    <w:tl2br w:val="nil"/>
                    <w:tr2bl w:val="nil"/>
                  </w:tcBorders>
                  <w:shd w:val="clear" w:color="auto" w:fill="auto"/>
                  <w:vAlign w:val="center"/>
                </w:tcPr>
                <w:p w14:paraId="34AA2CC2">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机油</w:t>
                  </w:r>
                </w:p>
              </w:tc>
              <w:tc>
                <w:tcPr>
                  <w:tcW w:w="652" w:type="dxa"/>
                  <w:tcBorders>
                    <w:tl2br w:val="nil"/>
                    <w:tr2bl w:val="nil"/>
                  </w:tcBorders>
                  <w:shd w:val="clear" w:color="auto" w:fill="auto"/>
                  <w:vAlign w:val="center"/>
                </w:tcPr>
                <w:p w14:paraId="29B2625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11.4</w:t>
                  </w:r>
                </w:p>
              </w:tc>
              <w:tc>
                <w:tcPr>
                  <w:tcW w:w="1723" w:type="dxa"/>
                  <w:tcBorders>
                    <w:tl2br w:val="nil"/>
                    <w:tr2bl w:val="nil"/>
                  </w:tcBorders>
                  <w:shd w:val="clear" w:color="auto" w:fill="auto"/>
                  <w:vAlign w:val="center"/>
                </w:tcPr>
                <w:p w14:paraId="7B21743A">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矿物油</w:t>
                  </w:r>
                </w:p>
              </w:tc>
              <w:tc>
                <w:tcPr>
                  <w:tcW w:w="527" w:type="dxa"/>
                  <w:tcBorders>
                    <w:tl2br w:val="nil"/>
                    <w:tr2bl w:val="nil"/>
                  </w:tcBorders>
                  <w:shd w:val="clear" w:color="auto" w:fill="auto"/>
                  <w:vAlign w:val="center"/>
                </w:tcPr>
                <w:p w14:paraId="52F4825A">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液态</w:t>
                  </w:r>
                </w:p>
              </w:tc>
              <w:tc>
                <w:tcPr>
                  <w:tcW w:w="848" w:type="dxa"/>
                  <w:tcBorders>
                    <w:tl2br w:val="nil"/>
                    <w:tr2bl w:val="nil"/>
                  </w:tcBorders>
                  <w:shd w:val="clear" w:color="auto" w:fill="auto"/>
                  <w:vAlign w:val="center"/>
                </w:tcPr>
                <w:p w14:paraId="4EC8AD3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200kg/桶</w:t>
                  </w:r>
                </w:p>
              </w:tc>
              <w:tc>
                <w:tcPr>
                  <w:tcW w:w="958" w:type="dxa"/>
                  <w:tcBorders>
                    <w:tl2br w:val="nil"/>
                    <w:tr2bl w:val="nil"/>
                  </w:tcBorders>
                  <w:shd w:val="clear" w:color="auto" w:fill="auto"/>
                  <w:vAlign w:val="center"/>
                </w:tcPr>
                <w:p w14:paraId="084224FA">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w:t>
                  </w:r>
                </w:p>
              </w:tc>
              <w:tc>
                <w:tcPr>
                  <w:tcW w:w="569" w:type="dxa"/>
                  <w:vMerge w:val="continue"/>
                  <w:tcBorders>
                    <w:tl2br w:val="nil"/>
                    <w:tr2bl w:val="nil"/>
                  </w:tcBorders>
                  <w:shd w:val="clear" w:color="auto" w:fill="auto"/>
                  <w:vAlign w:val="center"/>
                </w:tcPr>
                <w:p w14:paraId="237B082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c>
                <w:tcPr>
                  <w:tcW w:w="771" w:type="dxa"/>
                  <w:vMerge w:val="continue"/>
                  <w:tcBorders>
                    <w:tl2br w:val="nil"/>
                    <w:tr2bl w:val="nil"/>
                  </w:tcBorders>
                  <w:shd w:val="clear" w:color="auto" w:fill="auto"/>
                  <w:vAlign w:val="center"/>
                </w:tcPr>
                <w:p w14:paraId="3392B73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r>
            <w:tr w14:paraId="15F511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86" w:type="dxa"/>
                  <w:tcBorders>
                    <w:tl2br w:val="nil"/>
                    <w:tr2bl w:val="nil"/>
                  </w:tcBorders>
                  <w:shd w:val="clear" w:color="auto" w:fill="auto"/>
                  <w:vAlign w:val="center"/>
                </w:tcPr>
                <w:p w14:paraId="0BEB7FA3">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olor w:val="auto"/>
                      <w:highlight w:val="none"/>
                      <w:lang w:val="en-US" w:eastAsia="zh-CN"/>
                    </w:rPr>
                  </w:pPr>
                  <w:r>
                    <w:rPr>
                      <w:rFonts w:hint="eastAsia"/>
                      <w:color w:val="auto"/>
                      <w:highlight w:val="none"/>
                      <w:lang w:val="en-US" w:eastAsia="zh-CN"/>
                    </w:rPr>
                    <w:t>6</w:t>
                  </w:r>
                </w:p>
              </w:tc>
              <w:tc>
                <w:tcPr>
                  <w:tcW w:w="1488" w:type="dxa"/>
                  <w:tcBorders>
                    <w:tl2br w:val="nil"/>
                    <w:tr2bl w:val="nil"/>
                  </w:tcBorders>
                  <w:shd w:val="clear" w:color="auto" w:fill="auto"/>
                  <w:vAlign w:val="center"/>
                </w:tcPr>
                <w:p w14:paraId="6A626E30">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b w:val="0"/>
                      <w:bCs w:val="0"/>
                      <w:color w:val="auto"/>
                      <w:sz w:val="21"/>
                      <w:szCs w:val="24"/>
                      <w:highlight w:val="none"/>
                      <w:lang w:val="en-US" w:eastAsia="zh-CN" w:bidi="zh-CN"/>
                    </w:rPr>
                  </w:pPr>
                  <w:r>
                    <w:rPr>
                      <w:rFonts w:hint="eastAsia"/>
                      <w:b w:val="0"/>
                      <w:bCs w:val="0"/>
                      <w:color w:val="auto"/>
                      <w:highlight w:val="none"/>
                      <w:lang w:val="en-US" w:eastAsia="zh-CN"/>
                    </w:rPr>
                    <w:t>无水柠檬酸</w:t>
                  </w:r>
                </w:p>
              </w:tc>
              <w:tc>
                <w:tcPr>
                  <w:tcW w:w="652" w:type="dxa"/>
                  <w:tcBorders>
                    <w:tl2br w:val="nil"/>
                    <w:tr2bl w:val="nil"/>
                  </w:tcBorders>
                  <w:shd w:val="clear" w:color="auto" w:fill="auto"/>
                  <w:vAlign w:val="center"/>
                </w:tcPr>
                <w:p w14:paraId="7A07F7E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b w:val="0"/>
                      <w:bCs w:val="0"/>
                      <w:color w:val="auto"/>
                      <w:sz w:val="21"/>
                      <w:szCs w:val="24"/>
                      <w:highlight w:val="none"/>
                      <w:lang w:val="en-US" w:eastAsia="zh-CN" w:bidi="zh-CN"/>
                    </w:rPr>
                  </w:pPr>
                  <w:r>
                    <w:rPr>
                      <w:rFonts w:hint="eastAsia"/>
                      <w:b w:val="0"/>
                      <w:bCs w:val="0"/>
                      <w:color w:val="auto"/>
                      <w:highlight w:val="none"/>
                      <w:lang w:val="en-US" w:eastAsia="zh-CN"/>
                    </w:rPr>
                    <w:t>0.3</w:t>
                  </w:r>
                </w:p>
              </w:tc>
              <w:tc>
                <w:tcPr>
                  <w:tcW w:w="1723" w:type="dxa"/>
                  <w:tcBorders>
                    <w:tl2br w:val="nil"/>
                    <w:tr2bl w:val="nil"/>
                  </w:tcBorders>
                  <w:shd w:val="clear" w:color="auto" w:fill="auto"/>
                  <w:vAlign w:val="center"/>
                </w:tcPr>
                <w:p w14:paraId="13DAE38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b w:val="0"/>
                      <w:bCs w:val="0"/>
                      <w:color w:val="auto"/>
                      <w:sz w:val="21"/>
                      <w:szCs w:val="24"/>
                      <w:highlight w:val="none"/>
                      <w:lang w:val="en-US" w:eastAsia="zh-CN" w:bidi="zh-CN"/>
                    </w:rPr>
                  </w:pPr>
                  <w:r>
                    <w:rPr>
                      <w:rFonts w:hint="eastAsia"/>
                      <w:b w:val="0"/>
                      <w:bCs w:val="0"/>
                      <w:color w:val="auto"/>
                      <w:highlight w:val="none"/>
                      <w:lang w:val="en-US" w:eastAsia="zh-CN"/>
                    </w:rPr>
                    <w:t>柠檬酸</w:t>
                  </w:r>
                </w:p>
              </w:tc>
              <w:tc>
                <w:tcPr>
                  <w:tcW w:w="527" w:type="dxa"/>
                  <w:tcBorders>
                    <w:tl2br w:val="nil"/>
                    <w:tr2bl w:val="nil"/>
                  </w:tcBorders>
                  <w:shd w:val="clear" w:color="auto" w:fill="auto"/>
                  <w:vAlign w:val="center"/>
                </w:tcPr>
                <w:p w14:paraId="02AB0E7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固体</w:t>
                  </w:r>
                </w:p>
              </w:tc>
              <w:tc>
                <w:tcPr>
                  <w:tcW w:w="848" w:type="dxa"/>
                  <w:tcBorders>
                    <w:tl2br w:val="nil"/>
                    <w:tr2bl w:val="nil"/>
                  </w:tcBorders>
                  <w:shd w:val="clear" w:color="auto" w:fill="auto"/>
                  <w:vAlign w:val="center"/>
                </w:tcPr>
                <w:p w14:paraId="28C38ADB">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25kg/桶</w:t>
                  </w:r>
                </w:p>
              </w:tc>
              <w:tc>
                <w:tcPr>
                  <w:tcW w:w="958" w:type="dxa"/>
                  <w:tcBorders>
                    <w:tl2br w:val="nil"/>
                    <w:tr2bl w:val="nil"/>
                  </w:tcBorders>
                  <w:shd w:val="clear" w:color="auto" w:fill="auto"/>
                  <w:vAlign w:val="center"/>
                </w:tcPr>
                <w:p w14:paraId="3440A1F5">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0.05</w:t>
                  </w:r>
                </w:p>
              </w:tc>
              <w:tc>
                <w:tcPr>
                  <w:tcW w:w="569" w:type="dxa"/>
                  <w:vMerge w:val="continue"/>
                  <w:tcBorders>
                    <w:tl2br w:val="nil"/>
                    <w:tr2bl w:val="nil"/>
                  </w:tcBorders>
                  <w:shd w:val="clear" w:color="auto" w:fill="auto"/>
                  <w:vAlign w:val="center"/>
                </w:tcPr>
                <w:p w14:paraId="4BE409C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c>
                <w:tcPr>
                  <w:tcW w:w="771" w:type="dxa"/>
                  <w:vMerge w:val="continue"/>
                  <w:tcBorders>
                    <w:tl2br w:val="nil"/>
                    <w:tr2bl w:val="nil"/>
                  </w:tcBorders>
                  <w:shd w:val="clear" w:color="auto" w:fill="auto"/>
                  <w:vAlign w:val="center"/>
                </w:tcPr>
                <w:p w14:paraId="03D8820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r>
            <w:tr w14:paraId="3FD40F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86" w:type="dxa"/>
                  <w:tcBorders>
                    <w:tl2br w:val="nil"/>
                    <w:tr2bl w:val="nil"/>
                  </w:tcBorders>
                  <w:shd w:val="clear" w:color="auto" w:fill="auto"/>
                  <w:vAlign w:val="center"/>
                </w:tcPr>
                <w:p w14:paraId="04995383">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olor w:val="auto"/>
                      <w:highlight w:val="none"/>
                      <w:lang w:val="en-US" w:eastAsia="zh-CN"/>
                    </w:rPr>
                  </w:pPr>
                  <w:r>
                    <w:rPr>
                      <w:rFonts w:hint="eastAsia"/>
                      <w:color w:val="auto"/>
                      <w:highlight w:val="none"/>
                      <w:lang w:val="en-US" w:eastAsia="zh-CN"/>
                    </w:rPr>
                    <w:t>7</w:t>
                  </w:r>
                </w:p>
              </w:tc>
              <w:tc>
                <w:tcPr>
                  <w:tcW w:w="1488" w:type="dxa"/>
                  <w:tcBorders>
                    <w:tl2br w:val="nil"/>
                    <w:tr2bl w:val="nil"/>
                  </w:tcBorders>
                  <w:shd w:val="clear" w:color="auto" w:fill="auto"/>
                  <w:vAlign w:val="center"/>
                </w:tcPr>
                <w:p w14:paraId="46E11FD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油墨</w:t>
                  </w:r>
                </w:p>
              </w:tc>
              <w:tc>
                <w:tcPr>
                  <w:tcW w:w="652" w:type="dxa"/>
                  <w:tcBorders>
                    <w:tl2br w:val="nil"/>
                    <w:tr2bl w:val="nil"/>
                  </w:tcBorders>
                  <w:shd w:val="clear" w:color="auto" w:fill="auto"/>
                  <w:vAlign w:val="center"/>
                </w:tcPr>
                <w:p w14:paraId="44EDA622">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0.2</w:t>
                  </w:r>
                </w:p>
              </w:tc>
              <w:tc>
                <w:tcPr>
                  <w:tcW w:w="1723" w:type="dxa"/>
                  <w:tcBorders>
                    <w:tl2br w:val="nil"/>
                    <w:tr2bl w:val="nil"/>
                  </w:tcBorders>
                  <w:shd w:val="clear" w:color="auto" w:fill="auto"/>
                  <w:vAlign w:val="center"/>
                </w:tcPr>
                <w:p w14:paraId="55A122AD">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颜料、乙二醇、水</w:t>
                  </w:r>
                </w:p>
              </w:tc>
              <w:tc>
                <w:tcPr>
                  <w:tcW w:w="527" w:type="dxa"/>
                  <w:tcBorders>
                    <w:tl2br w:val="nil"/>
                    <w:tr2bl w:val="nil"/>
                  </w:tcBorders>
                  <w:shd w:val="clear" w:color="auto" w:fill="auto"/>
                  <w:vAlign w:val="center"/>
                </w:tcPr>
                <w:p w14:paraId="5573286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液态</w:t>
                  </w:r>
                </w:p>
              </w:tc>
              <w:tc>
                <w:tcPr>
                  <w:tcW w:w="848" w:type="dxa"/>
                  <w:tcBorders>
                    <w:tl2br w:val="nil"/>
                    <w:tr2bl w:val="nil"/>
                  </w:tcBorders>
                  <w:shd w:val="clear" w:color="auto" w:fill="auto"/>
                  <w:vAlign w:val="center"/>
                </w:tcPr>
                <w:p w14:paraId="2BC186C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1.2L/瓶</w:t>
                  </w:r>
                </w:p>
              </w:tc>
              <w:tc>
                <w:tcPr>
                  <w:tcW w:w="958" w:type="dxa"/>
                  <w:tcBorders>
                    <w:tl2br w:val="nil"/>
                    <w:tr2bl w:val="nil"/>
                  </w:tcBorders>
                  <w:shd w:val="clear" w:color="auto" w:fill="auto"/>
                  <w:vAlign w:val="center"/>
                </w:tcPr>
                <w:p w14:paraId="37072E7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0.05</w:t>
                  </w:r>
                </w:p>
              </w:tc>
              <w:tc>
                <w:tcPr>
                  <w:tcW w:w="569" w:type="dxa"/>
                  <w:vMerge w:val="continue"/>
                  <w:tcBorders>
                    <w:tl2br w:val="nil"/>
                    <w:tr2bl w:val="nil"/>
                  </w:tcBorders>
                  <w:shd w:val="clear" w:color="auto" w:fill="auto"/>
                  <w:vAlign w:val="center"/>
                </w:tcPr>
                <w:p w14:paraId="2AAFD2B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c>
                <w:tcPr>
                  <w:tcW w:w="771" w:type="dxa"/>
                  <w:tcBorders>
                    <w:tl2br w:val="nil"/>
                    <w:tr2bl w:val="nil"/>
                  </w:tcBorders>
                  <w:shd w:val="clear" w:color="auto" w:fill="auto"/>
                  <w:vAlign w:val="center"/>
                </w:tcPr>
                <w:p w14:paraId="3A1F31A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防爆柜</w:t>
                  </w:r>
                </w:p>
              </w:tc>
            </w:tr>
            <w:tr w14:paraId="2BD9D9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86" w:type="dxa"/>
                  <w:tcBorders>
                    <w:tl2br w:val="nil"/>
                    <w:tr2bl w:val="nil"/>
                  </w:tcBorders>
                  <w:shd w:val="clear" w:color="auto" w:fill="auto"/>
                  <w:vAlign w:val="center"/>
                </w:tcPr>
                <w:p w14:paraId="7E8F2BD8">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olor w:val="auto"/>
                      <w:highlight w:val="none"/>
                      <w:lang w:val="en-US" w:eastAsia="zh-CN"/>
                    </w:rPr>
                  </w:pPr>
                  <w:r>
                    <w:rPr>
                      <w:rFonts w:hint="eastAsia"/>
                      <w:color w:val="auto"/>
                      <w:highlight w:val="none"/>
                      <w:lang w:val="en-US" w:eastAsia="zh-CN"/>
                    </w:rPr>
                    <w:t>8</w:t>
                  </w:r>
                </w:p>
              </w:tc>
              <w:tc>
                <w:tcPr>
                  <w:tcW w:w="1488" w:type="dxa"/>
                  <w:tcBorders>
                    <w:tl2br w:val="nil"/>
                    <w:tr2bl w:val="nil"/>
                  </w:tcBorders>
                  <w:shd w:val="clear" w:color="auto" w:fill="auto"/>
                  <w:vAlign w:val="center"/>
                </w:tcPr>
                <w:p w14:paraId="5AE48216">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硝酸</w:t>
                  </w:r>
                </w:p>
              </w:tc>
              <w:tc>
                <w:tcPr>
                  <w:tcW w:w="652" w:type="dxa"/>
                  <w:tcBorders>
                    <w:tl2br w:val="nil"/>
                    <w:tr2bl w:val="nil"/>
                  </w:tcBorders>
                  <w:shd w:val="clear" w:color="auto" w:fill="auto"/>
                  <w:vAlign w:val="center"/>
                </w:tcPr>
                <w:p w14:paraId="7ADA422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0.72</w:t>
                  </w:r>
                </w:p>
              </w:tc>
              <w:tc>
                <w:tcPr>
                  <w:tcW w:w="1723" w:type="dxa"/>
                  <w:tcBorders>
                    <w:tl2br w:val="nil"/>
                    <w:tr2bl w:val="nil"/>
                  </w:tcBorders>
                  <w:shd w:val="clear" w:color="auto" w:fill="auto"/>
                  <w:vAlign w:val="center"/>
                </w:tcPr>
                <w:p w14:paraId="1BF6BED6">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lang w:val="en-US" w:eastAsia="zh-CN"/>
                    </w:rPr>
                    <w:t>40%硝酸</w:t>
                  </w:r>
                </w:p>
              </w:tc>
              <w:tc>
                <w:tcPr>
                  <w:tcW w:w="527" w:type="dxa"/>
                  <w:tcBorders>
                    <w:tl2br w:val="nil"/>
                    <w:tr2bl w:val="nil"/>
                  </w:tcBorders>
                  <w:shd w:val="clear" w:color="auto" w:fill="auto"/>
                  <w:vAlign w:val="center"/>
                </w:tcPr>
                <w:p w14:paraId="354781FA">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液态</w:t>
                  </w:r>
                </w:p>
              </w:tc>
              <w:tc>
                <w:tcPr>
                  <w:tcW w:w="848" w:type="dxa"/>
                  <w:tcBorders>
                    <w:tl2br w:val="nil"/>
                    <w:tr2bl w:val="nil"/>
                  </w:tcBorders>
                  <w:shd w:val="clear" w:color="auto" w:fill="auto"/>
                  <w:vAlign w:val="center"/>
                </w:tcPr>
                <w:p w14:paraId="69B1AABE">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olor w:val="auto"/>
                      <w:highlight w:val="none"/>
                      <w:lang w:val="en-US" w:eastAsia="zh-CN"/>
                    </w:rPr>
                    <w:t>200kg/桶</w:t>
                  </w:r>
                </w:p>
              </w:tc>
              <w:tc>
                <w:tcPr>
                  <w:tcW w:w="958" w:type="dxa"/>
                  <w:tcBorders>
                    <w:tl2br w:val="nil"/>
                    <w:tr2bl w:val="nil"/>
                  </w:tcBorders>
                  <w:shd w:val="clear" w:color="auto" w:fill="auto"/>
                  <w:vAlign w:val="center"/>
                </w:tcPr>
                <w:p w14:paraId="053B6AFB">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0.4</w:t>
                  </w:r>
                </w:p>
              </w:tc>
              <w:tc>
                <w:tcPr>
                  <w:tcW w:w="569" w:type="dxa"/>
                  <w:vMerge w:val="continue"/>
                  <w:tcBorders>
                    <w:tl2br w:val="nil"/>
                    <w:tr2bl w:val="nil"/>
                  </w:tcBorders>
                  <w:shd w:val="clear" w:color="auto" w:fill="auto"/>
                  <w:vAlign w:val="center"/>
                </w:tcPr>
                <w:p w14:paraId="5F1A2D1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c>
                <w:tcPr>
                  <w:tcW w:w="771" w:type="dxa"/>
                  <w:vMerge w:val="restart"/>
                  <w:tcBorders>
                    <w:tl2br w:val="nil"/>
                    <w:tr2bl w:val="nil"/>
                  </w:tcBorders>
                  <w:shd w:val="clear" w:color="auto" w:fill="auto"/>
                  <w:vAlign w:val="center"/>
                </w:tcPr>
                <w:p w14:paraId="2585C50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危化品仓库</w:t>
                  </w:r>
                </w:p>
              </w:tc>
            </w:tr>
            <w:tr w14:paraId="382E69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86" w:type="dxa"/>
                  <w:tcBorders>
                    <w:tl2br w:val="nil"/>
                    <w:tr2bl w:val="nil"/>
                  </w:tcBorders>
                  <w:shd w:val="clear" w:color="auto" w:fill="auto"/>
                  <w:vAlign w:val="center"/>
                </w:tcPr>
                <w:p w14:paraId="37F7B076">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olor w:val="auto"/>
                      <w:highlight w:val="none"/>
                      <w:lang w:val="en-US" w:eastAsia="zh-CN"/>
                    </w:rPr>
                  </w:pPr>
                  <w:r>
                    <w:rPr>
                      <w:rFonts w:hint="eastAsia"/>
                      <w:color w:val="auto"/>
                      <w:highlight w:val="none"/>
                      <w:lang w:val="en-US" w:eastAsia="zh-CN"/>
                    </w:rPr>
                    <w:t>9</w:t>
                  </w:r>
                </w:p>
              </w:tc>
              <w:tc>
                <w:tcPr>
                  <w:tcW w:w="1488" w:type="dxa"/>
                  <w:tcBorders>
                    <w:tl2br w:val="nil"/>
                    <w:tr2bl w:val="nil"/>
                  </w:tcBorders>
                  <w:shd w:val="clear" w:color="auto" w:fill="auto"/>
                  <w:vAlign w:val="center"/>
                </w:tcPr>
                <w:p w14:paraId="5457A15E">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rPr>
                    <w:t>氢氧化钠</w:t>
                  </w:r>
                </w:p>
              </w:tc>
              <w:tc>
                <w:tcPr>
                  <w:tcW w:w="652" w:type="dxa"/>
                  <w:tcBorders>
                    <w:tl2br w:val="nil"/>
                    <w:tr2bl w:val="nil"/>
                  </w:tcBorders>
                  <w:shd w:val="clear" w:color="auto" w:fill="auto"/>
                  <w:vAlign w:val="center"/>
                </w:tcPr>
                <w:p w14:paraId="61A06CAD">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1.6</w:t>
                  </w:r>
                </w:p>
              </w:tc>
              <w:tc>
                <w:tcPr>
                  <w:tcW w:w="1723" w:type="dxa"/>
                  <w:tcBorders>
                    <w:tl2br w:val="nil"/>
                    <w:tr2bl w:val="nil"/>
                  </w:tcBorders>
                  <w:shd w:val="clear" w:color="auto" w:fill="auto"/>
                  <w:vAlign w:val="center"/>
                </w:tcPr>
                <w:p w14:paraId="12FB3DCF">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default" w:ascii="Times New Roman" w:hAnsi="Times New Roman" w:eastAsia="宋体" w:cs="Times New Roman"/>
                      <w:color w:val="auto"/>
                      <w:sz w:val="21"/>
                      <w:szCs w:val="24"/>
                      <w:lang w:val="en-US" w:eastAsia="zh-CN" w:bidi="zh-CN"/>
                    </w:rPr>
                  </w:pPr>
                  <w:r>
                    <w:rPr>
                      <w:rFonts w:hint="eastAsia" w:cs="Times New Roman"/>
                      <w:color w:val="auto"/>
                      <w:sz w:val="21"/>
                      <w:szCs w:val="24"/>
                      <w:lang w:val="en-US" w:eastAsia="zh-CN" w:bidi="zh-CN"/>
                    </w:rPr>
                    <w:t>20%氢氧化钠溶液</w:t>
                  </w:r>
                </w:p>
              </w:tc>
              <w:tc>
                <w:tcPr>
                  <w:tcW w:w="527" w:type="dxa"/>
                  <w:tcBorders>
                    <w:tl2br w:val="nil"/>
                    <w:tr2bl w:val="nil"/>
                  </w:tcBorders>
                  <w:shd w:val="clear" w:color="auto" w:fill="auto"/>
                  <w:vAlign w:val="center"/>
                </w:tcPr>
                <w:p w14:paraId="02978B87">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液态</w:t>
                  </w:r>
                </w:p>
              </w:tc>
              <w:tc>
                <w:tcPr>
                  <w:tcW w:w="848" w:type="dxa"/>
                  <w:tcBorders>
                    <w:tl2br w:val="nil"/>
                    <w:tr2bl w:val="nil"/>
                  </w:tcBorders>
                  <w:shd w:val="clear" w:color="auto" w:fill="auto"/>
                  <w:vAlign w:val="center"/>
                </w:tcPr>
                <w:p w14:paraId="729D2AA2">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1.4t</w:t>
                  </w:r>
                  <w:r>
                    <w:rPr>
                      <w:rFonts w:hint="eastAsia" w:ascii="Times New Roman" w:hAnsi="Times New Roman" w:eastAsia="宋体"/>
                      <w:color w:val="auto"/>
                      <w:highlight w:val="none"/>
                      <w:lang w:val="en-US" w:eastAsia="zh-CN"/>
                    </w:rPr>
                    <w:t>/桶</w:t>
                  </w:r>
                </w:p>
              </w:tc>
              <w:tc>
                <w:tcPr>
                  <w:tcW w:w="958" w:type="dxa"/>
                  <w:tcBorders>
                    <w:tl2br w:val="nil"/>
                    <w:tr2bl w:val="nil"/>
                  </w:tcBorders>
                  <w:shd w:val="clear" w:color="auto" w:fill="auto"/>
                  <w:vAlign w:val="center"/>
                </w:tcPr>
                <w:p w14:paraId="169BD497">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1.4</w:t>
                  </w:r>
                </w:p>
              </w:tc>
              <w:tc>
                <w:tcPr>
                  <w:tcW w:w="569" w:type="dxa"/>
                  <w:vMerge w:val="continue"/>
                  <w:tcBorders>
                    <w:tl2br w:val="nil"/>
                    <w:tr2bl w:val="nil"/>
                  </w:tcBorders>
                  <w:shd w:val="clear" w:color="auto" w:fill="auto"/>
                  <w:vAlign w:val="center"/>
                </w:tcPr>
                <w:p w14:paraId="2690864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c>
                <w:tcPr>
                  <w:tcW w:w="771" w:type="dxa"/>
                  <w:vMerge w:val="continue"/>
                  <w:tcBorders>
                    <w:tl2br w:val="nil"/>
                    <w:tr2bl w:val="nil"/>
                  </w:tcBorders>
                  <w:shd w:val="clear" w:color="auto" w:fill="auto"/>
                  <w:vAlign w:val="center"/>
                </w:tcPr>
                <w:p w14:paraId="5900671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r>
            <w:tr w14:paraId="0BF4B7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86" w:type="dxa"/>
                  <w:tcBorders>
                    <w:tl2br w:val="nil"/>
                    <w:tr2bl w:val="nil"/>
                  </w:tcBorders>
                  <w:shd w:val="clear" w:color="auto" w:fill="auto"/>
                  <w:vAlign w:val="center"/>
                </w:tcPr>
                <w:p w14:paraId="6245B585">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olor w:val="auto"/>
                      <w:highlight w:val="none"/>
                      <w:lang w:val="en-US" w:eastAsia="zh-CN"/>
                    </w:rPr>
                  </w:pPr>
                  <w:r>
                    <w:rPr>
                      <w:rFonts w:hint="eastAsia"/>
                      <w:color w:val="auto"/>
                      <w:highlight w:val="none"/>
                      <w:lang w:val="en-US" w:eastAsia="zh-CN"/>
                    </w:rPr>
                    <w:t>10</w:t>
                  </w:r>
                </w:p>
              </w:tc>
              <w:tc>
                <w:tcPr>
                  <w:tcW w:w="1488" w:type="dxa"/>
                  <w:tcBorders>
                    <w:tl2br w:val="nil"/>
                    <w:tr2bl w:val="nil"/>
                  </w:tcBorders>
                  <w:shd w:val="clear" w:color="auto" w:fill="auto"/>
                  <w:vAlign w:val="center"/>
                </w:tcPr>
                <w:p w14:paraId="29DA75D6">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次氯酸钠</w:t>
                  </w:r>
                </w:p>
              </w:tc>
              <w:tc>
                <w:tcPr>
                  <w:tcW w:w="652" w:type="dxa"/>
                  <w:tcBorders>
                    <w:tl2br w:val="nil"/>
                    <w:tr2bl w:val="nil"/>
                  </w:tcBorders>
                  <w:shd w:val="clear" w:color="auto" w:fill="auto"/>
                  <w:vAlign w:val="center"/>
                </w:tcPr>
                <w:p w14:paraId="314B59DA">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0.3</w:t>
                  </w:r>
                </w:p>
              </w:tc>
              <w:tc>
                <w:tcPr>
                  <w:tcW w:w="1723" w:type="dxa"/>
                  <w:tcBorders>
                    <w:tl2br w:val="nil"/>
                    <w:tr2bl w:val="nil"/>
                  </w:tcBorders>
                  <w:shd w:val="clear" w:color="auto" w:fill="auto"/>
                  <w:vAlign w:val="center"/>
                </w:tcPr>
                <w:p w14:paraId="2EB2E44E">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10%</w:t>
                  </w:r>
                  <w:r>
                    <w:rPr>
                      <w:rFonts w:hint="eastAsia"/>
                      <w:color w:val="auto"/>
                      <w:highlight w:val="none"/>
                      <w:lang w:val="en-US" w:eastAsia="zh-CN"/>
                    </w:rPr>
                    <w:t>次氯酸钠</w:t>
                  </w:r>
                  <w:r>
                    <w:rPr>
                      <w:rFonts w:hint="eastAsia" w:cs="Times New Roman"/>
                      <w:color w:val="auto"/>
                      <w:sz w:val="21"/>
                      <w:szCs w:val="24"/>
                      <w:lang w:val="en-US" w:eastAsia="zh-CN" w:bidi="zh-CN"/>
                    </w:rPr>
                    <w:t>溶液</w:t>
                  </w:r>
                </w:p>
              </w:tc>
              <w:tc>
                <w:tcPr>
                  <w:tcW w:w="527" w:type="dxa"/>
                  <w:tcBorders>
                    <w:tl2br w:val="nil"/>
                    <w:tr2bl w:val="nil"/>
                  </w:tcBorders>
                  <w:shd w:val="clear" w:color="auto" w:fill="auto"/>
                  <w:vAlign w:val="center"/>
                </w:tcPr>
                <w:p w14:paraId="6B1A2B1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液态</w:t>
                  </w:r>
                </w:p>
              </w:tc>
              <w:tc>
                <w:tcPr>
                  <w:tcW w:w="848" w:type="dxa"/>
                  <w:tcBorders>
                    <w:tl2br w:val="nil"/>
                    <w:tr2bl w:val="nil"/>
                  </w:tcBorders>
                  <w:shd w:val="clear" w:color="auto" w:fill="auto"/>
                  <w:vAlign w:val="center"/>
                </w:tcPr>
                <w:p w14:paraId="5DBBF10C">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25kg/桶</w:t>
                  </w:r>
                </w:p>
              </w:tc>
              <w:tc>
                <w:tcPr>
                  <w:tcW w:w="958" w:type="dxa"/>
                  <w:tcBorders>
                    <w:tl2br w:val="nil"/>
                    <w:tr2bl w:val="nil"/>
                  </w:tcBorders>
                  <w:shd w:val="clear" w:color="auto" w:fill="auto"/>
                  <w:vAlign w:val="center"/>
                </w:tcPr>
                <w:p w14:paraId="140F990E">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0.05</w:t>
                  </w:r>
                </w:p>
              </w:tc>
              <w:tc>
                <w:tcPr>
                  <w:tcW w:w="569" w:type="dxa"/>
                  <w:vMerge w:val="continue"/>
                  <w:tcBorders>
                    <w:tl2br w:val="nil"/>
                    <w:tr2bl w:val="nil"/>
                  </w:tcBorders>
                  <w:shd w:val="clear" w:color="auto" w:fill="auto"/>
                  <w:vAlign w:val="center"/>
                </w:tcPr>
                <w:p w14:paraId="788DCD5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c>
                <w:tcPr>
                  <w:tcW w:w="771" w:type="dxa"/>
                  <w:vMerge w:val="continue"/>
                  <w:tcBorders>
                    <w:tl2br w:val="nil"/>
                    <w:tr2bl w:val="nil"/>
                  </w:tcBorders>
                  <w:shd w:val="clear" w:color="auto" w:fill="auto"/>
                  <w:vAlign w:val="center"/>
                </w:tcPr>
                <w:p w14:paraId="799D86D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r>
            <w:tr w14:paraId="3EA775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86" w:type="dxa"/>
                  <w:tcBorders>
                    <w:tl2br w:val="nil"/>
                    <w:tr2bl w:val="nil"/>
                  </w:tcBorders>
                  <w:shd w:val="clear" w:color="auto" w:fill="auto"/>
                  <w:vAlign w:val="center"/>
                </w:tcPr>
                <w:p w14:paraId="0705BB33">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olor w:val="auto"/>
                      <w:highlight w:val="none"/>
                      <w:lang w:val="en-US" w:eastAsia="zh-CN"/>
                    </w:rPr>
                  </w:pPr>
                  <w:r>
                    <w:rPr>
                      <w:rFonts w:hint="eastAsia"/>
                      <w:color w:val="auto"/>
                      <w:highlight w:val="none"/>
                      <w:lang w:val="en-US" w:eastAsia="zh-CN"/>
                    </w:rPr>
                    <w:t>11</w:t>
                  </w:r>
                </w:p>
              </w:tc>
              <w:tc>
                <w:tcPr>
                  <w:tcW w:w="1488" w:type="dxa"/>
                  <w:tcBorders>
                    <w:tl2br w:val="nil"/>
                    <w:tr2bl w:val="nil"/>
                  </w:tcBorders>
                  <w:shd w:val="clear" w:color="auto" w:fill="auto"/>
                  <w:vAlign w:val="center"/>
                </w:tcPr>
                <w:p w14:paraId="2629C2CF">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eastAsia" w:ascii="Times New Roman" w:hAnsi="Times New Roman" w:eastAsia="宋体" w:cs="Times New Roman"/>
                      <w:color w:val="auto"/>
                      <w:sz w:val="21"/>
                      <w:szCs w:val="24"/>
                      <w:lang w:val="en-US" w:eastAsia="zh-CN" w:bidi="zh-CN"/>
                    </w:rPr>
                  </w:pPr>
                  <w:r>
                    <w:rPr>
                      <w:rFonts w:hint="default" w:ascii="Times New Roman" w:hAnsi="Times New Roman" w:eastAsia="宋体"/>
                      <w:color w:val="auto"/>
                    </w:rPr>
                    <w:t>PP、PE共挤膜</w:t>
                  </w:r>
                </w:p>
              </w:tc>
              <w:tc>
                <w:tcPr>
                  <w:tcW w:w="652" w:type="dxa"/>
                  <w:tcBorders>
                    <w:tl2br w:val="nil"/>
                    <w:tr2bl w:val="nil"/>
                  </w:tcBorders>
                  <w:shd w:val="clear" w:color="auto" w:fill="auto"/>
                  <w:vAlign w:val="center"/>
                </w:tcPr>
                <w:p w14:paraId="2A39EA93">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40</w:t>
                  </w:r>
                </w:p>
              </w:tc>
              <w:tc>
                <w:tcPr>
                  <w:tcW w:w="1723" w:type="dxa"/>
                  <w:tcBorders>
                    <w:tl2br w:val="nil"/>
                    <w:tr2bl w:val="nil"/>
                  </w:tcBorders>
                  <w:shd w:val="clear" w:color="auto" w:fill="auto"/>
                  <w:vAlign w:val="center"/>
                </w:tcPr>
                <w:p w14:paraId="26034A18">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default" w:ascii="Times New Roman" w:hAnsi="Times New Roman" w:eastAsia="宋体" w:cs="Times New Roman"/>
                      <w:color w:val="auto"/>
                      <w:sz w:val="21"/>
                      <w:szCs w:val="24"/>
                      <w:lang w:val="en-US" w:eastAsia="zh-CN" w:bidi="zh-CN"/>
                    </w:rPr>
                  </w:pPr>
                  <w:r>
                    <w:rPr>
                      <w:rFonts w:hint="eastAsia" w:ascii="Times New Roman" w:hAnsi="Times New Roman" w:eastAsia="宋体"/>
                      <w:color w:val="auto"/>
                      <w:lang w:val="en-US" w:eastAsia="zh-CN"/>
                    </w:rPr>
                    <w:t>塑料</w:t>
                  </w:r>
                </w:p>
              </w:tc>
              <w:tc>
                <w:tcPr>
                  <w:tcW w:w="527" w:type="dxa"/>
                  <w:tcBorders>
                    <w:tl2br w:val="nil"/>
                    <w:tr2bl w:val="nil"/>
                  </w:tcBorders>
                  <w:shd w:val="clear" w:color="auto" w:fill="auto"/>
                  <w:vAlign w:val="center"/>
                </w:tcPr>
                <w:p w14:paraId="09810AE3">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固态</w:t>
                  </w:r>
                </w:p>
              </w:tc>
              <w:tc>
                <w:tcPr>
                  <w:tcW w:w="848" w:type="dxa"/>
                  <w:tcBorders>
                    <w:tl2br w:val="nil"/>
                    <w:tr2bl w:val="nil"/>
                  </w:tcBorders>
                  <w:shd w:val="clear" w:color="auto" w:fill="auto"/>
                  <w:vAlign w:val="center"/>
                </w:tcPr>
                <w:p w14:paraId="6EF14CBB">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20kg/箱</w:t>
                  </w:r>
                </w:p>
              </w:tc>
              <w:tc>
                <w:tcPr>
                  <w:tcW w:w="958" w:type="dxa"/>
                  <w:tcBorders>
                    <w:tl2br w:val="nil"/>
                    <w:tr2bl w:val="nil"/>
                  </w:tcBorders>
                  <w:shd w:val="clear" w:color="auto" w:fill="auto"/>
                  <w:vAlign w:val="center"/>
                </w:tcPr>
                <w:p w14:paraId="1D359AC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w:t>
                  </w:r>
                </w:p>
              </w:tc>
              <w:tc>
                <w:tcPr>
                  <w:tcW w:w="569" w:type="dxa"/>
                  <w:vMerge w:val="continue"/>
                  <w:tcBorders>
                    <w:tl2br w:val="nil"/>
                    <w:tr2bl w:val="nil"/>
                  </w:tcBorders>
                  <w:shd w:val="clear" w:color="auto" w:fill="auto"/>
                  <w:vAlign w:val="center"/>
                </w:tcPr>
                <w:p w14:paraId="1ECA81D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c>
                <w:tcPr>
                  <w:tcW w:w="771" w:type="dxa"/>
                  <w:vMerge w:val="restart"/>
                  <w:tcBorders>
                    <w:tl2br w:val="nil"/>
                    <w:tr2bl w:val="nil"/>
                  </w:tcBorders>
                  <w:shd w:val="clear" w:color="auto" w:fill="auto"/>
                  <w:vAlign w:val="center"/>
                </w:tcPr>
                <w:p w14:paraId="2401865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原料仓库</w:t>
                  </w:r>
                </w:p>
              </w:tc>
            </w:tr>
            <w:tr w14:paraId="6FF1A9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86" w:type="dxa"/>
                  <w:tcBorders>
                    <w:tl2br w:val="nil"/>
                    <w:tr2bl w:val="nil"/>
                  </w:tcBorders>
                  <w:shd w:val="clear" w:color="auto" w:fill="auto"/>
                  <w:vAlign w:val="center"/>
                </w:tcPr>
                <w:p w14:paraId="188D3ADD">
                  <w:pPr>
                    <w:pStyle w:val="21"/>
                    <w:keepNext w:val="0"/>
                    <w:keepLines w:val="0"/>
                    <w:suppressLineNumbers w:val="0"/>
                    <w:spacing w:before="0" w:beforeAutospacing="0" w:after="0" w:afterAutospacing="0"/>
                    <w:ind w:left="0" w:right="0" w:firstLine="0" w:firstLineChars="0"/>
                    <w:rPr>
                      <w:rFonts w:hint="default"/>
                      <w:color w:val="auto"/>
                      <w:highlight w:val="none"/>
                      <w:lang w:val="en-US" w:eastAsia="zh-CN"/>
                    </w:rPr>
                  </w:pPr>
                  <w:r>
                    <w:rPr>
                      <w:rFonts w:hint="eastAsia"/>
                      <w:color w:val="auto"/>
                      <w:highlight w:val="none"/>
                      <w:lang w:val="en-US" w:eastAsia="zh-CN"/>
                    </w:rPr>
                    <w:t>12</w:t>
                  </w:r>
                </w:p>
              </w:tc>
              <w:tc>
                <w:tcPr>
                  <w:tcW w:w="1488" w:type="dxa"/>
                  <w:tcBorders>
                    <w:tl2br w:val="nil"/>
                    <w:tr2bl w:val="nil"/>
                  </w:tcBorders>
                  <w:shd w:val="clear" w:color="auto" w:fill="auto"/>
                  <w:vAlign w:val="center"/>
                </w:tcPr>
                <w:p w14:paraId="0819A646">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标签纸</w:t>
                  </w:r>
                </w:p>
              </w:tc>
              <w:tc>
                <w:tcPr>
                  <w:tcW w:w="652" w:type="dxa"/>
                  <w:tcBorders>
                    <w:tl2br w:val="nil"/>
                    <w:tr2bl w:val="nil"/>
                  </w:tcBorders>
                  <w:shd w:val="clear" w:color="auto" w:fill="auto"/>
                  <w:vAlign w:val="center"/>
                </w:tcPr>
                <w:p w14:paraId="515A417D">
                  <w:pPr>
                    <w:pStyle w:val="21"/>
                    <w:keepNext w:val="0"/>
                    <w:keepLines w:val="0"/>
                    <w:suppressLineNumbers w:val="0"/>
                    <w:spacing w:before="0" w:beforeAutospacing="0" w:after="0" w:afterAutospacing="0"/>
                    <w:ind w:left="0" w:leftChars="0" w:right="0" w:rightChars="0" w:firstLine="0" w:firstLineChars="0"/>
                    <w:rPr>
                      <w:rFonts w:hint="default"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2</w:t>
                  </w:r>
                </w:p>
              </w:tc>
              <w:tc>
                <w:tcPr>
                  <w:tcW w:w="1723" w:type="dxa"/>
                  <w:tcBorders>
                    <w:tl2br w:val="nil"/>
                    <w:tr2bl w:val="nil"/>
                  </w:tcBorders>
                  <w:shd w:val="clear" w:color="auto" w:fill="auto"/>
                  <w:vAlign w:val="center"/>
                </w:tcPr>
                <w:p w14:paraId="7D5B028F">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塑料膜</w:t>
                  </w:r>
                </w:p>
              </w:tc>
              <w:tc>
                <w:tcPr>
                  <w:tcW w:w="527" w:type="dxa"/>
                  <w:tcBorders>
                    <w:tl2br w:val="nil"/>
                    <w:tr2bl w:val="nil"/>
                  </w:tcBorders>
                  <w:shd w:val="clear" w:color="auto" w:fill="auto"/>
                  <w:vAlign w:val="center"/>
                </w:tcPr>
                <w:p w14:paraId="55355862">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default"/>
                      <w:color w:val="auto"/>
                      <w:highlight w:val="none"/>
                      <w:lang w:val="en-US" w:eastAsia="zh-CN"/>
                    </w:rPr>
                  </w:pPr>
                  <w:r>
                    <w:rPr>
                      <w:rFonts w:hint="eastAsia"/>
                      <w:color w:val="auto"/>
                      <w:highlight w:val="none"/>
                      <w:lang w:val="en-US" w:eastAsia="zh-CN"/>
                    </w:rPr>
                    <w:t>固态</w:t>
                  </w:r>
                </w:p>
              </w:tc>
              <w:tc>
                <w:tcPr>
                  <w:tcW w:w="848" w:type="dxa"/>
                  <w:tcBorders>
                    <w:tl2br w:val="nil"/>
                    <w:tr2bl w:val="nil"/>
                  </w:tcBorders>
                  <w:shd w:val="clear" w:color="auto" w:fill="auto"/>
                  <w:vAlign w:val="center"/>
                </w:tcPr>
                <w:p w14:paraId="2B90A849">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1kg/扎</w:t>
                  </w:r>
                </w:p>
              </w:tc>
              <w:tc>
                <w:tcPr>
                  <w:tcW w:w="958" w:type="dxa"/>
                  <w:tcBorders>
                    <w:tl2br w:val="nil"/>
                    <w:tr2bl w:val="nil"/>
                  </w:tcBorders>
                  <w:shd w:val="clear" w:color="auto" w:fill="auto"/>
                  <w:vAlign w:val="center"/>
                </w:tcPr>
                <w:p w14:paraId="4D0BB5EB">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0.05</w:t>
                  </w:r>
                </w:p>
              </w:tc>
              <w:tc>
                <w:tcPr>
                  <w:tcW w:w="569" w:type="dxa"/>
                  <w:vMerge w:val="continue"/>
                  <w:tcBorders>
                    <w:tl2br w:val="nil"/>
                    <w:tr2bl w:val="nil"/>
                  </w:tcBorders>
                  <w:shd w:val="clear" w:color="auto" w:fill="auto"/>
                  <w:vAlign w:val="center"/>
                </w:tcPr>
                <w:p w14:paraId="5028968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c>
                <w:tcPr>
                  <w:tcW w:w="771" w:type="dxa"/>
                  <w:vMerge w:val="continue"/>
                  <w:tcBorders>
                    <w:tl2br w:val="nil"/>
                    <w:tr2bl w:val="nil"/>
                  </w:tcBorders>
                  <w:shd w:val="clear" w:color="auto" w:fill="auto"/>
                  <w:vAlign w:val="center"/>
                </w:tcPr>
                <w:p w14:paraId="6B5AE3E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r>
          </w:tbl>
          <w:p w14:paraId="58DB3FF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422" w:right="0" w:hanging="422" w:hangingChars="200"/>
              <w:textAlignment w:val="auto"/>
              <w:rPr>
                <w:rFonts w:hint="default"/>
                <w:color w:val="auto"/>
                <w:highlight w:val="none"/>
                <w:lang w:val="en-US" w:eastAsia="zh-CN"/>
              </w:rPr>
            </w:pPr>
            <w:r>
              <w:rPr>
                <w:rFonts w:hint="eastAsia" w:ascii="Times New Roman" w:hAnsi="Times New Roman" w:eastAsia="宋体"/>
                <w:b/>
                <w:bCs/>
                <w:color w:val="auto"/>
                <w:sz w:val="21"/>
                <w:szCs w:val="21"/>
                <w:highlight w:val="none"/>
                <w:lang w:val="en-US" w:eastAsia="zh-CN"/>
              </w:rPr>
              <w:t>注：</w:t>
            </w:r>
            <w:r>
              <w:rPr>
                <w:rFonts w:hint="eastAsia"/>
                <w:b/>
                <w:bCs/>
                <w:color w:val="auto"/>
                <w:sz w:val="21"/>
                <w:szCs w:val="21"/>
                <w:highlight w:val="none"/>
                <w:lang w:val="en-US" w:eastAsia="zh-CN"/>
              </w:rPr>
              <w:t>本项目依托南京娃哈哈饮料有限公司厂区原料仓库储存。</w:t>
            </w:r>
          </w:p>
          <w:p w14:paraId="677167E0">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本项目原辅材料理化性质见下表：</w:t>
            </w:r>
          </w:p>
          <w:p w14:paraId="04AAE607">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ascii="Times New Roman" w:hAnsi="Times New Roman" w:eastAsia="宋体"/>
                <w:color w:val="auto"/>
                <w:highlight w:val="none"/>
              </w:rPr>
              <w:t>表2-</w:t>
            </w:r>
            <w:r>
              <w:rPr>
                <w:rFonts w:hint="eastAsia"/>
                <w:color w:val="auto"/>
                <w:highlight w:val="none"/>
                <w:lang w:val="en-US" w:eastAsia="zh-CN"/>
              </w:rPr>
              <w:t>6</w:t>
            </w:r>
            <w:r>
              <w:rPr>
                <w:rFonts w:ascii="Times New Roman" w:hAnsi="Times New Roman" w:eastAsia="宋体"/>
                <w:color w:val="auto"/>
                <w:highlight w:val="none"/>
              </w:rPr>
              <w:t>主要原辅材料理化性质一览表</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11"/>
              <w:gridCol w:w="1241"/>
              <w:gridCol w:w="4340"/>
              <w:gridCol w:w="838"/>
              <w:gridCol w:w="1092"/>
            </w:tblGrid>
            <w:tr w14:paraId="734880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198" w:type="pct"/>
                  <w:tcBorders>
                    <w:tl2br w:val="nil"/>
                    <w:tr2bl w:val="nil"/>
                  </w:tcBorders>
                  <w:noWrap w:val="0"/>
                  <w:tcMar>
                    <w:top w:w="0" w:type="dxa"/>
                    <w:left w:w="57" w:type="dxa"/>
                    <w:bottom w:w="0" w:type="dxa"/>
                    <w:right w:w="57" w:type="dxa"/>
                  </w:tcMar>
                  <w:vAlign w:val="center"/>
                </w:tcPr>
                <w:p w14:paraId="3711E6B7">
                  <w:pPr>
                    <w:pStyle w:val="21"/>
                    <w:keepNext w:val="0"/>
                    <w:keepLines w:val="0"/>
                    <w:suppressLineNumbers w:val="0"/>
                    <w:bidi w:val="0"/>
                    <w:spacing w:before="0" w:beforeAutospacing="0" w:after="0" w:afterAutospacing="0"/>
                    <w:ind w:left="0" w:right="0"/>
                    <w:rPr>
                      <w:rFonts w:hint="default"/>
                      <w:b/>
                      <w:bCs/>
                      <w:color w:val="auto"/>
                      <w:highlight w:val="none"/>
                    </w:rPr>
                  </w:pPr>
                  <w:r>
                    <w:rPr>
                      <w:rFonts w:hint="default"/>
                      <w:b/>
                      <w:bCs/>
                      <w:color w:val="auto"/>
                      <w:highlight w:val="none"/>
                    </w:rPr>
                    <w:t>序号</w:t>
                  </w:r>
                </w:p>
              </w:tc>
              <w:tc>
                <w:tcPr>
                  <w:tcW w:w="793" w:type="pct"/>
                  <w:tcBorders>
                    <w:tl2br w:val="nil"/>
                    <w:tr2bl w:val="nil"/>
                  </w:tcBorders>
                  <w:noWrap w:val="0"/>
                  <w:tcMar>
                    <w:top w:w="0" w:type="dxa"/>
                    <w:left w:w="57" w:type="dxa"/>
                    <w:bottom w:w="0" w:type="dxa"/>
                    <w:right w:w="57" w:type="dxa"/>
                  </w:tcMar>
                  <w:vAlign w:val="center"/>
                </w:tcPr>
                <w:p w14:paraId="5D4DFB2A">
                  <w:pPr>
                    <w:pStyle w:val="21"/>
                    <w:keepNext w:val="0"/>
                    <w:keepLines w:val="0"/>
                    <w:suppressLineNumbers w:val="0"/>
                    <w:bidi w:val="0"/>
                    <w:spacing w:before="0" w:beforeAutospacing="0" w:after="0" w:afterAutospacing="0"/>
                    <w:ind w:left="0" w:right="0"/>
                    <w:rPr>
                      <w:rFonts w:hint="default"/>
                      <w:b/>
                      <w:bCs/>
                      <w:color w:val="auto"/>
                      <w:highlight w:val="none"/>
                    </w:rPr>
                  </w:pPr>
                  <w:r>
                    <w:rPr>
                      <w:rFonts w:hint="default"/>
                      <w:b/>
                      <w:bCs/>
                      <w:color w:val="auto"/>
                      <w:highlight w:val="none"/>
                    </w:rPr>
                    <w:t>原辅料名称</w:t>
                  </w:r>
                </w:p>
              </w:tc>
              <w:tc>
                <w:tcPr>
                  <w:tcW w:w="2774" w:type="pct"/>
                  <w:tcBorders>
                    <w:tl2br w:val="nil"/>
                    <w:tr2bl w:val="nil"/>
                  </w:tcBorders>
                  <w:noWrap w:val="0"/>
                  <w:tcMar>
                    <w:top w:w="0" w:type="dxa"/>
                    <w:left w:w="57" w:type="dxa"/>
                    <w:bottom w:w="0" w:type="dxa"/>
                    <w:right w:w="57" w:type="dxa"/>
                  </w:tcMar>
                  <w:vAlign w:val="center"/>
                </w:tcPr>
                <w:p w14:paraId="7BA4530C">
                  <w:pPr>
                    <w:pStyle w:val="21"/>
                    <w:keepNext w:val="0"/>
                    <w:keepLines w:val="0"/>
                    <w:suppressLineNumbers w:val="0"/>
                    <w:bidi w:val="0"/>
                    <w:spacing w:before="0" w:beforeAutospacing="0" w:after="0" w:afterAutospacing="0"/>
                    <w:ind w:left="0" w:right="0"/>
                    <w:rPr>
                      <w:rFonts w:hint="default"/>
                      <w:b/>
                      <w:bCs/>
                      <w:color w:val="auto"/>
                      <w:highlight w:val="none"/>
                    </w:rPr>
                  </w:pPr>
                  <w:r>
                    <w:rPr>
                      <w:rFonts w:hint="default"/>
                      <w:b/>
                      <w:bCs/>
                      <w:color w:val="auto"/>
                      <w:highlight w:val="none"/>
                    </w:rPr>
                    <w:t>理化性质</w:t>
                  </w:r>
                </w:p>
              </w:tc>
              <w:tc>
                <w:tcPr>
                  <w:tcW w:w="535" w:type="pct"/>
                  <w:tcBorders>
                    <w:tl2br w:val="nil"/>
                    <w:tr2bl w:val="nil"/>
                  </w:tcBorders>
                  <w:noWrap w:val="0"/>
                  <w:tcMar>
                    <w:top w:w="0" w:type="dxa"/>
                    <w:left w:w="57" w:type="dxa"/>
                    <w:bottom w:w="0" w:type="dxa"/>
                    <w:right w:w="57" w:type="dxa"/>
                  </w:tcMar>
                  <w:vAlign w:val="center"/>
                </w:tcPr>
                <w:p w14:paraId="3DB7A55A">
                  <w:pPr>
                    <w:pStyle w:val="21"/>
                    <w:keepNext w:val="0"/>
                    <w:keepLines w:val="0"/>
                    <w:suppressLineNumbers w:val="0"/>
                    <w:bidi w:val="0"/>
                    <w:spacing w:before="0" w:beforeAutospacing="0" w:after="0" w:afterAutospacing="0"/>
                    <w:ind w:left="0" w:right="0"/>
                    <w:rPr>
                      <w:rFonts w:hint="default"/>
                      <w:b/>
                      <w:bCs/>
                      <w:color w:val="auto"/>
                      <w:highlight w:val="none"/>
                    </w:rPr>
                  </w:pPr>
                  <w:r>
                    <w:rPr>
                      <w:rFonts w:hint="default"/>
                      <w:b/>
                      <w:bCs/>
                      <w:color w:val="auto"/>
                      <w:highlight w:val="none"/>
                    </w:rPr>
                    <w:t>燃烧爆炸性</w:t>
                  </w:r>
                </w:p>
              </w:tc>
              <w:tc>
                <w:tcPr>
                  <w:tcW w:w="698" w:type="pct"/>
                  <w:tcBorders>
                    <w:tl2br w:val="nil"/>
                    <w:tr2bl w:val="nil"/>
                  </w:tcBorders>
                  <w:noWrap w:val="0"/>
                  <w:tcMar>
                    <w:top w:w="0" w:type="dxa"/>
                    <w:left w:w="57" w:type="dxa"/>
                    <w:bottom w:w="0" w:type="dxa"/>
                    <w:right w:w="57" w:type="dxa"/>
                  </w:tcMar>
                  <w:vAlign w:val="center"/>
                </w:tcPr>
                <w:p w14:paraId="4293876A">
                  <w:pPr>
                    <w:pStyle w:val="21"/>
                    <w:keepNext w:val="0"/>
                    <w:keepLines w:val="0"/>
                    <w:suppressLineNumbers w:val="0"/>
                    <w:bidi w:val="0"/>
                    <w:spacing w:before="0" w:beforeAutospacing="0" w:after="0" w:afterAutospacing="0"/>
                    <w:ind w:left="0" w:right="0"/>
                    <w:rPr>
                      <w:rFonts w:hint="default"/>
                      <w:b/>
                      <w:bCs/>
                      <w:color w:val="auto"/>
                      <w:highlight w:val="none"/>
                    </w:rPr>
                  </w:pPr>
                  <w:r>
                    <w:rPr>
                      <w:rFonts w:hint="default"/>
                      <w:b/>
                      <w:bCs/>
                      <w:color w:val="auto"/>
                      <w:highlight w:val="none"/>
                    </w:rPr>
                    <w:t>毒理性</w:t>
                  </w:r>
                </w:p>
              </w:tc>
            </w:tr>
            <w:tr w14:paraId="4BE4EF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8" w:type="pct"/>
                  <w:tcBorders>
                    <w:tl2br w:val="nil"/>
                    <w:tr2bl w:val="nil"/>
                  </w:tcBorders>
                  <w:noWrap w:val="0"/>
                  <w:tcMar>
                    <w:top w:w="0" w:type="dxa"/>
                    <w:left w:w="57" w:type="dxa"/>
                    <w:bottom w:w="0" w:type="dxa"/>
                    <w:right w:w="57" w:type="dxa"/>
                  </w:tcMar>
                  <w:vAlign w:val="center"/>
                </w:tcPr>
                <w:p w14:paraId="433C7320">
                  <w:pPr>
                    <w:pStyle w:val="21"/>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1</w:t>
                  </w:r>
                </w:p>
              </w:tc>
              <w:tc>
                <w:tcPr>
                  <w:tcW w:w="793" w:type="pct"/>
                  <w:tcBorders>
                    <w:tl2br w:val="nil"/>
                    <w:tr2bl w:val="nil"/>
                  </w:tcBorders>
                  <w:noWrap w:val="0"/>
                  <w:tcMar>
                    <w:top w:w="0" w:type="dxa"/>
                    <w:left w:w="57" w:type="dxa"/>
                    <w:bottom w:w="0" w:type="dxa"/>
                    <w:right w:w="57" w:type="dxa"/>
                  </w:tcMar>
                  <w:vAlign w:val="center"/>
                </w:tcPr>
                <w:p w14:paraId="50EE8CF2">
                  <w:pPr>
                    <w:pStyle w:val="21"/>
                    <w:keepNext w:val="0"/>
                    <w:keepLines w:val="0"/>
                    <w:suppressLineNumbers w:val="0"/>
                    <w:bidi w:val="0"/>
                    <w:spacing w:before="0" w:beforeAutospacing="0" w:after="0" w:afterAutospacing="0"/>
                    <w:ind w:left="0" w:right="0"/>
                    <w:rPr>
                      <w:rFonts w:hint="default"/>
                      <w:color w:val="auto"/>
                      <w:highlight w:val="none"/>
                    </w:rPr>
                  </w:pPr>
                  <w:r>
                    <w:rPr>
                      <w:rFonts w:hint="eastAsia"/>
                      <w:b w:val="0"/>
                      <w:bCs w:val="0"/>
                      <w:color w:val="auto"/>
                      <w:highlight w:val="none"/>
                      <w:lang w:val="en-US" w:eastAsia="zh-CN"/>
                    </w:rPr>
                    <w:t>PET塑料</w:t>
                  </w:r>
                </w:p>
              </w:tc>
              <w:tc>
                <w:tcPr>
                  <w:tcW w:w="2774" w:type="pct"/>
                  <w:tcBorders>
                    <w:tl2br w:val="nil"/>
                    <w:tr2bl w:val="nil"/>
                  </w:tcBorders>
                  <w:noWrap w:val="0"/>
                  <w:tcMar>
                    <w:top w:w="0" w:type="dxa"/>
                    <w:left w:w="57" w:type="dxa"/>
                    <w:bottom w:w="0" w:type="dxa"/>
                    <w:right w:w="57" w:type="dxa"/>
                  </w:tcMar>
                  <w:vAlign w:val="center"/>
                </w:tcPr>
                <w:p w14:paraId="390D51E2">
                  <w:pPr>
                    <w:pStyle w:val="21"/>
                    <w:keepNext w:val="0"/>
                    <w:keepLines w:val="0"/>
                    <w:suppressLineNumbers w:val="0"/>
                    <w:bidi w:val="0"/>
                    <w:spacing w:before="0" w:beforeAutospacing="0" w:after="0" w:afterAutospacing="0"/>
                    <w:ind w:left="0" w:right="0"/>
                    <w:rPr>
                      <w:rFonts w:hint="eastAsia" w:eastAsia="宋体"/>
                      <w:color w:val="auto"/>
                      <w:highlight w:val="none"/>
                      <w:lang w:val="en-US" w:eastAsia="zh-CN"/>
                    </w:rPr>
                  </w:pPr>
                  <w:r>
                    <w:rPr>
                      <w:rFonts w:hint="eastAsia" w:eastAsia="宋体"/>
                      <w:color w:val="auto"/>
                      <w:highlight w:val="none"/>
                      <w:lang w:eastAsia="zh-CN"/>
                    </w:rPr>
                    <w:t>聚对苯二甲酸乙二醇酯（PET），化学式为</w:t>
                  </w:r>
                  <w:r>
                    <w:rPr>
                      <w:rFonts w:hint="eastAsia"/>
                      <w:color w:val="auto"/>
                      <w:highlight w:val="none"/>
                      <w:lang w:eastAsia="zh-CN"/>
                    </w:rPr>
                    <w:t>（</w:t>
                  </w:r>
                  <w:r>
                    <w:rPr>
                      <w:rFonts w:hint="eastAsia" w:eastAsia="宋体"/>
                      <w:color w:val="auto"/>
                      <w:highlight w:val="none"/>
                      <w:lang w:eastAsia="zh-CN"/>
                    </w:rPr>
                    <w:t>C</w:t>
                  </w:r>
                  <w:r>
                    <w:rPr>
                      <w:rFonts w:hint="eastAsia" w:eastAsia="宋体"/>
                      <w:color w:val="auto"/>
                      <w:highlight w:val="none"/>
                      <w:vertAlign w:val="subscript"/>
                      <w:lang w:eastAsia="zh-CN"/>
                    </w:rPr>
                    <w:t>10</w:t>
                  </w:r>
                  <w:r>
                    <w:rPr>
                      <w:rFonts w:hint="eastAsia" w:eastAsia="宋体"/>
                      <w:color w:val="auto"/>
                      <w:highlight w:val="none"/>
                      <w:lang w:eastAsia="zh-CN"/>
                    </w:rPr>
                    <w:t>H</w:t>
                  </w:r>
                  <w:r>
                    <w:rPr>
                      <w:rFonts w:hint="eastAsia" w:eastAsia="宋体"/>
                      <w:color w:val="auto"/>
                      <w:highlight w:val="none"/>
                      <w:vertAlign w:val="subscript"/>
                      <w:lang w:eastAsia="zh-CN"/>
                    </w:rPr>
                    <w:t>8</w:t>
                  </w:r>
                  <w:r>
                    <w:rPr>
                      <w:rFonts w:hint="eastAsia" w:eastAsia="宋体"/>
                      <w:color w:val="auto"/>
                      <w:highlight w:val="none"/>
                      <w:lang w:eastAsia="zh-CN"/>
                    </w:rPr>
                    <w:t>O</w:t>
                  </w:r>
                  <w:r>
                    <w:rPr>
                      <w:rFonts w:hint="eastAsia" w:eastAsia="宋体"/>
                      <w:color w:val="auto"/>
                      <w:highlight w:val="none"/>
                      <w:vertAlign w:val="subscript"/>
                      <w:lang w:eastAsia="zh-CN"/>
                    </w:rPr>
                    <w:t>4</w:t>
                  </w:r>
                  <w:r>
                    <w:rPr>
                      <w:rFonts w:hint="eastAsia"/>
                      <w:color w:val="auto"/>
                      <w:highlight w:val="none"/>
                      <w:vertAlign w:val="baseline"/>
                      <w:lang w:eastAsia="zh-CN"/>
                    </w:rPr>
                    <w:t>）</w:t>
                  </w:r>
                  <w:r>
                    <w:rPr>
                      <w:rFonts w:hint="eastAsia" w:eastAsia="宋体"/>
                      <w:color w:val="auto"/>
                      <w:highlight w:val="none"/>
                      <w:vertAlign w:val="subscript"/>
                      <w:lang w:eastAsia="zh-CN"/>
                    </w:rPr>
                    <w:t>n</w:t>
                  </w:r>
                  <w:r>
                    <w:rPr>
                      <w:rFonts w:hint="eastAsia" w:eastAsia="宋体"/>
                      <w:color w:val="auto"/>
                      <w:highlight w:val="none"/>
                      <w:lang w:eastAsia="zh-CN"/>
                    </w:rPr>
                    <w:t>，属结晶型饱和聚酯，表面平滑有光泽，是生活中常见的一种树脂，</w:t>
                  </w:r>
                  <w:r>
                    <w:rPr>
                      <w:rFonts w:hint="eastAsia" w:eastAsia="宋体"/>
                      <w:color w:val="auto"/>
                      <w:highlight w:val="none"/>
                      <w:lang w:val="en-US" w:eastAsia="zh-CN"/>
                    </w:rPr>
                    <w:t>熔点</w:t>
                  </w:r>
                </w:p>
                <w:p w14:paraId="6F7678F8">
                  <w:pPr>
                    <w:pStyle w:val="21"/>
                    <w:keepNext w:val="0"/>
                    <w:keepLines w:val="0"/>
                    <w:suppressLineNumbers w:val="0"/>
                    <w:bidi w:val="0"/>
                    <w:spacing w:before="0" w:beforeAutospacing="0" w:after="0" w:afterAutospacing="0"/>
                    <w:ind w:left="0" w:right="0"/>
                    <w:rPr>
                      <w:rFonts w:hint="default" w:eastAsia="宋体"/>
                      <w:color w:val="auto"/>
                      <w:highlight w:val="none"/>
                      <w:lang w:val="en-US" w:eastAsia="zh-CN"/>
                    </w:rPr>
                  </w:pPr>
                  <w:r>
                    <w:rPr>
                      <w:rFonts w:hint="eastAsia" w:eastAsia="宋体"/>
                      <w:color w:val="auto"/>
                      <w:highlight w:val="none"/>
                      <w:lang w:val="en-US" w:eastAsia="zh-CN"/>
                    </w:rPr>
                    <w:t>250至255℃，分解温度353℃。</w:t>
                  </w:r>
                </w:p>
              </w:tc>
              <w:tc>
                <w:tcPr>
                  <w:tcW w:w="535" w:type="pct"/>
                  <w:tcBorders>
                    <w:tl2br w:val="nil"/>
                    <w:tr2bl w:val="nil"/>
                  </w:tcBorders>
                  <w:noWrap w:val="0"/>
                  <w:tcMar>
                    <w:top w:w="0" w:type="dxa"/>
                    <w:left w:w="57" w:type="dxa"/>
                    <w:bottom w:w="0" w:type="dxa"/>
                    <w:right w:w="57" w:type="dxa"/>
                  </w:tcMar>
                  <w:vAlign w:val="center"/>
                </w:tcPr>
                <w:p w14:paraId="242E53EC">
                  <w:pPr>
                    <w:pStyle w:val="21"/>
                    <w:keepNext w:val="0"/>
                    <w:keepLines w:val="0"/>
                    <w:suppressLineNumbers w:val="0"/>
                    <w:bidi w:val="0"/>
                    <w:spacing w:before="0" w:beforeAutospacing="0" w:after="0" w:afterAutospacing="0"/>
                    <w:ind w:left="0" w:right="0"/>
                    <w:rPr>
                      <w:rFonts w:hint="eastAsia" w:eastAsia="宋体"/>
                      <w:color w:val="auto"/>
                      <w:highlight w:val="none"/>
                      <w:lang w:eastAsia="zh-CN"/>
                    </w:rPr>
                  </w:pPr>
                  <w:r>
                    <w:rPr>
                      <w:rFonts w:hint="eastAsia"/>
                      <w:color w:val="auto"/>
                      <w:highlight w:val="none"/>
                      <w:lang w:val="en-US" w:eastAsia="zh-CN"/>
                    </w:rPr>
                    <w:t>可燃</w:t>
                  </w:r>
                </w:p>
              </w:tc>
              <w:tc>
                <w:tcPr>
                  <w:tcW w:w="698" w:type="pct"/>
                  <w:tcBorders>
                    <w:tl2br w:val="nil"/>
                    <w:tr2bl w:val="nil"/>
                  </w:tcBorders>
                  <w:noWrap w:val="0"/>
                  <w:tcMar>
                    <w:top w:w="0" w:type="dxa"/>
                    <w:left w:w="57" w:type="dxa"/>
                    <w:bottom w:w="0" w:type="dxa"/>
                    <w:right w:w="57" w:type="dxa"/>
                  </w:tcMar>
                  <w:vAlign w:val="center"/>
                </w:tcPr>
                <w:p w14:paraId="34A39C28">
                  <w:pPr>
                    <w:pStyle w:val="21"/>
                    <w:keepNext w:val="0"/>
                    <w:keepLines w:val="0"/>
                    <w:suppressLineNumbers w:val="0"/>
                    <w:bidi w:val="0"/>
                    <w:spacing w:before="0" w:beforeAutospacing="0" w:after="0" w:afterAutospacing="0"/>
                    <w:ind w:left="0" w:right="0"/>
                    <w:rPr>
                      <w:rFonts w:hint="eastAsia" w:eastAsia="宋体"/>
                      <w:color w:val="auto"/>
                      <w:highlight w:val="none"/>
                      <w:lang w:eastAsia="zh-CN"/>
                    </w:rPr>
                  </w:pPr>
                  <w:r>
                    <w:rPr>
                      <w:rFonts w:hint="eastAsia"/>
                      <w:color w:val="auto"/>
                      <w:highlight w:val="none"/>
                      <w:lang w:val="en-US" w:eastAsia="zh-CN"/>
                    </w:rPr>
                    <w:t>/</w:t>
                  </w:r>
                </w:p>
              </w:tc>
            </w:tr>
            <w:tr w14:paraId="38B8C0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8" w:type="pct"/>
                  <w:tcBorders>
                    <w:tl2br w:val="nil"/>
                    <w:tr2bl w:val="nil"/>
                  </w:tcBorders>
                  <w:noWrap w:val="0"/>
                  <w:tcMar>
                    <w:top w:w="0" w:type="dxa"/>
                    <w:left w:w="57" w:type="dxa"/>
                    <w:bottom w:w="0" w:type="dxa"/>
                    <w:right w:w="57" w:type="dxa"/>
                  </w:tcMar>
                  <w:vAlign w:val="center"/>
                </w:tcPr>
                <w:p w14:paraId="13DB4858">
                  <w:pPr>
                    <w:pStyle w:val="21"/>
                    <w:keepNext w:val="0"/>
                    <w:keepLines w:val="0"/>
                    <w:suppressLineNumbers w:val="0"/>
                    <w:bidi w:val="0"/>
                    <w:spacing w:before="0" w:beforeAutospacing="0" w:after="0" w:afterAutospacing="0"/>
                    <w:ind w:left="0" w:right="0"/>
                    <w:rPr>
                      <w:rFonts w:hint="eastAsia" w:eastAsia="宋体"/>
                      <w:color w:val="auto"/>
                      <w:highlight w:val="none"/>
                      <w:lang w:eastAsia="zh-CN"/>
                    </w:rPr>
                  </w:pPr>
                  <w:r>
                    <w:rPr>
                      <w:rFonts w:hint="eastAsia"/>
                      <w:color w:val="auto"/>
                      <w:highlight w:val="none"/>
                      <w:lang w:val="en-US" w:eastAsia="zh-CN"/>
                    </w:rPr>
                    <w:t>2</w:t>
                  </w:r>
                </w:p>
              </w:tc>
              <w:tc>
                <w:tcPr>
                  <w:tcW w:w="793" w:type="pct"/>
                  <w:tcBorders>
                    <w:tl2br w:val="nil"/>
                    <w:tr2bl w:val="nil"/>
                  </w:tcBorders>
                  <w:noWrap w:val="0"/>
                  <w:tcMar>
                    <w:top w:w="0" w:type="dxa"/>
                    <w:left w:w="57" w:type="dxa"/>
                    <w:bottom w:w="0" w:type="dxa"/>
                    <w:right w:w="57" w:type="dxa"/>
                  </w:tcMar>
                  <w:vAlign w:val="center"/>
                </w:tcPr>
                <w:p w14:paraId="5D9B985C">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olor w:val="auto"/>
                      <w:kern w:val="2"/>
                      <w:sz w:val="21"/>
                      <w:szCs w:val="24"/>
                      <w:highlight w:val="none"/>
                      <w:lang w:val="en-US" w:eastAsia="zh-CN" w:bidi="ar-SA"/>
                    </w:rPr>
                  </w:pPr>
                  <w:r>
                    <w:rPr>
                      <w:rFonts w:hint="eastAsia" w:ascii="Times New Roman" w:hAnsi="Times New Roman" w:eastAsia="宋体"/>
                      <w:color w:val="auto"/>
                      <w:kern w:val="2"/>
                      <w:sz w:val="21"/>
                      <w:szCs w:val="24"/>
                      <w:highlight w:val="none"/>
                      <w:lang w:val="en-US" w:eastAsia="zh-CN" w:bidi="ar-SA"/>
                    </w:rPr>
                    <w:t>机油</w:t>
                  </w:r>
                </w:p>
              </w:tc>
              <w:tc>
                <w:tcPr>
                  <w:tcW w:w="2774" w:type="pct"/>
                  <w:tcBorders>
                    <w:tl2br w:val="nil"/>
                    <w:tr2bl w:val="nil"/>
                  </w:tcBorders>
                  <w:noWrap w:val="0"/>
                  <w:tcMar>
                    <w:top w:w="0" w:type="dxa"/>
                    <w:left w:w="57" w:type="dxa"/>
                    <w:bottom w:w="0" w:type="dxa"/>
                    <w:right w:w="57" w:type="dxa"/>
                  </w:tcMar>
                  <w:vAlign w:val="center"/>
                </w:tcPr>
                <w:p w14:paraId="5A455C07">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olor w:val="auto"/>
                      <w:kern w:val="2"/>
                      <w:sz w:val="21"/>
                      <w:szCs w:val="24"/>
                      <w:highlight w:val="none"/>
                      <w:lang w:val="en-US" w:eastAsia="zh-CN" w:bidi="ar-SA"/>
                    </w:rPr>
                  </w:pPr>
                  <w:r>
                    <w:rPr>
                      <w:rFonts w:hint="default"/>
                      <w:color w:val="auto"/>
                      <w:highlight w:val="none"/>
                      <w:lang w:val="zh-CN"/>
                    </w:rPr>
                    <w:t>无色无味气体，</w:t>
                  </w:r>
                  <w:r>
                    <w:rPr>
                      <w:rFonts w:hint="eastAsia"/>
                      <w:color w:val="auto"/>
                      <w:highlight w:val="none"/>
                      <w:lang w:val="en-US" w:eastAsia="zh-CN"/>
                    </w:rPr>
                    <w:t>可</w:t>
                  </w:r>
                  <w:r>
                    <w:rPr>
                      <w:rFonts w:hint="default"/>
                      <w:color w:val="auto"/>
                      <w:highlight w:val="none"/>
                      <w:lang w:val="zh-CN"/>
                    </w:rPr>
                    <w:t>燃。熔点（℃）：</w:t>
                  </w:r>
                  <w:r>
                    <w:rPr>
                      <w:rFonts w:hint="default"/>
                      <w:color w:val="auto"/>
                      <w:highlight w:val="none"/>
                    </w:rPr>
                    <w:t>-209.8，沸点（℃）：-195.6。</w:t>
                  </w:r>
                </w:p>
              </w:tc>
              <w:tc>
                <w:tcPr>
                  <w:tcW w:w="535" w:type="pct"/>
                  <w:tcBorders>
                    <w:tl2br w:val="nil"/>
                    <w:tr2bl w:val="nil"/>
                  </w:tcBorders>
                  <w:noWrap w:val="0"/>
                  <w:tcMar>
                    <w:top w:w="0" w:type="dxa"/>
                    <w:left w:w="57" w:type="dxa"/>
                    <w:bottom w:w="0" w:type="dxa"/>
                    <w:right w:w="57" w:type="dxa"/>
                  </w:tcMar>
                  <w:vAlign w:val="center"/>
                </w:tcPr>
                <w:p w14:paraId="793D4B43">
                  <w:pPr>
                    <w:pStyle w:val="21"/>
                    <w:keepNext w:val="0"/>
                    <w:keepLines w:val="0"/>
                    <w:suppressLineNumbers w:val="0"/>
                    <w:bidi w:val="0"/>
                    <w:spacing w:before="0" w:beforeAutospacing="0" w:after="0" w:afterAutospacing="0"/>
                    <w:ind w:left="0" w:right="0" w:firstLine="0" w:firstLineChars="0"/>
                    <w:rPr>
                      <w:rFonts w:hint="eastAsia" w:ascii="Times New Roman" w:hAnsi="Times New Roman" w:eastAsia="宋体"/>
                      <w:color w:val="auto"/>
                      <w:kern w:val="2"/>
                      <w:sz w:val="21"/>
                      <w:szCs w:val="24"/>
                      <w:highlight w:val="none"/>
                      <w:lang w:val="en-US" w:eastAsia="zh-CN" w:bidi="ar-SA"/>
                    </w:rPr>
                  </w:pPr>
                  <w:r>
                    <w:rPr>
                      <w:rFonts w:hint="eastAsia"/>
                      <w:color w:val="auto"/>
                      <w:highlight w:val="none"/>
                      <w:lang w:val="en-US" w:eastAsia="zh-CN"/>
                    </w:rPr>
                    <w:t>可燃</w:t>
                  </w:r>
                </w:p>
              </w:tc>
              <w:tc>
                <w:tcPr>
                  <w:tcW w:w="698" w:type="pct"/>
                  <w:tcBorders>
                    <w:tl2br w:val="nil"/>
                    <w:tr2bl w:val="nil"/>
                  </w:tcBorders>
                  <w:noWrap w:val="0"/>
                  <w:tcMar>
                    <w:top w:w="0" w:type="dxa"/>
                    <w:left w:w="57" w:type="dxa"/>
                    <w:bottom w:w="0" w:type="dxa"/>
                    <w:right w:w="57" w:type="dxa"/>
                  </w:tcMar>
                  <w:vAlign w:val="center"/>
                </w:tcPr>
                <w:p w14:paraId="70C72C3B">
                  <w:pPr>
                    <w:pStyle w:val="21"/>
                    <w:keepNext w:val="0"/>
                    <w:keepLines w:val="0"/>
                    <w:suppressLineNumbers w:val="0"/>
                    <w:bidi w:val="0"/>
                    <w:spacing w:before="0" w:beforeAutospacing="0" w:after="0" w:afterAutospacing="0"/>
                    <w:ind w:left="0" w:right="0" w:firstLine="0" w:firstLineChars="0"/>
                    <w:rPr>
                      <w:rFonts w:hint="eastAsia" w:ascii="Times New Roman" w:hAnsi="Times New Roman" w:eastAsia="宋体"/>
                      <w:color w:val="auto"/>
                      <w:kern w:val="2"/>
                      <w:sz w:val="21"/>
                      <w:szCs w:val="24"/>
                      <w:highlight w:val="none"/>
                      <w:lang w:val="en-US" w:eastAsia="zh-CN" w:bidi="ar-SA"/>
                    </w:rPr>
                  </w:pPr>
                  <w:r>
                    <w:rPr>
                      <w:rFonts w:hint="eastAsia" w:eastAsia="宋体"/>
                      <w:color w:val="auto"/>
                      <w:highlight w:val="none"/>
                      <w:lang w:val="en-US" w:eastAsia="zh-CN"/>
                    </w:rPr>
                    <w:t>/</w:t>
                  </w:r>
                </w:p>
              </w:tc>
            </w:tr>
            <w:tr w14:paraId="0714FF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8" w:type="pct"/>
                  <w:tcBorders>
                    <w:tl2br w:val="nil"/>
                    <w:tr2bl w:val="nil"/>
                  </w:tcBorders>
                  <w:noWrap w:val="0"/>
                  <w:tcMar>
                    <w:top w:w="0" w:type="dxa"/>
                    <w:left w:w="57" w:type="dxa"/>
                    <w:bottom w:w="0" w:type="dxa"/>
                    <w:right w:w="57" w:type="dxa"/>
                  </w:tcMar>
                  <w:vAlign w:val="center"/>
                </w:tcPr>
                <w:p w14:paraId="7C1D9285">
                  <w:pPr>
                    <w:pStyle w:val="21"/>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3</w:t>
                  </w:r>
                </w:p>
              </w:tc>
              <w:tc>
                <w:tcPr>
                  <w:tcW w:w="793" w:type="pct"/>
                  <w:tcBorders>
                    <w:tl2br w:val="nil"/>
                    <w:tr2bl w:val="nil"/>
                  </w:tcBorders>
                  <w:noWrap w:val="0"/>
                  <w:tcMar>
                    <w:top w:w="0" w:type="dxa"/>
                    <w:left w:w="57" w:type="dxa"/>
                    <w:bottom w:w="0" w:type="dxa"/>
                    <w:right w:w="57" w:type="dxa"/>
                  </w:tcMar>
                  <w:vAlign w:val="center"/>
                </w:tcPr>
                <w:p w14:paraId="2857BA94">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olor w:val="auto"/>
                      <w:kern w:val="2"/>
                      <w:sz w:val="21"/>
                      <w:szCs w:val="24"/>
                      <w:highlight w:val="none"/>
                      <w:lang w:val="en-US" w:eastAsia="zh-CN" w:bidi="ar-SA"/>
                    </w:rPr>
                  </w:pPr>
                  <w:r>
                    <w:rPr>
                      <w:rFonts w:hint="eastAsia" w:ascii="Times New Roman" w:hAnsi="Times New Roman" w:eastAsia="宋体"/>
                      <w:color w:val="auto"/>
                      <w:kern w:val="2"/>
                      <w:sz w:val="21"/>
                      <w:szCs w:val="24"/>
                      <w:highlight w:val="none"/>
                      <w:lang w:val="en-US" w:eastAsia="zh-CN" w:bidi="ar-SA"/>
                    </w:rPr>
                    <w:t>无水柠檬酸</w:t>
                  </w:r>
                </w:p>
              </w:tc>
              <w:tc>
                <w:tcPr>
                  <w:tcW w:w="2774" w:type="pct"/>
                  <w:tcBorders>
                    <w:tl2br w:val="nil"/>
                    <w:tr2bl w:val="nil"/>
                  </w:tcBorders>
                  <w:noWrap w:val="0"/>
                  <w:tcMar>
                    <w:top w:w="0" w:type="dxa"/>
                    <w:left w:w="57" w:type="dxa"/>
                    <w:bottom w:w="0" w:type="dxa"/>
                    <w:right w:w="57" w:type="dxa"/>
                  </w:tcMar>
                  <w:vAlign w:val="center"/>
                </w:tcPr>
                <w:p w14:paraId="60C6CE09">
                  <w:pPr>
                    <w:pStyle w:val="21"/>
                    <w:keepNext w:val="0"/>
                    <w:keepLines w:val="0"/>
                    <w:suppressLineNumbers w:val="0"/>
                    <w:bidi w:val="0"/>
                    <w:spacing w:before="0" w:beforeAutospacing="0" w:after="0" w:afterAutospacing="0"/>
                    <w:ind w:left="0" w:right="0"/>
                    <w:rPr>
                      <w:rFonts w:hint="eastAsia" w:eastAsia="宋体"/>
                      <w:color w:val="auto"/>
                      <w:highlight w:val="none"/>
                      <w:vertAlign w:val="baseline"/>
                      <w:lang w:val="en-US" w:eastAsia="zh-CN"/>
                    </w:rPr>
                  </w:pPr>
                  <w:r>
                    <w:rPr>
                      <w:rFonts w:hint="eastAsia"/>
                      <w:color w:val="auto"/>
                      <w:lang w:val="zh-CN"/>
                    </w:rPr>
                    <w:t>柠檬酸（CA），又名枸橼酸，分子式为C</w:t>
                  </w:r>
                  <w:r>
                    <w:rPr>
                      <w:rFonts w:hint="eastAsia"/>
                      <w:color w:val="auto"/>
                      <w:vertAlign w:val="subscript"/>
                      <w:lang w:val="en-US" w:eastAsia="zh-CN"/>
                    </w:rPr>
                    <w:t>6</w:t>
                  </w:r>
                  <w:r>
                    <w:rPr>
                      <w:rFonts w:hint="eastAsia"/>
                      <w:color w:val="auto"/>
                      <w:lang w:val="zh-CN"/>
                    </w:rPr>
                    <w:t>H</w:t>
                  </w:r>
                  <w:r>
                    <w:rPr>
                      <w:rFonts w:hint="eastAsia"/>
                      <w:color w:val="auto"/>
                      <w:vertAlign w:val="subscript"/>
                      <w:lang w:val="en-US" w:eastAsia="zh-CN"/>
                    </w:rPr>
                    <w:t>8</w:t>
                  </w:r>
                  <w:r>
                    <w:rPr>
                      <w:rFonts w:hint="eastAsia"/>
                      <w:color w:val="auto"/>
                      <w:lang w:val="zh-CN"/>
                    </w:rPr>
                    <w:t>O</w:t>
                  </w:r>
                  <w:r>
                    <w:rPr>
                      <w:rFonts w:hint="eastAsia"/>
                      <w:color w:val="auto"/>
                      <w:vertAlign w:val="subscript"/>
                      <w:lang w:val="en-US" w:eastAsia="zh-CN"/>
                    </w:rPr>
                    <w:t>7</w:t>
                  </w:r>
                  <w:r>
                    <w:rPr>
                      <w:rFonts w:hint="eastAsia"/>
                      <w:color w:val="auto"/>
                      <w:lang w:val="zh-CN"/>
                    </w:rPr>
                    <w:t>，是一种重要的有机弱酸，为无色晶体，无臭，易溶于水，溶液显酸性。广泛用作酸度调节剂、调味剂和螯合剂。</w:t>
                  </w:r>
                  <w:r>
                    <w:rPr>
                      <w:rFonts w:hint="eastAsia"/>
                      <w:color w:val="auto"/>
                      <w:lang w:val="en-US" w:eastAsia="zh-CN"/>
                    </w:rPr>
                    <w:t>密度约1.54g/cm</w:t>
                  </w:r>
                  <w:r>
                    <w:rPr>
                      <w:rFonts w:hint="eastAsia"/>
                      <w:color w:val="auto"/>
                      <w:vertAlign w:val="superscript"/>
                      <w:lang w:val="en-US" w:eastAsia="zh-CN"/>
                    </w:rPr>
                    <w:t>3</w:t>
                  </w:r>
                  <w:r>
                    <w:rPr>
                      <w:rFonts w:hint="eastAsia"/>
                      <w:color w:val="auto"/>
                      <w:lang w:val="en-US" w:eastAsia="zh-CN"/>
                    </w:rPr>
                    <w:t>，熔点</w:t>
                  </w:r>
                  <w:r>
                    <w:rPr>
                      <w:rFonts w:hint="default"/>
                      <w:color w:val="auto"/>
                    </w:rPr>
                    <w:t>153至159</w:t>
                  </w:r>
                  <w:r>
                    <w:rPr>
                      <w:rFonts w:hint="eastAsia"/>
                      <w:color w:val="auto"/>
                      <w:lang w:val="en-US" w:eastAsia="zh-CN"/>
                    </w:rPr>
                    <w:t>℃</w:t>
                  </w:r>
                </w:p>
              </w:tc>
              <w:tc>
                <w:tcPr>
                  <w:tcW w:w="535" w:type="pct"/>
                  <w:tcBorders>
                    <w:tl2br w:val="nil"/>
                    <w:tr2bl w:val="nil"/>
                  </w:tcBorders>
                  <w:noWrap w:val="0"/>
                  <w:tcMar>
                    <w:top w:w="0" w:type="dxa"/>
                    <w:left w:w="57" w:type="dxa"/>
                    <w:bottom w:w="0" w:type="dxa"/>
                    <w:right w:w="57" w:type="dxa"/>
                  </w:tcMar>
                  <w:vAlign w:val="center"/>
                </w:tcPr>
                <w:p w14:paraId="37A1A2EF">
                  <w:pPr>
                    <w:pStyle w:val="21"/>
                    <w:keepNext w:val="0"/>
                    <w:keepLines w:val="0"/>
                    <w:suppressLineNumbers w:val="0"/>
                    <w:bidi w:val="0"/>
                    <w:spacing w:before="0" w:beforeAutospacing="0" w:after="0" w:afterAutospacing="0"/>
                    <w:ind w:left="0" w:right="0" w:firstLine="0" w:firstLineChars="0"/>
                    <w:rPr>
                      <w:rFonts w:hint="default"/>
                      <w:color w:val="auto"/>
                      <w:highlight w:val="none"/>
                      <w:lang w:val="en-US" w:eastAsia="zh-CN"/>
                    </w:rPr>
                  </w:pPr>
                  <w:r>
                    <w:rPr>
                      <w:rFonts w:hint="eastAsia"/>
                      <w:color w:val="auto"/>
                      <w:highlight w:val="none"/>
                      <w:lang w:val="en-US" w:eastAsia="zh-CN"/>
                    </w:rPr>
                    <w:t>可燃</w:t>
                  </w:r>
                </w:p>
              </w:tc>
              <w:tc>
                <w:tcPr>
                  <w:tcW w:w="698" w:type="pct"/>
                  <w:tcBorders>
                    <w:tl2br w:val="nil"/>
                    <w:tr2bl w:val="nil"/>
                  </w:tcBorders>
                  <w:noWrap w:val="0"/>
                  <w:tcMar>
                    <w:top w:w="0" w:type="dxa"/>
                    <w:left w:w="57" w:type="dxa"/>
                    <w:bottom w:w="0" w:type="dxa"/>
                    <w:right w:w="57" w:type="dxa"/>
                  </w:tcMar>
                  <w:vAlign w:val="center"/>
                </w:tcPr>
                <w:p w14:paraId="7FA630F0">
                  <w:pPr>
                    <w:pStyle w:val="21"/>
                    <w:keepNext w:val="0"/>
                    <w:keepLines w:val="0"/>
                    <w:suppressLineNumbers w:val="0"/>
                    <w:bidi w:val="0"/>
                    <w:spacing w:before="0" w:beforeAutospacing="0" w:after="0" w:afterAutospacing="0"/>
                    <w:ind w:left="0" w:right="0" w:firstLine="0" w:firstLineChars="0"/>
                    <w:rPr>
                      <w:rFonts w:hint="eastAsia" w:eastAsia="宋体"/>
                      <w:color w:val="auto"/>
                      <w:highlight w:val="none"/>
                      <w:lang w:val="en-US" w:eastAsia="zh-CN"/>
                    </w:rPr>
                  </w:pPr>
                  <w:r>
                    <w:rPr>
                      <w:rFonts w:hint="eastAsia"/>
                      <w:color w:val="auto"/>
                      <w:highlight w:val="none"/>
                      <w:lang w:val="en-US" w:eastAsia="zh-CN"/>
                    </w:rPr>
                    <w:t>/</w:t>
                  </w:r>
                </w:p>
              </w:tc>
            </w:tr>
            <w:tr w14:paraId="1F4E62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8" w:type="pct"/>
                  <w:tcBorders>
                    <w:tl2br w:val="nil"/>
                    <w:tr2bl w:val="nil"/>
                  </w:tcBorders>
                  <w:noWrap w:val="0"/>
                  <w:tcMar>
                    <w:top w:w="0" w:type="dxa"/>
                    <w:left w:w="57" w:type="dxa"/>
                    <w:bottom w:w="0" w:type="dxa"/>
                    <w:right w:w="57" w:type="dxa"/>
                  </w:tcMar>
                  <w:vAlign w:val="center"/>
                </w:tcPr>
                <w:p w14:paraId="5D407837">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4</w:t>
                  </w:r>
                </w:p>
              </w:tc>
              <w:tc>
                <w:tcPr>
                  <w:tcW w:w="793" w:type="pct"/>
                  <w:tcBorders>
                    <w:tl2br w:val="nil"/>
                    <w:tr2bl w:val="nil"/>
                  </w:tcBorders>
                  <w:noWrap w:val="0"/>
                  <w:tcMar>
                    <w:top w:w="0" w:type="dxa"/>
                    <w:left w:w="57" w:type="dxa"/>
                    <w:bottom w:w="0" w:type="dxa"/>
                    <w:right w:w="57" w:type="dxa"/>
                  </w:tcMar>
                  <w:vAlign w:val="center"/>
                </w:tcPr>
                <w:p w14:paraId="14C3FC95">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olor w:val="auto"/>
                      <w:kern w:val="2"/>
                      <w:sz w:val="21"/>
                      <w:szCs w:val="24"/>
                      <w:highlight w:val="none"/>
                      <w:lang w:val="en-US" w:eastAsia="zh-CN" w:bidi="ar-SA"/>
                    </w:rPr>
                  </w:pPr>
                  <w:r>
                    <w:rPr>
                      <w:rFonts w:hint="eastAsia" w:ascii="Times New Roman" w:hAnsi="Times New Roman" w:eastAsia="宋体"/>
                      <w:color w:val="auto"/>
                      <w:kern w:val="2"/>
                      <w:sz w:val="21"/>
                      <w:szCs w:val="24"/>
                      <w:highlight w:val="none"/>
                      <w:lang w:val="en-US" w:eastAsia="zh-CN" w:bidi="ar-SA"/>
                    </w:rPr>
                    <w:t>油墨</w:t>
                  </w:r>
                </w:p>
              </w:tc>
              <w:tc>
                <w:tcPr>
                  <w:tcW w:w="2774" w:type="pct"/>
                  <w:tcBorders>
                    <w:tl2br w:val="nil"/>
                    <w:tr2bl w:val="nil"/>
                  </w:tcBorders>
                  <w:noWrap w:val="0"/>
                  <w:tcMar>
                    <w:top w:w="0" w:type="dxa"/>
                    <w:left w:w="57" w:type="dxa"/>
                    <w:bottom w:w="0" w:type="dxa"/>
                    <w:right w:w="57" w:type="dxa"/>
                  </w:tcMar>
                  <w:vAlign w:val="center"/>
                </w:tcPr>
                <w:p w14:paraId="7F29A691">
                  <w:pPr>
                    <w:pStyle w:val="21"/>
                    <w:keepNext w:val="0"/>
                    <w:keepLines w:val="0"/>
                    <w:suppressLineNumbers w:val="0"/>
                    <w:bidi w:val="0"/>
                    <w:spacing w:before="0" w:beforeAutospacing="0" w:after="0" w:afterAutospacing="0"/>
                    <w:ind w:left="0" w:right="0" w:firstLine="0" w:firstLineChars="0"/>
                    <w:rPr>
                      <w:rFonts w:hint="default" w:eastAsia="宋体"/>
                      <w:color w:val="auto"/>
                      <w:highlight w:val="none"/>
                      <w:vertAlign w:val="baseline"/>
                      <w:lang w:val="en-US" w:eastAsia="zh-CN"/>
                    </w:rPr>
                  </w:pPr>
                  <w:r>
                    <w:rPr>
                      <w:rFonts w:hint="eastAsia"/>
                      <w:color w:val="auto"/>
                      <w:highlight w:val="none"/>
                      <w:lang w:val="en-US" w:eastAsia="zh-CN"/>
                    </w:rPr>
                    <w:t>黑色液体，pH值9.1，沸点100℃，密度约1g/cm</w:t>
                  </w:r>
                  <w:r>
                    <w:rPr>
                      <w:rFonts w:hint="eastAsia"/>
                      <w:color w:val="auto"/>
                      <w:highlight w:val="none"/>
                      <w:vertAlign w:val="superscript"/>
                      <w:lang w:val="en-US" w:eastAsia="zh-CN"/>
                    </w:rPr>
                    <w:t>3</w:t>
                  </w:r>
                  <w:r>
                    <w:rPr>
                      <w:rFonts w:hint="eastAsia"/>
                      <w:color w:val="auto"/>
                      <w:highlight w:val="none"/>
                      <w:vertAlign w:val="baseline"/>
                      <w:lang w:val="en-US" w:eastAsia="zh-CN"/>
                    </w:rPr>
                    <w:t>，与水混溶</w:t>
                  </w:r>
                </w:p>
              </w:tc>
              <w:tc>
                <w:tcPr>
                  <w:tcW w:w="535" w:type="pct"/>
                  <w:tcBorders>
                    <w:tl2br w:val="nil"/>
                    <w:tr2bl w:val="nil"/>
                  </w:tcBorders>
                  <w:noWrap w:val="0"/>
                  <w:tcMar>
                    <w:top w:w="0" w:type="dxa"/>
                    <w:left w:w="57" w:type="dxa"/>
                    <w:bottom w:w="0" w:type="dxa"/>
                    <w:right w:w="57" w:type="dxa"/>
                  </w:tcMar>
                  <w:vAlign w:val="center"/>
                </w:tcPr>
                <w:p w14:paraId="0593C401">
                  <w:pPr>
                    <w:pStyle w:val="21"/>
                    <w:keepNext w:val="0"/>
                    <w:keepLines w:val="0"/>
                    <w:suppressLineNumbers w:val="0"/>
                    <w:bidi w:val="0"/>
                    <w:spacing w:before="0" w:beforeAutospacing="0" w:after="0" w:afterAutospacing="0"/>
                    <w:ind w:left="0" w:right="0" w:firstLine="0" w:firstLineChars="0"/>
                    <w:rPr>
                      <w:rFonts w:hint="default"/>
                      <w:color w:val="auto"/>
                      <w:highlight w:val="none"/>
                      <w:lang w:val="en-US" w:eastAsia="zh-CN"/>
                    </w:rPr>
                  </w:pPr>
                  <w:r>
                    <w:rPr>
                      <w:rFonts w:hint="eastAsia"/>
                      <w:color w:val="auto"/>
                      <w:highlight w:val="none"/>
                      <w:lang w:val="en-US" w:eastAsia="zh-CN"/>
                    </w:rPr>
                    <w:t>不可燃</w:t>
                  </w:r>
                </w:p>
              </w:tc>
              <w:tc>
                <w:tcPr>
                  <w:tcW w:w="698" w:type="pct"/>
                  <w:tcBorders>
                    <w:tl2br w:val="nil"/>
                    <w:tr2bl w:val="nil"/>
                  </w:tcBorders>
                  <w:noWrap w:val="0"/>
                  <w:tcMar>
                    <w:top w:w="0" w:type="dxa"/>
                    <w:left w:w="57" w:type="dxa"/>
                    <w:bottom w:w="0" w:type="dxa"/>
                    <w:right w:w="57" w:type="dxa"/>
                  </w:tcMar>
                  <w:vAlign w:val="center"/>
                </w:tcPr>
                <w:p w14:paraId="776AC7EC">
                  <w:pPr>
                    <w:pStyle w:val="21"/>
                    <w:keepNext w:val="0"/>
                    <w:keepLines w:val="0"/>
                    <w:suppressLineNumbers w:val="0"/>
                    <w:bidi w:val="0"/>
                    <w:spacing w:before="0" w:beforeAutospacing="0" w:after="0" w:afterAutospacing="0"/>
                    <w:ind w:left="0" w:right="0" w:firstLine="0" w:firstLineChars="0"/>
                    <w:rPr>
                      <w:rFonts w:hint="eastAsia" w:eastAsia="宋体"/>
                      <w:color w:val="auto"/>
                      <w:highlight w:val="none"/>
                      <w:lang w:val="en-US" w:eastAsia="zh-CN"/>
                    </w:rPr>
                  </w:pPr>
                  <w:r>
                    <w:rPr>
                      <w:rFonts w:hint="eastAsia"/>
                      <w:color w:val="auto"/>
                      <w:highlight w:val="none"/>
                      <w:lang w:val="en-US" w:eastAsia="zh-CN"/>
                    </w:rPr>
                    <w:t>/</w:t>
                  </w:r>
                </w:p>
              </w:tc>
            </w:tr>
            <w:tr w14:paraId="2580CA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8" w:type="pct"/>
                  <w:tcBorders>
                    <w:tl2br w:val="nil"/>
                    <w:tr2bl w:val="nil"/>
                  </w:tcBorders>
                  <w:noWrap w:val="0"/>
                  <w:tcMar>
                    <w:top w:w="0" w:type="dxa"/>
                    <w:left w:w="57" w:type="dxa"/>
                    <w:bottom w:w="0" w:type="dxa"/>
                    <w:right w:w="57" w:type="dxa"/>
                  </w:tcMar>
                  <w:vAlign w:val="center"/>
                </w:tcPr>
                <w:p w14:paraId="0D4F9480">
                  <w:pPr>
                    <w:pStyle w:val="21"/>
                    <w:keepNext w:val="0"/>
                    <w:keepLines w:val="0"/>
                    <w:suppressLineNumbers w:val="0"/>
                    <w:bidi w:val="0"/>
                    <w:spacing w:before="0" w:beforeAutospacing="0" w:after="0" w:afterAutospacing="0"/>
                    <w:ind w:left="0" w:right="0"/>
                    <w:rPr>
                      <w:rFonts w:hint="eastAsia" w:eastAsia="宋体"/>
                      <w:color w:val="auto"/>
                      <w:highlight w:val="none"/>
                      <w:lang w:eastAsia="zh-CN"/>
                    </w:rPr>
                  </w:pPr>
                  <w:r>
                    <w:rPr>
                      <w:rFonts w:hint="eastAsia"/>
                      <w:color w:val="auto"/>
                      <w:highlight w:val="none"/>
                      <w:lang w:val="en-US" w:eastAsia="zh-CN"/>
                    </w:rPr>
                    <w:t>5</w:t>
                  </w:r>
                </w:p>
              </w:tc>
              <w:tc>
                <w:tcPr>
                  <w:tcW w:w="793" w:type="pct"/>
                  <w:tcBorders>
                    <w:tl2br w:val="nil"/>
                    <w:tr2bl w:val="nil"/>
                  </w:tcBorders>
                  <w:noWrap w:val="0"/>
                  <w:tcMar>
                    <w:top w:w="0" w:type="dxa"/>
                    <w:left w:w="57" w:type="dxa"/>
                    <w:bottom w:w="0" w:type="dxa"/>
                    <w:right w:w="57" w:type="dxa"/>
                  </w:tcMar>
                  <w:vAlign w:val="center"/>
                </w:tcPr>
                <w:p w14:paraId="4DAEDF56">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olor w:val="auto"/>
                      <w:kern w:val="2"/>
                      <w:sz w:val="21"/>
                      <w:szCs w:val="24"/>
                      <w:highlight w:val="none"/>
                      <w:lang w:val="en-US" w:eastAsia="zh-CN" w:bidi="ar-SA"/>
                    </w:rPr>
                  </w:pPr>
                  <w:r>
                    <w:rPr>
                      <w:rFonts w:hint="eastAsia"/>
                      <w:color w:val="auto"/>
                      <w:highlight w:val="none"/>
                    </w:rPr>
                    <w:t>硝酸</w:t>
                  </w:r>
                </w:p>
              </w:tc>
              <w:tc>
                <w:tcPr>
                  <w:tcW w:w="2774" w:type="pct"/>
                  <w:tcBorders>
                    <w:tl2br w:val="nil"/>
                    <w:tr2bl w:val="nil"/>
                  </w:tcBorders>
                  <w:noWrap w:val="0"/>
                  <w:tcMar>
                    <w:top w:w="0" w:type="dxa"/>
                    <w:left w:w="57" w:type="dxa"/>
                    <w:bottom w:w="0" w:type="dxa"/>
                    <w:right w:w="57" w:type="dxa"/>
                  </w:tcMar>
                  <w:vAlign w:val="center"/>
                </w:tcPr>
                <w:p w14:paraId="38BAD447">
                  <w:pPr>
                    <w:pStyle w:val="21"/>
                    <w:keepNext w:val="0"/>
                    <w:keepLines w:val="0"/>
                    <w:suppressLineNumbers w:val="0"/>
                    <w:bidi w:val="0"/>
                    <w:spacing w:before="0" w:beforeAutospacing="0" w:after="0" w:afterAutospacing="0"/>
                    <w:ind w:left="0" w:right="0"/>
                    <w:rPr>
                      <w:rFonts w:hint="default" w:eastAsia="宋体"/>
                      <w:color w:val="auto"/>
                      <w:highlight w:val="none"/>
                      <w:vertAlign w:val="baseline"/>
                      <w:lang w:val="en-US" w:eastAsia="zh-CN"/>
                    </w:rPr>
                  </w:pPr>
                  <w:r>
                    <w:rPr>
                      <w:rFonts w:hint="eastAsia"/>
                      <w:color w:val="auto"/>
                      <w:highlight w:val="none"/>
                      <w:lang w:val="en-US" w:eastAsia="zh-CN"/>
                    </w:rPr>
                    <w:t>化学式为HNO</w:t>
                  </w:r>
                  <w:r>
                    <w:rPr>
                      <w:rFonts w:hint="eastAsia"/>
                      <w:color w:val="auto"/>
                      <w:highlight w:val="none"/>
                      <w:vertAlign w:val="subscript"/>
                      <w:lang w:val="en-US" w:eastAsia="zh-CN"/>
                    </w:rPr>
                    <w:t>3</w:t>
                  </w:r>
                  <w:r>
                    <w:rPr>
                      <w:rFonts w:hint="eastAsia"/>
                      <w:color w:val="auto"/>
                      <w:highlight w:val="none"/>
                      <w:vertAlign w:val="baseline"/>
                      <w:lang w:val="en-US" w:eastAsia="zh-CN"/>
                    </w:rPr>
                    <w:t>，一种具有强氧化性、腐蚀性的一元无机强酸。纯品为无色透明发烟液体，有酸味。熔点-42</w:t>
                  </w:r>
                  <w:r>
                    <w:rPr>
                      <w:rFonts w:hint="eastAsia"/>
                      <w:color w:val="auto"/>
                      <w:lang w:val="en-US" w:eastAsia="zh-CN"/>
                    </w:rPr>
                    <w:t>℃、沸点83℃，密度约1.5g/cm</w:t>
                  </w:r>
                  <w:r>
                    <w:rPr>
                      <w:rFonts w:hint="eastAsia"/>
                      <w:color w:val="auto"/>
                      <w:vertAlign w:val="superscript"/>
                      <w:lang w:val="en-US" w:eastAsia="zh-CN"/>
                    </w:rPr>
                    <w:t>3</w:t>
                  </w:r>
                  <w:r>
                    <w:rPr>
                      <w:rFonts w:hint="eastAsia"/>
                      <w:color w:val="auto"/>
                      <w:vertAlign w:val="baseline"/>
                      <w:lang w:val="en-US" w:eastAsia="zh-CN"/>
                    </w:rPr>
                    <w:t>，与水混溶。</w:t>
                  </w:r>
                </w:p>
              </w:tc>
              <w:tc>
                <w:tcPr>
                  <w:tcW w:w="535" w:type="pct"/>
                  <w:tcBorders>
                    <w:tl2br w:val="nil"/>
                    <w:tr2bl w:val="nil"/>
                  </w:tcBorders>
                  <w:noWrap w:val="0"/>
                  <w:tcMar>
                    <w:top w:w="0" w:type="dxa"/>
                    <w:left w:w="57" w:type="dxa"/>
                    <w:bottom w:w="0" w:type="dxa"/>
                    <w:right w:w="57" w:type="dxa"/>
                  </w:tcMar>
                  <w:vAlign w:val="center"/>
                </w:tcPr>
                <w:p w14:paraId="2B6191E4">
                  <w:pPr>
                    <w:pStyle w:val="21"/>
                    <w:keepNext w:val="0"/>
                    <w:keepLines w:val="0"/>
                    <w:suppressLineNumbers w:val="0"/>
                    <w:bidi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不可燃</w:t>
                  </w:r>
                </w:p>
              </w:tc>
              <w:tc>
                <w:tcPr>
                  <w:tcW w:w="698" w:type="pct"/>
                  <w:tcBorders>
                    <w:tl2br w:val="nil"/>
                    <w:tr2bl w:val="nil"/>
                  </w:tcBorders>
                  <w:noWrap w:val="0"/>
                  <w:tcMar>
                    <w:top w:w="0" w:type="dxa"/>
                    <w:left w:w="57" w:type="dxa"/>
                    <w:bottom w:w="0" w:type="dxa"/>
                    <w:right w:w="57" w:type="dxa"/>
                  </w:tcMar>
                  <w:vAlign w:val="center"/>
                </w:tcPr>
                <w:p w14:paraId="295CE942">
                  <w:pPr>
                    <w:pStyle w:val="21"/>
                    <w:keepNext w:val="0"/>
                    <w:keepLines w:val="0"/>
                    <w:suppressLineNumbers w:val="0"/>
                    <w:bidi w:val="0"/>
                    <w:spacing w:before="0" w:beforeAutospacing="0" w:after="0" w:afterAutospacing="0"/>
                    <w:ind w:left="0" w:right="0"/>
                    <w:rPr>
                      <w:rFonts w:hint="eastAsia" w:eastAsia="宋体"/>
                      <w:color w:val="auto"/>
                      <w:highlight w:val="none"/>
                      <w:lang w:eastAsia="zh-CN"/>
                    </w:rPr>
                  </w:pPr>
                  <w:r>
                    <w:rPr>
                      <w:rFonts w:hint="eastAsia"/>
                      <w:color w:val="auto"/>
                      <w:highlight w:val="none"/>
                      <w:lang w:val="en-US" w:eastAsia="zh-CN"/>
                    </w:rPr>
                    <w:t>LC</w:t>
                  </w:r>
                  <w:r>
                    <w:rPr>
                      <w:rFonts w:hint="eastAsia"/>
                      <w:color w:val="auto"/>
                      <w:highlight w:val="none"/>
                      <w:vertAlign w:val="subscript"/>
                      <w:lang w:val="en-US" w:eastAsia="zh-CN"/>
                    </w:rPr>
                    <w:t>50</w:t>
                  </w:r>
                  <w:r>
                    <w:rPr>
                      <w:rFonts w:hint="eastAsia"/>
                      <w:color w:val="auto"/>
                      <w:highlight w:val="none"/>
                      <w:lang w:val="en-US" w:eastAsia="zh-CN"/>
                    </w:rPr>
                    <w:t>49ppm/4小时（大鼠吸入）</w:t>
                  </w:r>
                </w:p>
              </w:tc>
            </w:tr>
            <w:tr w14:paraId="040FE1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8" w:type="pct"/>
                  <w:tcBorders>
                    <w:tl2br w:val="nil"/>
                    <w:tr2bl w:val="nil"/>
                  </w:tcBorders>
                  <w:noWrap w:val="0"/>
                  <w:tcMar>
                    <w:top w:w="0" w:type="dxa"/>
                    <w:left w:w="57" w:type="dxa"/>
                    <w:bottom w:w="0" w:type="dxa"/>
                    <w:right w:w="57" w:type="dxa"/>
                  </w:tcMar>
                  <w:vAlign w:val="center"/>
                </w:tcPr>
                <w:p w14:paraId="19873F15">
                  <w:pPr>
                    <w:pStyle w:val="21"/>
                    <w:keepNext w:val="0"/>
                    <w:keepLines w:val="0"/>
                    <w:suppressLineNumbers w:val="0"/>
                    <w:bidi w:val="0"/>
                    <w:spacing w:before="0" w:beforeAutospacing="0" w:after="0" w:afterAutospacing="0"/>
                    <w:ind w:left="0" w:right="0"/>
                    <w:rPr>
                      <w:rFonts w:hint="eastAsia" w:eastAsia="宋体"/>
                      <w:color w:val="auto"/>
                      <w:highlight w:val="none"/>
                      <w:lang w:eastAsia="zh-CN"/>
                    </w:rPr>
                  </w:pPr>
                  <w:r>
                    <w:rPr>
                      <w:rFonts w:hint="eastAsia"/>
                      <w:color w:val="auto"/>
                      <w:highlight w:val="none"/>
                      <w:lang w:val="en-US" w:eastAsia="zh-CN"/>
                    </w:rPr>
                    <w:t>6</w:t>
                  </w:r>
                </w:p>
              </w:tc>
              <w:tc>
                <w:tcPr>
                  <w:tcW w:w="793" w:type="pct"/>
                  <w:tcBorders>
                    <w:tl2br w:val="nil"/>
                    <w:tr2bl w:val="nil"/>
                  </w:tcBorders>
                  <w:noWrap w:val="0"/>
                  <w:tcMar>
                    <w:top w:w="0" w:type="dxa"/>
                    <w:left w:w="57" w:type="dxa"/>
                    <w:bottom w:w="0" w:type="dxa"/>
                    <w:right w:w="57" w:type="dxa"/>
                  </w:tcMar>
                  <w:vAlign w:val="center"/>
                </w:tcPr>
                <w:p w14:paraId="55625881">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olor w:val="auto"/>
                      <w:kern w:val="2"/>
                      <w:sz w:val="21"/>
                      <w:szCs w:val="24"/>
                      <w:highlight w:val="none"/>
                      <w:lang w:val="en-US" w:eastAsia="zh-CN" w:bidi="ar-SA"/>
                    </w:rPr>
                  </w:pPr>
                  <w:r>
                    <w:rPr>
                      <w:rFonts w:hint="eastAsia"/>
                      <w:color w:val="auto"/>
                      <w:highlight w:val="none"/>
                    </w:rPr>
                    <w:t>氢氧化钠</w:t>
                  </w:r>
                </w:p>
              </w:tc>
              <w:tc>
                <w:tcPr>
                  <w:tcW w:w="2774" w:type="pct"/>
                  <w:tcBorders>
                    <w:tl2br w:val="nil"/>
                    <w:tr2bl w:val="nil"/>
                  </w:tcBorders>
                  <w:noWrap w:val="0"/>
                  <w:tcMar>
                    <w:top w:w="0" w:type="dxa"/>
                    <w:left w:w="57" w:type="dxa"/>
                    <w:bottom w:w="0" w:type="dxa"/>
                    <w:right w:w="57" w:type="dxa"/>
                  </w:tcMar>
                  <w:vAlign w:val="center"/>
                </w:tcPr>
                <w:p w14:paraId="60B906EA">
                  <w:pPr>
                    <w:pStyle w:val="21"/>
                    <w:keepNext w:val="0"/>
                    <w:keepLines w:val="0"/>
                    <w:suppressLineNumbers w:val="0"/>
                    <w:bidi w:val="0"/>
                    <w:spacing w:before="0" w:beforeAutospacing="0" w:after="0" w:afterAutospacing="0"/>
                    <w:ind w:left="0" w:right="0"/>
                    <w:rPr>
                      <w:rFonts w:hint="default" w:eastAsia="宋体"/>
                      <w:color w:val="auto"/>
                      <w:highlight w:val="none"/>
                      <w:vertAlign w:val="baseline"/>
                      <w:lang w:val="en-US" w:eastAsia="zh-CN"/>
                    </w:rPr>
                  </w:pPr>
                  <w:r>
                    <w:rPr>
                      <w:rFonts w:hint="eastAsia"/>
                      <w:color w:val="auto"/>
                      <w:highlight w:val="none"/>
                      <w:lang w:val="en-US" w:eastAsia="zh-CN"/>
                    </w:rPr>
                    <w:t>也称苛性钠、烧碱、火碱、片碱，是一种无机化合物，化学式NaOH，相对分子量为40。水溶液无色透明，具有强碱性，腐蚀性极强，密度约1.4kg/cm</w:t>
                  </w:r>
                  <w:r>
                    <w:rPr>
                      <w:rFonts w:hint="eastAsia"/>
                      <w:color w:val="auto"/>
                      <w:highlight w:val="none"/>
                      <w:vertAlign w:val="superscript"/>
                      <w:lang w:val="en-US" w:eastAsia="zh-CN"/>
                    </w:rPr>
                    <w:t>3</w:t>
                  </w:r>
                  <w:r>
                    <w:rPr>
                      <w:rFonts w:hint="eastAsia"/>
                      <w:color w:val="auto"/>
                      <w:highlight w:val="none"/>
                      <w:vertAlign w:val="baseline"/>
                      <w:lang w:val="en-US" w:eastAsia="zh-CN"/>
                    </w:rPr>
                    <w:t>。</w:t>
                  </w:r>
                </w:p>
              </w:tc>
              <w:tc>
                <w:tcPr>
                  <w:tcW w:w="535" w:type="pct"/>
                  <w:tcBorders>
                    <w:tl2br w:val="nil"/>
                    <w:tr2bl w:val="nil"/>
                  </w:tcBorders>
                  <w:noWrap w:val="0"/>
                  <w:tcMar>
                    <w:top w:w="0" w:type="dxa"/>
                    <w:left w:w="57" w:type="dxa"/>
                    <w:bottom w:w="0" w:type="dxa"/>
                    <w:right w:w="57" w:type="dxa"/>
                  </w:tcMar>
                  <w:vAlign w:val="center"/>
                </w:tcPr>
                <w:p w14:paraId="6FC3B8D3">
                  <w:pPr>
                    <w:pStyle w:val="21"/>
                    <w:keepNext w:val="0"/>
                    <w:keepLines w:val="0"/>
                    <w:suppressLineNumbers w:val="0"/>
                    <w:bidi w:val="0"/>
                    <w:spacing w:before="0" w:beforeAutospacing="0" w:after="0" w:afterAutospacing="0"/>
                    <w:ind w:left="0" w:right="0"/>
                    <w:rPr>
                      <w:rFonts w:hint="eastAsia" w:eastAsia="宋体"/>
                      <w:color w:val="auto"/>
                      <w:highlight w:val="none"/>
                      <w:lang w:eastAsia="zh-CN"/>
                    </w:rPr>
                  </w:pPr>
                  <w:r>
                    <w:rPr>
                      <w:rFonts w:hint="eastAsia"/>
                      <w:color w:val="auto"/>
                      <w:highlight w:val="none"/>
                      <w:lang w:val="en-US" w:eastAsia="zh-CN"/>
                    </w:rPr>
                    <w:t>不可燃</w:t>
                  </w:r>
                </w:p>
              </w:tc>
              <w:tc>
                <w:tcPr>
                  <w:tcW w:w="698" w:type="pct"/>
                  <w:tcBorders>
                    <w:tl2br w:val="nil"/>
                    <w:tr2bl w:val="nil"/>
                  </w:tcBorders>
                  <w:noWrap w:val="0"/>
                  <w:tcMar>
                    <w:top w:w="0" w:type="dxa"/>
                    <w:left w:w="57" w:type="dxa"/>
                    <w:bottom w:w="0" w:type="dxa"/>
                    <w:right w:w="57" w:type="dxa"/>
                  </w:tcMar>
                  <w:vAlign w:val="center"/>
                </w:tcPr>
                <w:p w14:paraId="2CE2B2F3">
                  <w:pPr>
                    <w:pStyle w:val="21"/>
                    <w:keepNext w:val="0"/>
                    <w:keepLines w:val="0"/>
                    <w:suppressLineNumbers w:val="0"/>
                    <w:bidi w:val="0"/>
                    <w:spacing w:before="0" w:beforeAutospacing="0" w:after="0" w:afterAutospacing="0"/>
                    <w:ind w:left="0" w:right="0"/>
                    <w:rPr>
                      <w:rFonts w:hint="eastAsia" w:eastAsia="宋体"/>
                      <w:color w:val="auto"/>
                      <w:highlight w:val="none"/>
                      <w:lang w:eastAsia="zh-CN"/>
                    </w:rPr>
                  </w:pPr>
                  <w:r>
                    <w:rPr>
                      <w:rFonts w:hint="eastAsia"/>
                      <w:color w:val="auto"/>
                      <w:highlight w:val="none"/>
                      <w:lang w:val="en-US" w:eastAsia="zh-CN"/>
                    </w:rPr>
                    <w:t>/</w:t>
                  </w:r>
                </w:p>
              </w:tc>
            </w:tr>
            <w:tr w14:paraId="5F2936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8" w:type="pct"/>
                  <w:tcBorders>
                    <w:tl2br w:val="nil"/>
                    <w:tr2bl w:val="nil"/>
                  </w:tcBorders>
                  <w:noWrap w:val="0"/>
                  <w:tcMar>
                    <w:top w:w="0" w:type="dxa"/>
                    <w:left w:w="57" w:type="dxa"/>
                    <w:bottom w:w="0" w:type="dxa"/>
                    <w:right w:w="57" w:type="dxa"/>
                  </w:tcMar>
                  <w:vAlign w:val="center"/>
                </w:tcPr>
                <w:p w14:paraId="4698F271">
                  <w:pPr>
                    <w:pStyle w:val="21"/>
                    <w:keepNext w:val="0"/>
                    <w:keepLines w:val="0"/>
                    <w:suppressLineNumbers w:val="0"/>
                    <w:bidi w:val="0"/>
                    <w:spacing w:before="0" w:beforeAutospacing="0" w:after="0" w:afterAutospacing="0"/>
                    <w:ind w:left="0" w:right="0"/>
                    <w:rPr>
                      <w:rFonts w:hint="eastAsia" w:eastAsia="宋体"/>
                      <w:color w:val="auto"/>
                      <w:highlight w:val="none"/>
                      <w:lang w:val="en-US" w:eastAsia="zh-CN"/>
                    </w:rPr>
                  </w:pPr>
                  <w:r>
                    <w:rPr>
                      <w:rFonts w:hint="eastAsia"/>
                      <w:color w:val="auto"/>
                      <w:highlight w:val="none"/>
                      <w:lang w:val="en-US" w:eastAsia="zh-CN"/>
                    </w:rPr>
                    <w:t>7</w:t>
                  </w:r>
                </w:p>
              </w:tc>
              <w:tc>
                <w:tcPr>
                  <w:tcW w:w="793" w:type="pct"/>
                  <w:tcBorders>
                    <w:tl2br w:val="nil"/>
                    <w:tr2bl w:val="nil"/>
                  </w:tcBorders>
                  <w:noWrap w:val="0"/>
                  <w:tcMar>
                    <w:top w:w="0" w:type="dxa"/>
                    <w:left w:w="57" w:type="dxa"/>
                    <w:bottom w:w="0" w:type="dxa"/>
                    <w:right w:w="57" w:type="dxa"/>
                  </w:tcMar>
                  <w:vAlign w:val="center"/>
                </w:tcPr>
                <w:p w14:paraId="6BD94BB8">
                  <w:pPr>
                    <w:pStyle w:val="21"/>
                    <w:keepNext w:val="0"/>
                    <w:keepLines w:val="0"/>
                    <w:suppressLineNumbers w:val="0"/>
                    <w:bidi w:val="0"/>
                    <w:spacing w:before="0" w:beforeAutospacing="0" w:after="0" w:afterAutospacing="0"/>
                    <w:ind w:left="0" w:right="0" w:firstLine="0" w:firstLineChars="0"/>
                    <w:rPr>
                      <w:rFonts w:hint="eastAsia" w:eastAsia="宋体"/>
                      <w:color w:val="auto"/>
                      <w:highlight w:val="none"/>
                      <w:lang w:val="en-US" w:eastAsia="zh-CN"/>
                    </w:rPr>
                  </w:pPr>
                  <w:r>
                    <w:rPr>
                      <w:rFonts w:hint="eastAsia"/>
                      <w:color w:val="auto"/>
                      <w:highlight w:val="none"/>
                      <w:lang w:val="en-US" w:eastAsia="zh-CN"/>
                    </w:rPr>
                    <w:t>次氯酸钠</w:t>
                  </w:r>
                </w:p>
              </w:tc>
              <w:tc>
                <w:tcPr>
                  <w:tcW w:w="2774" w:type="pct"/>
                  <w:tcBorders>
                    <w:tl2br w:val="nil"/>
                    <w:tr2bl w:val="nil"/>
                  </w:tcBorders>
                  <w:noWrap w:val="0"/>
                  <w:tcMar>
                    <w:top w:w="0" w:type="dxa"/>
                    <w:left w:w="57" w:type="dxa"/>
                    <w:bottom w:w="0" w:type="dxa"/>
                    <w:right w:w="57" w:type="dxa"/>
                  </w:tcMar>
                  <w:vAlign w:val="center"/>
                </w:tcPr>
                <w:p w14:paraId="3827CA85">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default"/>
                      <w:color w:val="auto"/>
                      <w:highlight w:val="none"/>
                      <w:lang w:val="en-US"/>
                    </w:rPr>
                    <w:t>微黄色溶液，有似氯气的气味。受高热分解产生有毒的腐蚀性烟气。具有腐蚀性。具有强氧化性；熔点</w:t>
                  </w:r>
                  <w:r>
                    <w:rPr>
                      <w:rFonts w:hint="eastAsia"/>
                      <w:color w:val="auto"/>
                      <w:highlight w:val="none"/>
                      <w:lang w:val="en-US" w:eastAsia="zh-CN"/>
                    </w:rPr>
                    <w:t>（</w:t>
                  </w:r>
                  <w:r>
                    <w:rPr>
                      <w:rFonts w:hint="default"/>
                      <w:color w:val="auto"/>
                      <w:highlight w:val="none"/>
                      <w:lang w:val="en-US"/>
                    </w:rPr>
                    <w:t>℃</w:t>
                  </w:r>
                  <w:r>
                    <w:rPr>
                      <w:rFonts w:hint="eastAsia"/>
                      <w:color w:val="auto"/>
                      <w:highlight w:val="none"/>
                      <w:lang w:val="en-US" w:eastAsia="zh-CN"/>
                    </w:rPr>
                    <w:t>）</w:t>
                  </w:r>
                  <w:r>
                    <w:rPr>
                      <w:rFonts w:hint="default"/>
                      <w:color w:val="auto"/>
                      <w:highlight w:val="none"/>
                      <w:lang w:val="en-US"/>
                    </w:rPr>
                    <w:t>)：-6；沸点</w:t>
                  </w:r>
                  <w:r>
                    <w:rPr>
                      <w:rFonts w:hint="eastAsia"/>
                      <w:color w:val="auto"/>
                      <w:highlight w:val="none"/>
                      <w:lang w:val="en-US" w:eastAsia="zh-CN"/>
                    </w:rPr>
                    <w:t>（</w:t>
                  </w:r>
                  <w:r>
                    <w:rPr>
                      <w:rFonts w:hint="default"/>
                      <w:color w:val="auto"/>
                      <w:highlight w:val="none"/>
                      <w:lang w:val="en-US"/>
                    </w:rPr>
                    <w:t>℃</w:t>
                  </w:r>
                  <w:r>
                    <w:rPr>
                      <w:rFonts w:hint="eastAsia"/>
                      <w:color w:val="auto"/>
                      <w:highlight w:val="none"/>
                      <w:lang w:val="en-US" w:eastAsia="zh-CN"/>
                    </w:rPr>
                    <w:t>）</w:t>
                  </w:r>
                  <w:r>
                    <w:rPr>
                      <w:rFonts w:hint="default"/>
                      <w:color w:val="auto"/>
                      <w:highlight w:val="none"/>
                      <w:lang w:val="en-US"/>
                    </w:rPr>
                    <w:t>)：102.2；相对密度（水=1）：1.10；溶于水</w:t>
                  </w:r>
                </w:p>
              </w:tc>
              <w:tc>
                <w:tcPr>
                  <w:tcW w:w="535" w:type="pct"/>
                  <w:tcBorders>
                    <w:tl2br w:val="nil"/>
                    <w:tr2bl w:val="nil"/>
                  </w:tcBorders>
                  <w:noWrap w:val="0"/>
                  <w:tcMar>
                    <w:top w:w="0" w:type="dxa"/>
                    <w:left w:w="57" w:type="dxa"/>
                    <w:bottom w:w="0" w:type="dxa"/>
                    <w:right w:w="57" w:type="dxa"/>
                  </w:tcMar>
                  <w:vAlign w:val="center"/>
                </w:tcPr>
                <w:p w14:paraId="6FFAA038">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不可燃</w:t>
                  </w:r>
                </w:p>
              </w:tc>
              <w:tc>
                <w:tcPr>
                  <w:tcW w:w="698" w:type="pct"/>
                  <w:tcBorders>
                    <w:tl2br w:val="nil"/>
                    <w:tr2bl w:val="nil"/>
                  </w:tcBorders>
                  <w:noWrap w:val="0"/>
                  <w:tcMar>
                    <w:top w:w="0" w:type="dxa"/>
                    <w:left w:w="57" w:type="dxa"/>
                    <w:bottom w:w="0" w:type="dxa"/>
                    <w:right w:w="57" w:type="dxa"/>
                  </w:tcMar>
                  <w:vAlign w:val="center"/>
                </w:tcPr>
                <w:p w14:paraId="4A9AA319">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eastAsia"/>
                      <w:color w:val="auto"/>
                      <w:highlight w:val="none"/>
                      <w:lang w:val="en-US"/>
                    </w:rPr>
                    <w:t>LD50</w:t>
                  </w:r>
                  <w:r>
                    <w:rPr>
                      <w:rFonts w:hint="eastAsia"/>
                      <w:color w:val="auto"/>
                      <w:highlight w:val="none"/>
                      <w:lang w:val="en-US" w:eastAsia="zh-CN"/>
                    </w:rPr>
                    <w:t>:</w:t>
                  </w:r>
                  <w:r>
                    <w:rPr>
                      <w:rFonts w:hint="eastAsia"/>
                      <w:color w:val="auto"/>
                      <w:highlight w:val="none"/>
                      <w:lang w:val="en-US"/>
                    </w:rPr>
                    <w:t>8500mg/kg（小鼠经口）</w:t>
                  </w:r>
                </w:p>
              </w:tc>
            </w:tr>
          </w:tbl>
          <w:p w14:paraId="24A462F8">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5、主要生产设施</w:t>
            </w:r>
          </w:p>
          <w:p w14:paraId="5175874E">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本项目主要生产设施情况见下表：</w:t>
            </w:r>
          </w:p>
          <w:p w14:paraId="24D4928E">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ascii="Times New Roman" w:hAnsi="Times New Roman" w:eastAsia="宋体"/>
                <w:color w:val="auto"/>
                <w:highlight w:val="none"/>
              </w:rPr>
              <w:t>表2-</w:t>
            </w:r>
            <w:r>
              <w:rPr>
                <w:rFonts w:hint="eastAsia"/>
                <w:color w:val="auto"/>
                <w:highlight w:val="none"/>
                <w:lang w:val="en-US" w:eastAsia="zh-CN"/>
              </w:rPr>
              <w:t>7</w:t>
            </w:r>
            <w:r>
              <w:rPr>
                <w:rFonts w:ascii="Times New Roman" w:hAnsi="Times New Roman" w:eastAsia="宋体"/>
                <w:color w:val="auto"/>
                <w:highlight w:val="none"/>
              </w:rPr>
              <w:t>本项目主要生产设施一览表</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54"/>
              <w:gridCol w:w="490"/>
              <w:gridCol w:w="1681"/>
              <w:gridCol w:w="2421"/>
              <w:gridCol w:w="1239"/>
              <w:gridCol w:w="1337"/>
            </w:tblGrid>
            <w:tr w14:paraId="0654E4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tcBorders>
                    <w:tl2br w:val="nil"/>
                    <w:tr2bl w:val="nil"/>
                  </w:tcBorders>
                  <w:shd w:val="clear" w:color="auto" w:fill="auto"/>
                  <w:tcMar>
                    <w:left w:w="0" w:type="dxa"/>
                    <w:right w:w="0" w:type="dxa"/>
                  </w:tcMar>
                  <w:vAlign w:val="center"/>
                </w:tcPr>
                <w:p w14:paraId="0A07158D">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序号</w:t>
                  </w:r>
                </w:p>
              </w:tc>
              <w:tc>
                <w:tcPr>
                  <w:tcW w:w="1387" w:type="pct"/>
                  <w:gridSpan w:val="2"/>
                  <w:tcBorders>
                    <w:tl2br w:val="nil"/>
                    <w:tr2bl w:val="nil"/>
                  </w:tcBorders>
                  <w:shd w:val="clear" w:color="auto" w:fill="auto"/>
                  <w:tcMar>
                    <w:left w:w="0" w:type="dxa"/>
                    <w:right w:w="0" w:type="dxa"/>
                  </w:tcMar>
                  <w:vAlign w:val="center"/>
                </w:tcPr>
                <w:p w14:paraId="024435C9">
                  <w:pPr>
                    <w:pStyle w:val="21"/>
                    <w:keepNext w:val="0"/>
                    <w:keepLines w:val="0"/>
                    <w:suppressLineNumbers w:val="0"/>
                    <w:spacing w:before="0" w:beforeAutospacing="0" w:after="0" w:afterAutospacing="0"/>
                    <w:ind w:left="0" w:right="0"/>
                    <w:rPr>
                      <w:rFonts w:hint="eastAsia" w:ascii="Times New Roman" w:hAnsi="Times New Roman" w:eastAsia="宋体"/>
                      <w:b/>
                      <w:bCs/>
                      <w:color w:val="auto"/>
                      <w:highlight w:val="none"/>
                      <w:lang w:val="en-US"/>
                    </w:rPr>
                  </w:pPr>
                  <w:r>
                    <w:rPr>
                      <w:rFonts w:hint="eastAsia" w:ascii="Times New Roman" w:hAnsi="Times New Roman" w:eastAsia="宋体"/>
                      <w:b/>
                      <w:bCs/>
                      <w:color w:val="auto"/>
                      <w:highlight w:val="none"/>
                      <w:lang w:val="en-US" w:eastAsia="zh-CN"/>
                    </w:rPr>
                    <w:t>设备</w:t>
                  </w:r>
                  <w:r>
                    <w:rPr>
                      <w:rFonts w:hint="eastAsia" w:ascii="Times New Roman" w:hAnsi="Times New Roman" w:eastAsia="宋体"/>
                      <w:b/>
                      <w:bCs/>
                      <w:color w:val="auto"/>
                      <w:highlight w:val="none"/>
                      <w:lang w:val="en-US"/>
                    </w:rPr>
                    <w:t>名称</w:t>
                  </w:r>
                </w:p>
              </w:tc>
              <w:tc>
                <w:tcPr>
                  <w:tcW w:w="1547" w:type="pct"/>
                  <w:tcBorders>
                    <w:tl2br w:val="nil"/>
                    <w:tr2bl w:val="nil"/>
                  </w:tcBorders>
                  <w:shd w:val="clear" w:color="auto" w:fill="auto"/>
                  <w:tcMar>
                    <w:left w:w="0" w:type="dxa"/>
                    <w:right w:w="0" w:type="dxa"/>
                  </w:tcMar>
                  <w:vAlign w:val="center"/>
                </w:tcPr>
                <w:p w14:paraId="3F875662">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规格型号</w:t>
                  </w:r>
                </w:p>
              </w:tc>
              <w:tc>
                <w:tcPr>
                  <w:tcW w:w="791" w:type="pct"/>
                  <w:tcBorders>
                    <w:tl2br w:val="nil"/>
                    <w:tr2bl w:val="nil"/>
                  </w:tcBorders>
                  <w:shd w:val="clear" w:color="auto" w:fill="auto"/>
                  <w:tcMar>
                    <w:left w:w="0" w:type="dxa"/>
                    <w:right w:w="0" w:type="dxa"/>
                  </w:tcMar>
                  <w:vAlign w:val="center"/>
                </w:tcPr>
                <w:p w14:paraId="27DEC004">
                  <w:pPr>
                    <w:pStyle w:val="21"/>
                    <w:keepNext w:val="0"/>
                    <w:keepLines w:val="0"/>
                    <w:suppressLineNumbers w:val="0"/>
                    <w:spacing w:before="0" w:beforeAutospacing="0" w:after="0" w:afterAutospacing="0"/>
                    <w:ind w:left="0" w:right="0"/>
                    <w:rPr>
                      <w:rFonts w:hint="eastAsia" w:ascii="Times New Roman" w:hAnsi="Times New Roman" w:eastAsia="宋体"/>
                      <w:b/>
                      <w:bCs/>
                      <w:color w:val="auto"/>
                      <w:highlight w:val="none"/>
                      <w:lang w:val="en-US"/>
                    </w:rPr>
                  </w:pPr>
                  <w:r>
                    <w:rPr>
                      <w:rFonts w:hint="eastAsia" w:ascii="Times New Roman" w:hAnsi="Times New Roman" w:eastAsia="宋体"/>
                      <w:b/>
                      <w:bCs/>
                      <w:color w:val="auto"/>
                      <w:highlight w:val="none"/>
                      <w:lang w:val="en-US"/>
                    </w:rPr>
                    <w:t>数量（台</w:t>
                  </w:r>
                  <w:r>
                    <w:rPr>
                      <w:rFonts w:hint="default" w:ascii="Times New Roman" w:hAnsi="Times New Roman" w:eastAsia="宋体"/>
                      <w:b/>
                      <w:bCs/>
                      <w:color w:val="auto"/>
                      <w:highlight w:val="none"/>
                      <w:lang w:val="en-US"/>
                    </w:rPr>
                    <w:t>/</w:t>
                  </w:r>
                  <w:r>
                    <w:rPr>
                      <w:rFonts w:hint="eastAsia" w:ascii="Times New Roman" w:hAnsi="Times New Roman" w:eastAsia="宋体"/>
                      <w:b/>
                      <w:bCs/>
                      <w:color w:val="auto"/>
                      <w:highlight w:val="none"/>
                      <w:lang w:val="en-US"/>
                    </w:rPr>
                    <w:t>套）</w:t>
                  </w:r>
                </w:p>
              </w:tc>
              <w:tc>
                <w:tcPr>
                  <w:tcW w:w="854" w:type="pct"/>
                  <w:tcBorders>
                    <w:tl2br w:val="nil"/>
                    <w:tr2bl w:val="nil"/>
                  </w:tcBorders>
                  <w:shd w:val="clear" w:color="auto" w:fill="auto"/>
                  <w:tcMar>
                    <w:left w:w="0" w:type="dxa"/>
                    <w:right w:w="0" w:type="dxa"/>
                  </w:tcMar>
                  <w:vAlign w:val="center"/>
                </w:tcPr>
                <w:p w14:paraId="7F51F5F0">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eastAsia" w:ascii="Times New Roman" w:hAnsi="Times New Roman" w:eastAsia="宋体"/>
                      <w:b/>
                      <w:bCs/>
                      <w:color w:val="auto"/>
                      <w:highlight w:val="none"/>
                      <w:lang w:val="en-US"/>
                    </w:rPr>
                    <w:t>位置</w:t>
                  </w:r>
                </w:p>
              </w:tc>
            </w:tr>
            <w:tr w14:paraId="3F9FC3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tcBorders>
                    <w:tl2br w:val="nil"/>
                    <w:tr2bl w:val="nil"/>
                  </w:tcBorders>
                  <w:shd w:val="clear" w:color="auto" w:fill="auto"/>
                  <w:vAlign w:val="center"/>
                </w:tcPr>
                <w:p w14:paraId="79FB9048">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1</w:t>
                  </w:r>
                </w:p>
              </w:tc>
              <w:tc>
                <w:tcPr>
                  <w:tcW w:w="1387" w:type="pct"/>
                  <w:gridSpan w:val="2"/>
                  <w:tcBorders>
                    <w:tl2br w:val="nil"/>
                    <w:tr2bl w:val="nil"/>
                  </w:tcBorders>
                  <w:shd w:val="clear" w:color="auto" w:fill="auto"/>
                  <w:vAlign w:val="center"/>
                </w:tcPr>
                <w:p w14:paraId="2D93590E">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吹瓶机</w:t>
                  </w:r>
                </w:p>
              </w:tc>
              <w:tc>
                <w:tcPr>
                  <w:tcW w:w="1547" w:type="pct"/>
                  <w:tcBorders>
                    <w:tl2br w:val="nil"/>
                    <w:tr2bl w:val="nil"/>
                  </w:tcBorders>
                  <w:shd w:val="clear" w:color="auto" w:fill="auto"/>
                  <w:tcMar>
                    <w:left w:w="0" w:type="dxa"/>
                    <w:right w:w="0" w:type="dxa"/>
                  </w:tcMar>
                  <w:vAlign w:val="center"/>
                </w:tcPr>
                <w:p w14:paraId="30193C7A">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MATRIXP40</w:t>
                  </w:r>
                </w:p>
              </w:tc>
              <w:tc>
                <w:tcPr>
                  <w:tcW w:w="791" w:type="pct"/>
                  <w:tcBorders>
                    <w:tl2br w:val="nil"/>
                    <w:tr2bl w:val="nil"/>
                  </w:tcBorders>
                  <w:shd w:val="clear" w:color="auto" w:fill="auto"/>
                  <w:tcMar>
                    <w:left w:w="0" w:type="dxa"/>
                    <w:right w:w="0" w:type="dxa"/>
                  </w:tcMar>
                  <w:vAlign w:val="center"/>
                </w:tcPr>
                <w:p w14:paraId="70003702">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w:t>
                  </w:r>
                </w:p>
              </w:tc>
              <w:tc>
                <w:tcPr>
                  <w:tcW w:w="854" w:type="pct"/>
                  <w:vMerge w:val="restart"/>
                  <w:tcBorders>
                    <w:tl2br w:val="nil"/>
                    <w:tr2bl w:val="nil"/>
                  </w:tcBorders>
                  <w:shd w:val="clear" w:color="auto" w:fill="auto"/>
                  <w:tcMar>
                    <w:left w:w="0" w:type="dxa"/>
                    <w:right w:w="0" w:type="dxa"/>
                  </w:tcMar>
                  <w:vAlign w:val="center"/>
                </w:tcPr>
                <w:p w14:paraId="37772BD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新增1#厂房</w:t>
                  </w:r>
                </w:p>
              </w:tc>
            </w:tr>
            <w:tr w14:paraId="10341F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tcBorders>
                    <w:tl2br w:val="nil"/>
                    <w:tr2bl w:val="nil"/>
                  </w:tcBorders>
                  <w:shd w:val="clear" w:color="auto" w:fill="auto"/>
                  <w:vAlign w:val="center"/>
                </w:tcPr>
                <w:p w14:paraId="4F9401DA">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2</w:t>
                  </w:r>
                </w:p>
              </w:tc>
              <w:tc>
                <w:tcPr>
                  <w:tcW w:w="1387" w:type="pct"/>
                  <w:gridSpan w:val="2"/>
                  <w:tcBorders>
                    <w:tl2br w:val="nil"/>
                    <w:tr2bl w:val="nil"/>
                  </w:tcBorders>
                  <w:shd w:val="clear" w:color="auto" w:fill="auto"/>
                  <w:vAlign w:val="center"/>
                </w:tcPr>
                <w:p w14:paraId="6F38890B">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灌旋一体机</w:t>
                  </w:r>
                </w:p>
              </w:tc>
              <w:tc>
                <w:tcPr>
                  <w:tcW w:w="1547" w:type="pct"/>
                  <w:tcBorders>
                    <w:tl2br w:val="nil"/>
                    <w:tr2bl w:val="nil"/>
                  </w:tcBorders>
                  <w:shd w:val="clear" w:color="auto" w:fill="auto"/>
                  <w:tcMar>
                    <w:left w:w="0" w:type="dxa"/>
                    <w:right w:w="0" w:type="dxa"/>
                  </w:tcMar>
                  <w:vAlign w:val="center"/>
                </w:tcPr>
                <w:p w14:paraId="270E19D0">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PET117P87</w:t>
                  </w:r>
                </w:p>
              </w:tc>
              <w:tc>
                <w:tcPr>
                  <w:tcW w:w="791" w:type="pct"/>
                  <w:tcBorders>
                    <w:tl2br w:val="nil"/>
                    <w:tr2bl w:val="nil"/>
                  </w:tcBorders>
                  <w:shd w:val="clear" w:color="auto" w:fill="auto"/>
                  <w:tcMar>
                    <w:left w:w="0" w:type="dxa"/>
                    <w:right w:w="0" w:type="dxa"/>
                  </w:tcMar>
                  <w:vAlign w:val="center"/>
                </w:tcPr>
                <w:p w14:paraId="4A5533FE">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w:t>
                  </w:r>
                </w:p>
              </w:tc>
              <w:tc>
                <w:tcPr>
                  <w:tcW w:w="854" w:type="pct"/>
                  <w:vMerge w:val="continue"/>
                  <w:tcBorders>
                    <w:tl2br w:val="nil"/>
                    <w:tr2bl w:val="nil"/>
                  </w:tcBorders>
                  <w:shd w:val="clear" w:color="auto" w:fill="auto"/>
                  <w:tcMar>
                    <w:left w:w="0" w:type="dxa"/>
                    <w:right w:w="0" w:type="dxa"/>
                  </w:tcMar>
                  <w:vAlign w:val="center"/>
                </w:tcPr>
                <w:p w14:paraId="52BF8473">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2F244F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tcBorders>
                    <w:tl2br w:val="nil"/>
                    <w:tr2bl w:val="nil"/>
                  </w:tcBorders>
                  <w:shd w:val="clear" w:color="auto" w:fill="auto"/>
                  <w:vAlign w:val="center"/>
                </w:tcPr>
                <w:p w14:paraId="0F30FFF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3</w:t>
                  </w:r>
                </w:p>
              </w:tc>
              <w:tc>
                <w:tcPr>
                  <w:tcW w:w="1387" w:type="pct"/>
                  <w:gridSpan w:val="2"/>
                  <w:tcBorders>
                    <w:tl2br w:val="nil"/>
                    <w:tr2bl w:val="nil"/>
                  </w:tcBorders>
                  <w:shd w:val="clear" w:color="auto" w:fill="auto"/>
                  <w:vAlign w:val="center"/>
                </w:tcPr>
                <w:p w14:paraId="14C728BA">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上盖机</w:t>
                  </w:r>
                </w:p>
              </w:tc>
              <w:tc>
                <w:tcPr>
                  <w:tcW w:w="1547" w:type="pct"/>
                  <w:tcBorders>
                    <w:tl2br w:val="nil"/>
                    <w:tr2bl w:val="nil"/>
                  </w:tcBorders>
                  <w:shd w:val="clear" w:color="auto" w:fill="auto"/>
                  <w:tcMar>
                    <w:left w:w="0" w:type="dxa"/>
                    <w:right w:w="0" w:type="dxa"/>
                  </w:tcMar>
                  <w:vAlign w:val="center"/>
                </w:tcPr>
                <w:p w14:paraId="26E85C1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WaterfalltypeAidlin24</w:t>
                  </w:r>
                </w:p>
              </w:tc>
              <w:tc>
                <w:tcPr>
                  <w:tcW w:w="791" w:type="pct"/>
                  <w:tcBorders>
                    <w:tl2br w:val="nil"/>
                    <w:tr2bl w:val="nil"/>
                  </w:tcBorders>
                  <w:shd w:val="clear" w:color="auto" w:fill="auto"/>
                  <w:tcMar>
                    <w:left w:w="0" w:type="dxa"/>
                    <w:right w:w="0" w:type="dxa"/>
                  </w:tcMar>
                  <w:vAlign w:val="center"/>
                </w:tcPr>
                <w:p w14:paraId="325B14B2">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2</w:t>
                  </w:r>
                </w:p>
              </w:tc>
              <w:tc>
                <w:tcPr>
                  <w:tcW w:w="854" w:type="pct"/>
                  <w:vMerge w:val="continue"/>
                  <w:tcBorders>
                    <w:tl2br w:val="nil"/>
                    <w:tr2bl w:val="nil"/>
                  </w:tcBorders>
                  <w:shd w:val="clear" w:color="auto" w:fill="auto"/>
                  <w:tcMar>
                    <w:left w:w="0" w:type="dxa"/>
                    <w:right w:w="0" w:type="dxa"/>
                  </w:tcMar>
                  <w:vAlign w:val="center"/>
                </w:tcPr>
                <w:p w14:paraId="1092BE52">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olor w:val="auto"/>
                      <w:highlight w:val="none"/>
                      <w:lang w:val="en-US" w:eastAsia="zh-CN"/>
                    </w:rPr>
                  </w:pPr>
                </w:p>
              </w:tc>
            </w:tr>
            <w:tr w14:paraId="4FB8D7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tcBorders>
                    <w:tl2br w:val="nil"/>
                    <w:tr2bl w:val="nil"/>
                  </w:tcBorders>
                  <w:shd w:val="clear" w:color="auto" w:fill="auto"/>
                  <w:vAlign w:val="center"/>
                </w:tcPr>
                <w:p w14:paraId="7E4BA9C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4</w:t>
                  </w:r>
                </w:p>
              </w:tc>
              <w:tc>
                <w:tcPr>
                  <w:tcW w:w="1387" w:type="pct"/>
                  <w:gridSpan w:val="2"/>
                  <w:tcBorders>
                    <w:tl2br w:val="nil"/>
                    <w:tr2bl w:val="nil"/>
                  </w:tcBorders>
                  <w:shd w:val="clear" w:color="auto" w:fill="auto"/>
                  <w:vAlign w:val="center"/>
                </w:tcPr>
                <w:p w14:paraId="50821599">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瓶坯翻斗机</w:t>
                  </w:r>
                </w:p>
              </w:tc>
              <w:tc>
                <w:tcPr>
                  <w:tcW w:w="1547" w:type="pct"/>
                  <w:tcBorders>
                    <w:tl2br w:val="nil"/>
                    <w:tr2bl w:val="nil"/>
                  </w:tcBorders>
                  <w:shd w:val="clear" w:color="auto" w:fill="auto"/>
                  <w:tcMar>
                    <w:left w:w="0" w:type="dxa"/>
                    <w:right w:w="0" w:type="dxa"/>
                  </w:tcMar>
                  <w:vAlign w:val="center"/>
                </w:tcPr>
                <w:p w14:paraId="145A30E6">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TS21</w:t>
                  </w:r>
                </w:p>
              </w:tc>
              <w:tc>
                <w:tcPr>
                  <w:tcW w:w="791" w:type="pct"/>
                  <w:tcBorders>
                    <w:tl2br w:val="nil"/>
                    <w:tr2bl w:val="nil"/>
                  </w:tcBorders>
                  <w:shd w:val="clear" w:color="auto" w:fill="auto"/>
                  <w:tcMar>
                    <w:left w:w="0" w:type="dxa"/>
                    <w:right w:w="0" w:type="dxa"/>
                  </w:tcMar>
                  <w:vAlign w:val="center"/>
                </w:tcPr>
                <w:p w14:paraId="121B9572">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w:t>
                  </w:r>
                </w:p>
              </w:tc>
              <w:tc>
                <w:tcPr>
                  <w:tcW w:w="854" w:type="pct"/>
                  <w:vMerge w:val="continue"/>
                  <w:tcBorders>
                    <w:tl2br w:val="nil"/>
                    <w:tr2bl w:val="nil"/>
                  </w:tcBorders>
                  <w:shd w:val="clear" w:color="auto" w:fill="auto"/>
                  <w:tcMar>
                    <w:left w:w="0" w:type="dxa"/>
                    <w:right w:w="0" w:type="dxa"/>
                  </w:tcMar>
                  <w:vAlign w:val="center"/>
                </w:tcPr>
                <w:p w14:paraId="6247CBDE">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r>
            <w:tr w14:paraId="1CF381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tcBorders>
                    <w:tl2br w:val="nil"/>
                    <w:tr2bl w:val="nil"/>
                  </w:tcBorders>
                  <w:shd w:val="clear" w:color="auto" w:fill="auto"/>
                  <w:vAlign w:val="center"/>
                </w:tcPr>
                <w:p w14:paraId="5323287A">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5</w:t>
                  </w:r>
                </w:p>
              </w:tc>
              <w:tc>
                <w:tcPr>
                  <w:tcW w:w="1387" w:type="pct"/>
                  <w:gridSpan w:val="2"/>
                  <w:tcBorders>
                    <w:tl2br w:val="nil"/>
                    <w:tr2bl w:val="nil"/>
                  </w:tcBorders>
                  <w:shd w:val="clear" w:color="auto" w:fill="auto"/>
                  <w:vAlign w:val="center"/>
                </w:tcPr>
                <w:p w14:paraId="13A35A5B">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吹干机</w:t>
                  </w:r>
                </w:p>
              </w:tc>
              <w:tc>
                <w:tcPr>
                  <w:tcW w:w="1547" w:type="pct"/>
                  <w:tcBorders>
                    <w:tl2br w:val="nil"/>
                    <w:tr2bl w:val="nil"/>
                  </w:tcBorders>
                  <w:shd w:val="clear" w:color="auto" w:fill="auto"/>
                  <w:tcMar>
                    <w:left w:w="0" w:type="dxa"/>
                    <w:right w:w="0" w:type="dxa"/>
                  </w:tcMar>
                  <w:vAlign w:val="center"/>
                </w:tcPr>
                <w:p w14:paraId="58EDF01B">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EWL1200-EC</w:t>
                  </w:r>
                </w:p>
              </w:tc>
              <w:tc>
                <w:tcPr>
                  <w:tcW w:w="791" w:type="pct"/>
                  <w:tcBorders>
                    <w:tl2br w:val="nil"/>
                    <w:tr2bl w:val="nil"/>
                  </w:tcBorders>
                  <w:shd w:val="clear" w:color="auto" w:fill="auto"/>
                  <w:tcMar>
                    <w:left w:w="0" w:type="dxa"/>
                    <w:right w:w="0" w:type="dxa"/>
                  </w:tcMar>
                  <w:vAlign w:val="center"/>
                </w:tcPr>
                <w:p w14:paraId="126DB8F2">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2</w:t>
                  </w:r>
                </w:p>
              </w:tc>
              <w:tc>
                <w:tcPr>
                  <w:tcW w:w="854" w:type="pct"/>
                  <w:vMerge w:val="continue"/>
                  <w:tcBorders>
                    <w:tl2br w:val="nil"/>
                    <w:tr2bl w:val="nil"/>
                  </w:tcBorders>
                  <w:shd w:val="clear" w:color="auto" w:fill="auto"/>
                  <w:tcMar>
                    <w:left w:w="0" w:type="dxa"/>
                    <w:right w:w="0" w:type="dxa"/>
                  </w:tcMar>
                  <w:vAlign w:val="center"/>
                </w:tcPr>
                <w:p w14:paraId="55C8DBE6">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593B45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tcBorders>
                    <w:tl2br w:val="nil"/>
                    <w:tr2bl w:val="nil"/>
                  </w:tcBorders>
                  <w:shd w:val="clear" w:color="auto" w:fill="auto"/>
                  <w:vAlign w:val="center"/>
                </w:tcPr>
                <w:p w14:paraId="258EDCE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6</w:t>
                  </w:r>
                </w:p>
              </w:tc>
              <w:tc>
                <w:tcPr>
                  <w:tcW w:w="1387" w:type="pct"/>
                  <w:gridSpan w:val="2"/>
                  <w:tcBorders>
                    <w:tl2br w:val="nil"/>
                    <w:tr2bl w:val="nil"/>
                  </w:tcBorders>
                  <w:shd w:val="clear" w:color="auto" w:fill="auto"/>
                  <w:vAlign w:val="center"/>
                </w:tcPr>
                <w:p w14:paraId="368498F1">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瓶输送带</w:t>
                  </w:r>
                </w:p>
              </w:tc>
              <w:tc>
                <w:tcPr>
                  <w:tcW w:w="1547" w:type="pct"/>
                  <w:tcBorders>
                    <w:tl2br w:val="nil"/>
                    <w:tr2bl w:val="nil"/>
                  </w:tcBorders>
                  <w:shd w:val="clear" w:color="auto" w:fill="auto"/>
                  <w:tcMar>
                    <w:left w:w="0" w:type="dxa"/>
                    <w:right w:w="0" w:type="dxa"/>
                  </w:tcMar>
                  <w:vAlign w:val="center"/>
                </w:tcPr>
                <w:p w14:paraId="7CC32F9A">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配套定制</w:t>
                  </w:r>
                </w:p>
              </w:tc>
              <w:tc>
                <w:tcPr>
                  <w:tcW w:w="791" w:type="pct"/>
                  <w:tcBorders>
                    <w:tl2br w:val="nil"/>
                    <w:tr2bl w:val="nil"/>
                  </w:tcBorders>
                  <w:shd w:val="clear" w:color="auto" w:fill="auto"/>
                  <w:tcMar>
                    <w:left w:w="0" w:type="dxa"/>
                    <w:right w:w="0" w:type="dxa"/>
                  </w:tcMar>
                  <w:vAlign w:val="center"/>
                </w:tcPr>
                <w:p w14:paraId="477C1461">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tcMar>
                    <w:left w:w="0" w:type="dxa"/>
                    <w:right w:w="0" w:type="dxa"/>
                  </w:tcMar>
                  <w:vAlign w:val="center"/>
                </w:tcPr>
                <w:p w14:paraId="732122A7">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p>
              </w:tc>
            </w:tr>
            <w:tr w14:paraId="3D663B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tcBorders>
                    <w:tl2br w:val="nil"/>
                    <w:tr2bl w:val="nil"/>
                  </w:tcBorders>
                  <w:shd w:val="clear" w:color="auto" w:fill="auto"/>
                  <w:vAlign w:val="center"/>
                </w:tcPr>
                <w:p w14:paraId="51E6EC09">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s="Times New Roman"/>
                      <w:color w:val="auto"/>
                      <w:sz w:val="21"/>
                      <w:szCs w:val="24"/>
                      <w:highlight w:val="none"/>
                      <w:lang w:val="en-US" w:eastAsia="zh-CN" w:bidi="zh-CN"/>
                    </w:rPr>
                    <w:t>7</w:t>
                  </w:r>
                </w:p>
              </w:tc>
              <w:tc>
                <w:tcPr>
                  <w:tcW w:w="1387" w:type="pct"/>
                  <w:gridSpan w:val="2"/>
                  <w:tcBorders>
                    <w:tl2br w:val="nil"/>
                    <w:tr2bl w:val="nil"/>
                  </w:tcBorders>
                  <w:shd w:val="clear" w:color="auto" w:fill="auto"/>
                  <w:vAlign w:val="center"/>
                </w:tcPr>
                <w:p w14:paraId="33DECABF">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湿润滑机</w:t>
                  </w:r>
                </w:p>
              </w:tc>
              <w:tc>
                <w:tcPr>
                  <w:tcW w:w="1547" w:type="pct"/>
                  <w:tcBorders>
                    <w:tl2br w:val="nil"/>
                    <w:tr2bl w:val="nil"/>
                  </w:tcBorders>
                  <w:shd w:val="clear" w:color="auto" w:fill="auto"/>
                  <w:tcMar>
                    <w:left w:w="0" w:type="dxa"/>
                    <w:right w:w="0" w:type="dxa"/>
                  </w:tcMar>
                  <w:vAlign w:val="center"/>
                </w:tcPr>
                <w:p w14:paraId="6C8FD1BA">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配套定制</w:t>
                  </w:r>
                </w:p>
              </w:tc>
              <w:tc>
                <w:tcPr>
                  <w:tcW w:w="791" w:type="pct"/>
                  <w:tcBorders>
                    <w:tl2br w:val="nil"/>
                    <w:tr2bl w:val="nil"/>
                  </w:tcBorders>
                  <w:shd w:val="clear" w:color="auto" w:fill="auto"/>
                  <w:tcMar>
                    <w:left w:w="0" w:type="dxa"/>
                    <w:right w:w="0" w:type="dxa"/>
                  </w:tcMar>
                  <w:vAlign w:val="center"/>
                </w:tcPr>
                <w:p w14:paraId="07D9E729">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tcMar>
                    <w:left w:w="0" w:type="dxa"/>
                    <w:right w:w="0" w:type="dxa"/>
                  </w:tcMar>
                  <w:vAlign w:val="center"/>
                </w:tcPr>
                <w:p w14:paraId="5E7EB157">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p>
              </w:tc>
            </w:tr>
            <w:tr w14:paraId="460325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tcBorders>
                    <w:tl2br w:val="nil"/>
                    <w:tr2bl w:val="nil"/>
                  </w:tcBorders>
                  <w:shd w:val="clear" w:color="auto" w:fill="auto"/>
                  <w:vAlign w:val="center"/>
                </w:tcPr>
                <w:p w14:paraId="1C76AED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8</w:t>
                  </w:r>
                </w:p>
              </w:tc>
              <w:tc>
                <w:tcPr>
                  <w:tcW w:w="1387" w:type="pct"/>
                  <w:gridSpan w:val="2"/>
                  <w:tcBorders>
                    <w:tl2br w:val="nil"/>
                    <w:tr2bl w:val="nil"/>
                  </w:tcBorders>
                  <w:shd w:val="clear" w:color="auto" w:fill="auto"/>
                  <w:vAlign w:val="center"/>
                </w:tcPr>
                <w:p w14:paraId="56AF4359">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螺旋提升机</w:t>
                  </w:r>
                </w:p>
              </w:tc>
              <w:tc>
                <w:tcPr>
                  <w:tcW w:w="1547" w:type="pct"/>
                  <w:tcBorders>
                    <w:tl2br w:val="nil"/>
                    <w:tr2bl w:val="nil"/>
                  </w:tcBorders>
                  <w:shd w:val="clear" w:color="auto" w:fill="auto"/>
                  <w:tcMar>
                    <w:left w:w="0" w:type="dxa"/>
                    <w:right w:w="0" w:type="dxa"/>
                  </w:tcMar>
                  <w:vAlign w:val="center"/>
                </w:tcPr>
                <w:p w14:paraId="771C8C35">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配套定制</w:t>
                  </w:r>
                </w:p>
              </w:tc>
              <w:tc>
                <w:tcPr>
                  <w:tcW w:w="791" w:type="pct"/>
                  <w:tcBorders>
                    <w:tl2br w:val="nil"/>
                    <w:tr2bl w:val="nil"/>
                  </w:tcBorders>
                  <w:shd w:val="clear" w:color="auto" w:fill="auto"/>
                  <w:tcMar>
                    <w:left w:w="0" w:type="dxa"/>
                    <w:right w:w="0" w:type="dxa"/>
                  </w:tcMar>
                  <w:vAlign w:val="center"/>
                </w:tcPr>
                <w:p w14:paraId="10E7D58A">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tcMar>
                    <w:left w:w="0" w:type="dxa"/>
                    <w:right w:w="0" w:type="dxa"/>
                  </w:tcMar>
                  <w:vAlign w:val="center"/>
                </w:tcPr>
                <w:p w14:paraId="65CFB410">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0ACF3E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tcBorders>
                    <w:tl2br w:val="nil"/>
                    <w:tr2bl w:val="nil"/>
                  </w:tcBorders>
                  <w:shd w:val="clear" w:color="auto" w:fill="auto"/>
                  <w:vAlign w:val="center"/>
                </w:tcPr>
                <w:p w14:paraId="25F9CAE2">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9</w:t>
                  </w:r>
                </w:p>
              </w:tc>
              <w:tc>
                <w:tcPr>
                  <w:tcW w:w="1387" w:type="pct"/>
                  <w:gridSpan w:val="2"/>
                  <w:tcBorders>
                    <w:tl2br w:val="nil"/>
                    <w:tr2bl w:val="nil"/>
                  </w:tcBorders>
                  <w:shd w:val="clear" w:color="auto" w:fill="auto"/>
                  <w:vAlign w:val="center"/>
                </w:tcPr>
                <w:p w14:paraId="0EEE9B04">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称重机</w:t>
                  </w:r>
                </w:p>
              </w:tc>
              <w:tc>
                <w:tcPr>
                  <w:tcW w:w="1547" w:type="pct"/>
                  <w:tcBorders>
                    <w:tl2br w:val="nil"/>
                    <w:tr2bl w:val="nil"/>
                  </w:tcBorders>
                  <w:shd w:val="clear" w:color="auto" w:fill="auto"/>
                  <w:tcMar>
                    <w:left w:w="0" w:type="dxa"/>
                    <w:right w:w="0" w:type="dxa"/>
                  </w:tcMar>
                  <w:vAlign w:val="center"/>
                </w:tcPr>
                <w:p w14:paraId="59675D50">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配套定制</w:t>
                  </w:r>
                </w:p>
              </w:tc>
              <w:tc>
                <w:tcPr>
                  <w:tcW w:w="791" w:type="pct"/>
                  <w:tcBorders>
                    <w:tl2br w:val="nil"/>
                    <w:tr2bl w:val="nil"/>
                  </w:tcBorders>
                  <w:shd w:val="clear" w:color="auto" w:fill="auto"/>
                  <w:tcMar>
                    <w:left w:w="0" w:type="dxa"/>
                    <w:right w:w="0" w:type="dxa"/>
                  </w:tcMar>
                  <w:vAlign w:val="center"/>
                </w:tcPr>
                <w:p w14:paraId="52F53D0D">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tcMar>
                    <w:left w:w="0" w:type="dxa"/>
                    <w:right w:w="0" w:type="dxa"/>
                  </w:tcMar>
                  <w:vAlign w:val="center"/>
                </w:tcPr>
                <w:p w14:paraId="06CD3DF9">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p>
              </w:tc>
            </w:tr>
            <w:tr w14:paraId="2AB6E8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tcBorders>
                    <w:tl2br w:val="nil"/>
                    <w:tr2bl w:val="nil"/>
                  </w:tcBorders>
                  <w:shd w:val="clear" w:color="auto" w:fill="auto"/>
                  <w:vAlign w:val="center"/>
                </w:tcPr>
                <w:p w14:paraId="19F2667E">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10</w:t>
                  </w:r>
                </w:p>
              </w:tc>
              <w:tc>
                <w:tcPr>
                  <w:tcW w:w="1387" w:type="pct"/>
                  <w:gridSpan w:val="2"/>
                  <w:tcBorders>
                    <w:tl2br w:val="nil"/>
                    <w:tr2bl w:val="nil"/>
                  </w:tcBorders>
                  <w:shd w:val="clear" w:color="auto" w:fill="auto"/>
                  <w:vAlign w:val="center"/>
                </w:tcPr>
                <w:p w14:paraId="1250193D">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瓶盖连线冷却设备</w:t>
                  </w:r>
                </w:p>
              </w:tc>
              <w:tc>
                <w:tcPr>
                  <w:tcW w:w="1547" w:type="pct"/>
                  <w:tcBorders>
                    <w:tl2br w:val="nil"/>
                    <w:tr2bl w:val="nil"/>
                  </w:tcBorders>
                  <w:shd w:val="clear" w:color="auto" w:fill="auto"/>
                  <w:tcMar>
                    <w:left w:w="0" w:type="dxa"/>
                    <w:right w:w="0" w:type="dxa"/>
                  </w:tcMar>
                  <w:vAlign w:val="center"/>
                </w:tcPr>
                <w:p w14:paraId="0EB2A6D2">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配套定制</w:t>
                  </w:r>
                </w:p>
              </w:tc>
              <w:tc>
                <w:tcPr>
                  <w:tcW w:w="791" w:type="pct"/>
                  <w:tcBorders>
                    <w:tl2br w:val="nil"/>
                    <w:tr2bl w:val="nil"/>
                  </w:tcBorders>
                  <w:shd w:val="clear" w:color="auto" w:fill="auto"/>
                  <w:tcMar>
                    <w:left w:w="0" w:type="dxa"/>
                    <w:right w:w="0" w:type="dxa"/>
                  </w:tcMar>
                  <w:vAlign w:val="center"/>
                </w:tcPr>
                <w:p w14:paraId="0F94DA88">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tcMar>
                    <w:left w:w="0" w:type="dxa"/>
                    <w:right w:w="0" w:type="dxa"/>
                  </w:tcMar>
                  <w:vAlign w:val="center"/>
                </w:tcPr>
                <w:p w14:paraId="6938DD44">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olor w:val="auto"/>
                      <w:highlight w:val="none"/>
                      <w:lang w:val="en-US" w:eastAsia="zh-CN"/>
                    </w:rPr>
                  </w:pPr>
                </w:p>
              </w:tc>
            </w:tr>
            <w:tr w14:paraId="7936BE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tcBorders>
                    <w:tl2br w:val="nil"/>
                    <w:tr2bl w:val="nil"/>
                  </w:tcBorders>
                  <w:shd w:val="clear" w:color="auto" w:fill="auto"/>
                  <w:vAlign w:val="center"/>
                </w:tcPr>
                <w:p w14:paraId="4B8B0102">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11</w:t>
                  </w:r>
                </w:p>
              </w:tc>
              <w:tc>
                <w:tcPr>
                  <w:tcW w:w="1387" w:type="pct"/>
                  <w:gridSpan w:val="2"/>
                  <w:tcBorders>
                    <w:tl2br w:val="nil"/>
                    <w:tr2bl w:val="nil"/>
                  </w:tcBorders>
                  <w:shd w:val="clear" w:color="auto" w:fill="auto"/>
                  <w:vAlign w:val="center"/>
                </w:tcPr>
                <w:p w14:paraId="1EFD123C">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瓶胚机换热机</w:t>
                  </w:r>
                </w:p>
              </w:tc>
              <w:tc>
                <w:tcPr>
                  <w:tcW w:w="1547" w:type="pct"/>
                  <w:tcBorders>
                    <w:tl2br w:val="nil"/>
                    <w:tr2bl w:val="nil"/>
                  </w:tcBorders>
                  <w:shd w:val="clear" w:color="auto" w:fill="auto"/>
                  <w:tcMar>
                    <w:left w:w="0" w:type="dxa"/>
                    <w:right w:w="0" w:type="dxa"/>
                  </w:tcMar>
                  <w:vAlign w:val="center"/>
                </w:tcPr>
                <w:p w14:paraId="14484280">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PBJ80/80-140-Y-1.0</w:t>
                  </w:r>
                </w:p>
              </w:tc>
              <w:tc>
                <w:tcPr>
                  <w:tcW w:w="791" w:type="pct"/>
                  <w:tcBorders>
                    <w:tl2br w:val="nil"/>
                    <w:tr2bl w:val="nil"/>
                  </w:tcBorders>
                  <w:shd w:val="clear" w:color="auto" w:fill="auto"/>
                  <w:tcMar>
                    <w:left w:w="0" w:type="dxa"/>
                    <w:right w:w="0" w:type="dxa"/>
                  </w:tcMar>
                  <w:vAlign w:val="center"/>
                </w:tcPr>
                <w:p w14:paraId="14E921D1">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tcMar>
                    <w:left w:w="0" w:type="dxa"/>
                    <w:right w:w="0" w:type="dxa"/>
                  </w:tcMar>
                  <w:vAlign w:val="center"/>
                </w:tcPr>
                <w:p w14:paraId="38ADA8F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r>
            <w:tr w14:paraId="20C833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tcBorders>
                    <w:tl2br w:val="nil"/>
                    <w:tr2bl w:val="nil"/>
                  </w:tcBorders>
                  <w:shd w:val="clear" w:color="auto" w:fill="auto"/>
                  <w:vAlign w:val="center"/>
                </w:tcPr>
                <w:p w14:paraId="4442A07B">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12</w:t>
                  </w:r>
                </w:p>
              </w:tc>
              <w:tc>
                <w:tcPr>
                  <w:tcW w:w="1387" w:type="pct"/>
                  <w:gridSpan w:val="2"/>
                  <w:tcBorders>
                    <w:tl2br w:val="nil"/>
                    <w:tr2bl w:val="nil"/>
                  </w:tcBorders>
                  <w:shd w:val="clear" w:color="auto" w:fill="auto"/>
                  <w:vAlign w:val="center"/>
                </w:tcPr>
                <w:p w14:paraId="1BAD2E18">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高、低压柜</w:t>
                  </w:r>
                </w:p>
              </w:tc>
              <w:tc>
                <w:tcPr>
                  <w:tcW w:w="1547" w:type="pct"/>
                  <w:tcBorders>
                    <w:tl2br w:val="nil"/>
                    <w:tr2bl w:val="nil"/>
                  </w:tcBorders>
                  <w:shd w:val="clear" w:color="auto" w:fill="auto"/>
                  <w:tcMar>
                    <w:left w:w="0" w:type="dxa"/>
                    <w:right w:w="0" w:type="dxa"/>
                  </w:tcMar>
                  <w:vAlign w:val="center"/>
                </w:tcPr>
                <w:p w14:paraId="403C49C5">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KYN28-12,MNS</w:t>
                  </w:r>
                </w:p>
              </w:tc>
              <w:tc>
                <w:tcPr>
                  <w:tcW w:w="791" w:type="pct"/>
                  <w:tcBorders>
                    <w:tl2br w:val="nil"/>
                    <w:tr2bl w:val="nil"/>
                  </w:tcBorders>
                  <w:shd w:val="clear" w:color="auto" w:fill="auto"/>
                  <w:tcMar>
                    <w:left w:w="0" w:type="dxa"/>
                    <w:right w:w="0" w:type="dxa"/>
                  </w:tcMar>
                  <w:vAlign w:val="center"/>
                </w:tcPr>
                <w:p w14:paraId="344F6F7F">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tcMar>
                    <w:left w:w="0" w:type="dxa"/>
                    <w:right w:w="0" w:type="dxa"/>
                  </w:tcMar>
                  <w:vAlign w:val="center"/>
                </w:tcPr>
                <w:p w14:paraId="2A768B3C">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r>
            <w:tr w14:paraId="288CC9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tcBorders>
                    <w:tl2br w:val="nil"/>
                    <w:tr2bl w:val="nil"/>
                  </w:tcBorders>
                  <w:shd w:val="clear" w:color="auto" w:fill="auto"/>
                  <w:vAlign w:val="center"/>
                </w:tcPr>
                <w:p w14:paraId="17C09591">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13</w:t>
                  </w:r>
                </w:p>
              </w:tc>
              <w:tc>
                <w:tcPr>
                  <w:tcW w:w="1387" w:type="pct"/>
                  <w:gridSpan w:val="2"/>
                  <w:tcBorders>
                    <w:tl2br w:val="nil"/>
                    <w:tr2bl w:val="nil"/>
                  </w:tcBorders>
                  <w:shd w:val="clear" w:color="auto" w:fill="auto"/>
                  <w:vAlign w:val="center"/>
                </w:tcPr>
                <w:p w14:paraId="4460077A">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制盖机</w:t>
                  </w:r>
                </w:p>
              </w:tc>
              <w:tc>
                <w:tcPr>
                  <w:tcW w:w="1547" w:type="pct"/>
                  <w:tcBorders>
                    <w:tl2br w:val="nil"/>
                    <w:tr2bl w:val="nil"/>
                  </w:tcBorders>
                  <w:shd w:val="clear" w:color="auto" w:fill="auto"/>
                  <w:tcMar>
                    <w:left w:w="0" w:type="dxa"/>
                    <w:right w:w="0" w:type="dxa"/>
                  </w:tcMar>
                  <w:vAlign w:val="center"/>
                </w:tcPr>
                <w:p w14:paraId="77AB1100">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CCM48SD</w:t>
                  </w:r>
                </w:p>
              </w:tc>
              <w:tc>
                <w:tcPr>
                  <w:tcW w:w="791" w:type="pct"/>
                  <w:tcBorders>
                    <w:tl2br w:val="nil"/>
                    <w:tr2bl w:val="nil"/>
                  </w:tcBorders>
                  <w:shd w:val="clear" w:color="auto" w:fill="auto"/>
                  <w:tcMar>
                    <w:left w:w="0" w:type="dxa"/>
                    <w:right w:w="0" w:type="dxa"/>
                  </w:tcMar>
                  <w:vAlign w:val="center"/>
                </w:tcPr>
                <w:p w14:paraId="0B6567A7">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tcMar>
                    <w:left w:w="0" w:type="dxa"/>
                    <w:right w:w="0" w:type="dxa"/>
                  </w:tcMar>
                  <w:vAlign w:val="center"/>
                </w:tcPr>
                <w:p w14:paraId="0EBFB25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677B13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tcBorders>
                    <w:tl2br w:val="nil"/>
                    <w:tr2bl w:val="nil"/>
                  </w:tcBorders>
                  <w:shd w:val="clear" w:color="auto" w:fill="auto"/>
                  <w:vAlign w:val="center"/>
                </w:tcPr>
                <w:p w14:paraId="0CAE1EBC">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14</w:t>
                  </w:r>
                </w:p>
              </w:tc>
              <w:tc>
                <w:tcPr>
                  <w:tcW w:w="1387" w:type="pct"/>
                  <w:gridSpan w:val="2"/>
                  <w:tcBorders>
                    <w:tl2br w:val="nil"/>
                    <w:tr2bl w:val="nil"/>
                  </w:tcBorders>
                  <w:shd w:val="clear" w:color="auto" w:fill="auto"/>
                  <w:vAlign w:val="center"/>
                </w:tcPr>
                <w:p w14:paraId="1E6EFAAA">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瓶坯机</w:t>
                  </w:r>
                </w:p>
              </w:tc>
              <w:tc>
                <w:tcPr>
                  <w:tcW w:w="1547" w:type="pct"/>
                  <w:tcBorders>
                    <w:tl2br w:val="nil"/>
                    <w:tr2bl w:val="nil"/>
                  </w:tcBorders>
                  <w:shd w:val="clear" w:color="auto" w:fill="auto"/>
                  <w:tcMar>
                    <w:left w:w="0" w:type="dxa"/>
                    <w:right w:w="0" w:type="dxa"/>
                  </w:tcMar>
                  <w:vAlign w:val="center"/>
                </w:tcPr>
                <w:p w14:paraId="6BC263E3">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成型周期7.7s</w:t>
                  </w:r>
                </w:p>
              </w:tc>
              <w:tc>
                <w:tcPr>
                  <w:tcW w:w="791" w:type="pct"/>
                  <w:tcBorders>
                    <w:tl2br w:val="nil"/>
                    <w:tr2bl w:val="nil"/>
                  </w:tcBorders>
                  <w:shd w:val="clear" w:color="auto" w:fill="auto"/>
                  <w:tcMar>
                    <w:left w:w="0" w:type="dxa"/>
                    <w:right w:w="0" w:type="dxa"/>
                  </w:tcMar>
                  <w:vAlign w:val="center"/>
                </w:tcPr>
                <w:p w14:paraId="5C4862A0">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tcMar>
                    <w:left w:w="0" w:type="dxa"/>
                    <w:right w:w="0" w:type="dxa"/>
                  </w:tcMar>
                  <w:vAlign w:val="center"/>
                </w:tcPr>
                <w:p w14:paraId="22901533">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0A2B34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0" w:type="auto"/>
                  <w:tcBorders>
                    <w:tl2br w:val="nil"/>
                    <w:tr2bl w:val="nil"/>
                  </w:tcBorders>
                  <w:shd w:val="clear" w:color="auto" w:fill="auto"/>
                  <w:vAlign w:val="center"/>
                </w:tcPr>
                <w:p w14:paraId="420EE2B7">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15</w:t>
                  </w:r>
                </w:p>
              </w:tc>
              <w:tc>
                <w:tcPr>
                  <w:tcW w:w="1387" w:type="pct"/>
                  <w:gridSpan w:val="2"/>
                  <w:tcBorders>
                    <w:tl2br w:val="nil"/>
                    <w:tr2bl w:val="nil"/>
                  </w:tcBorders>
                  <w:shd w:val="clear" w:color="auto" w:fill="auto"/>
                  <w:vAlign w:val="center"/>
                </w:tcPr>
                <w:p w14:paraId="4DB6614F">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贴标机</w:t>
                  </w:r>
                </w:p>
              </w:tc>
              <w:tc>
                <w:tcPr>
                  <w:tcW w:w="1547" w:type="pct"/>
                  <w:tcBorders>
                    <w:tl2br w:val="nil"/>
                    <w:tr2bl w:val="nil"/>
                  </w:tcBorders>
                  <w:shd w:val="clear" w:color="auto" w:fill="auto"/>
                  <w:vAlign w:val="center"/>
                </w:tcPr>
                <w:p w14:paraId="29010EE4">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EVODECOSL20/1</w:t>
                  </w:r>
                </w:p>
              </w:tc>
              <w:tc>
                <w:tcPr>
                  <w:tcW w:w="791" w:type="pct"/>
                  <w:tcBorders>
                    <w:tl2br w:val="nil"/>
                    <w:tr2bl w:val="nil"/>
                  </w:tcBorders>
                  <w:shd w:val="clear" w:color="auto" w:fill="auto"/>
                  <w:vAlign w:val="center"/>
                </w:tcPr>
                <w:p w14:paraId="2EF856A4">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2</w:t>
                  </w:r>
                </w:p>
              </w:tc>
              <w:tc>
                <w:tcPr>
                  <w:tcW w:w="854" w:type="pct"/>
                  <w:vMerge w:val="restart"/>
                  <w:tcBorders>
                    <w:tl2br w:val="nil"/>
                    <w:tr2bl w:val="nil"/>
                  </w:tcBorders>
                  <w:shd w:val="clear" w:color="auto" w:fill="auto"/>
                  <w:vAlign w:val="center"/>
                </w:tcPr>
                <w:p w14:paraId="118B531F">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2#厂房</w:t>
                  </w:r>
                </w:p>
              </w:tc>
            </w:tr>
            <w:tr w14:paraId="6F224D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0" w:type="auto"/>
                  <w:tcBorders>
                    <w:tl2br w:val="nil"/>
                    <w:tr2bl w:val="nil"/>
                  </w:tcBorders>
                  <w:shd w:val="clear" w:color="auto" w:fill="auto"/>
                  <w:vAlign w:val="center"/>
                </w:tcPr>
                <w:p w14:paraId="28295DD7">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16</w:t>
                  </w:r>
                </w:p>
              </w:tc>
              <w:tc>
                <w:tcPr>
                  <w:tcW w:w="1387" w:type="pct"/>
                  <w:gridSpan w:val="2"/>
                  <w:tcBorders>
                    <w:tl2br w:val="nil"/>
                    <w:tr2bl w:val="nil"/>
                  </w:tcBorders>
                  <w:shd w:val="clear" w:color="auto" w:fill="auto"/>
                  <w:vAlign w:val="center"/>
                </w:tcPr>
                <w:p w14:paraId="13DC1C05">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双通道膜包机</w:t>
                  </w:r>
                </w:p>
              </w:tc>
              <w:tc>
                <w:tcPr>
                  <w:tcW w:w="1547" w:type="pct"/>
                  <w:tcBorders>
                    <w:tl2br w:val="nil"/>
                    <w:tr2bl w:val="nil"/>
                  </w:tcBorders>
                  <w:shd w:val="clear" w:color="auto" w:fill="auto"/>
                  <w:vAlign w:val="center"/>
                </w:tcPr>
                <w:p w14:paraId="318BFE94">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VegaN70/2C</w:t>
                  </w:r>
                </w:p>
              </w:tc>
              <w:tc>
                <w:tcPr>
                  <w:tcW w:w="791" w:type="pct"/>
                  <w:tcBorders>
                    <w:tl2br w:val="nil"/>
                    <w:tr2bl w:val="nil"/>
                  </w:tcBorders>
                  <w:shd w:val="clear" w:color="auto" w:fill="auto"/>
                  <w:vAlign w:val="center"/>
                </w:tcPr>
                <w:p w14:paraId="56853BBE">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vAlign w:val="center"/>
                </w:tcPr>
                <w:p w14:paraId="7FC8888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676CC7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0" w:type="auto"/>
                  <w:tcBorders>
                    <w:tl2br w:val="nil"/>
                    <w:tr2bl w:val="nil"/>
                  </w:tcBorders>
                  <w:shd w:val="clear" w:color="auto" w:fill="auto"/>
                  <w:vAlign w:val="center"/>
                </w:tcPr>
                <w:p w14:paraId="367D267D">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17</w:t>
                  </w:r>
                </w:p>
              </w:tc>
              <w:tc>
                <w:tcPr>
                  <w:tcW w:w="1387" w:type="pct"/>
                  <w:gridSpan w:val="2"/>
                  <w:tcBorders>
                    <w:tl2br w:val="nil"/>
                    <w:tr2bl w:val="nil"/>
                  </w:tcBorders>
                  <w:shd w:val="clear" w:color="auto" w:fill="auto"/>
                  <w:vAlign w:val="center"/>
                </w:tcPr>
                <w:p w14:paraId="68D0BA63">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低位双通道码垛机</w:t>
                  </w:r>
                </w:p>
              </w:tc>
              <w:tc>
                <w:tcPr>
                  <w:tcW w:w="1547" w:type="pct"/>
                  <w:tcBorders>
                    <w:tl2br w:val="nil"/>
                    <w:tr2bl w:val="nil"/>
                  </w:tcBorders>
                  <w:shd w:val="clear" w:color="auto" w:fill="auto"/>
                  <w:vAlign w:val="center"/>
                </w:tcPr>
                <w:p w14:paraId="09CD5A84">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EvoflexM</w:t>
                  </w:r>
                </w:p>
              </w:tc>
              <w:tc>
                <w:tcPr>
                  <w:tcW w:w="791" w:type="pct"/>
                  <w:tcBorders>
                    <w:tl2br w:val="nil"/>
                    <w:tr2bl w:val="nil"/>
                  </w:tcBorders>
                  <w:shd w:val="clear" w:color="auto" w:fill="auto"/>
                  <w:vAlign w:val="center"/>
                </w:tcPr>
                <w:p w14:paraId="571C7C71">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vAlign w:val="center"/>
                </w:tcPr>
                <w:p w14:paraId="6FE23F9A">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7C0A2B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0" w:type="auto"/>
                  <w:tcBorders>
                    <w:tl2br w:val="nil"/>
                    <w:tr2bl w:val="nil"/>
                  </w:tcBorders>
                  <w:shd w:val="clear" w:color="auto" w:fill="auto"/>
                  <w:vAlign w:val="center"/>
                </w:tcPr>
                <w:p w14:paraId="21839672">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18</w:t>
                  </w:r>
                </w:p>
              </w:tc>
              <w:tc>
                <w:tcPr>
                  <w:tcW w:w="1387" w:type="pct"/>
                  <w:gridSpan w:val="2"/>
                  <w:tcBorders>
                    <w:tl2br w:val="nil"/>
                    <w:tr2bl w:val="nil"/>
                  </w:tcBorders>
                  <w:shd w:val="clear" w:color="auto" w:fill="auto"/>
                  <w:vAlign w:val="center"/>
                </w:tcPr>
                <w:p w14:paraId="0523C18B">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缠膜机</w:t>
                  </w:r>
                </w:p>
              </w:tc>
              <w:tc>
                <w:tcPr>
                  <w:tcW w:w="1547" w:type="pct"/>
                  <w:tcBorders>
                    <w:tl2br w:val="nil"/>
                    <w:tr2bl w:val="nil"/>
                  </w:tcBorders>
                  <w:shd w:val="clear" w:color="auto" w:fill="auto"/>
                  <w:vAlign w:val="center"/>
                </w:tcPr>
                <w:p w14:paraId="64A217B2">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HelixUniversal</w:t>
                  </w:r>
                </w:p>
              </w:tc>
              <w:tc>
                <w:tcPr>
                  <w:tcW w:w="791" w:type="pct"/>
                  <w:tcBorders>
                    <w:tl2br w:val="nil"/>
                    <w:tr2bl w:val="nil"/>
                  </w:tcBorders>
                  <w:shd w:val="clear" w:color="auto" w:fill="auto"/>
                  <w:vAlign w:val="center"/>
                </w:tcPr>
                <w:p w14:paraId="4696EDA9">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vAlign w:val="center"/>
                </w:tcPr>
                <w:p w14:paraId="61F16DEA">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033B01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0" w:type="auto"/>
                  <w:tcBorders>
                    <w:tl2br w:val="nil"/>
                    <w:tr2bl w:val="nil"/>
                  </w:tcBorders>
                  <w:shd w:val="clear" w:color="auto" w:fill="auto"/>
                  <w:vAlign w:val="center"/>
                </w:tcPr>
                <w:p w14:paraId="43012C8E">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19</w:t>
                  </w:r>
                </w:p>
              </w:tc>
              <w:tc>
                <w:tcPr>
                  <w:tcW w:w="1387" w:type="pct"/>
                  <w:gridSpan w:val="2"/>
                  <w:tcBorders>
                    <w:tl2br w:val="nil"/>
                    <w:tr2bl w:val="nil"/>
                  </w:tcBorders>
                  <w:shd w:val="clear" w:color="auto" w:fill="auto"/>
                  <w:vAlign w:val="center"/>
                </w:tcPr>
                <w:p w14:paraId="134D0F7F">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包装机</w:t>
                  </w:r>
                </w:p>
              </w:tc>
              <w:tc>
                <w:tcPr>
                  <w:tcW w:w="1547" w:type="pct"/>
                  <w:tcBorders>
                    <w:tl2br w:val="nil"/>
                    <w:tr2bl w:val="nil"/>
                  </w:tcBorders>
                  <w:shd w:val="clear" w:color="auto" w:fill="auto"/>
                  <w:vAlign w:val="center"/>
                </w:tcPr>
                <w:p w14:paraId="07B2E77B">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配套定制</w:t>
                  </w:r>
                </w:p>
              </w:tc>
              <w:tc>
                <w:tcPr>
                  <w:tcW w:w="791" w:type="pct"/>
                  <w:tcBorders>
                    <w:tl2br w:val="nil"/>
                    <w:tr2bl w:val="nil"/>
                  </w:tcBorders>
                  <w:shd w:val="clear" w:color="auto" w:fill="auto"/>
                  <w:vAlign w:val="center"/>
                </w:tcPr>
                <w:p w14:paraId="4A952359">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vAlign w:val="center"/>
                </w:tcPr>
                <w:p w14:paraId="5BE8C93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5B2CC6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0" w:type="auto"/>
                  <w:tcBorders>
                    <w:tl2br w:val="nil"/>
                    <w:tr2bl w:val="nil"/>
                  </w:tcBorders>
                  <w:shd w:val="clear" w:color="auto" w:fill="auto"/>
                  <w:vAlign w:val="center"/>
                </w:tcPr>
                <w:p w14:paraId="3F7BA841">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20</w:t>
                  </w:r>
                </w:p>
              </w:tc>
              <w:tc>
                <w:tcPr>
                  <w:tcW w:w="1387" w:type="pct"/>
                  <w:gridSpan w:val="2"/>
                  <w:tcBorders>
                    <w:tl2br w:val="nil"/>
                    <w:tr2bl w:val="nil"/>
                  </w:tcBorders>
                  <w:shd w:val="clear" w:color="auto" w:fill="auto"/>
                  <w:vAlign w:val="center"/>
                </w:tcPr>
                <w:p w14:paraId="702FBA5A">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箱输送带</w:t>
                  </w:r>
                </w:p>
              </w:tc>
              <w:tc>
                <w:tcPr>
                  <w:tcW w:w="1547" w:type="pct"/>
                  <w:tcBorders>
                    <w:tl2br w:val="nil"/>
                    <w:tr2bl w:val="nil"/>
                  </w:tcBorders>
                  <w:shd w:val="clear" w:color="auto" w:fill="auto"/>
                  <w:vAlign w:val="center"/>
                </w:tcPr>
                <w:p w14:paraId="21D6894A">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配套定制</w:t>
                  </w:r>
                </w:p>
              </w:tc>
              <w:tc>
                <w:tcPr>
                  <w:tcW w:w="791" w:type="pct"/>
                  <w:tcBorders>
                    <w:tl2br w:val="nil"/>
                    <w:tr2bl w:val="nil"/>
                  </w:tcBorders>
                  <w:shd w:val="clear" w:color="auto" w:fill="auto"/>
                  <w:vAlign w:val="center"/>
                </w:tcPr>
                <w:p w14:paraId="483D9274">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vAlign w:val="center"/>
                </w:tcPr>
                <w:p w14:paraId="359AB852">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58BE57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vMerge w:val="restart"/>
                  <w:tcBorders>
                    <w:tl2br w:val="nil"/>
                    <w:tr2bl w:val="nil"/>
                  </w:tcBorders>
                  <w:shd w:val="clear" w:color="auto" w:fill="auto"/>
                  <w:vAlign w:val="center"/>
                </w:tcPr>
                <w:p w14:paraId="2460D323">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21</w:t>
                  </w:r>
                </w:p>
              </w:tc>
              <w:tc>
                <w:tcPr>
                  <w:tcW w:w="1387" w:type="pct"/>
                  <w:gridSpan w:val="2"/>
                  <w:tcBorders>
                    <w:tl2br w:val="nil"/>
                    <w:tr2bl w:val="nil"/>
                  </w:tcBorders>
                  <w:shd w:val="clear" w:color="auto" w:fill="auto"/>
                  <w:vAlign w:val="center"/>
                </w:tcPr>
                <w:p w14:paraId="731ABCBD">
                  <w:pPr>
                    <w:pStyle w:val="21"/>
                    <w:keepNext w:val="0"/>
                    <w:keepLines w:val="0"/>
                    <w:suppressLineNumbers w:val="0"/>
                    <w:bidi w:val="0"/>
                    <w:spacing w:before="0" w:beforeAutospacing="0" w:after="0" w:afterAutospacing="0"/>
                    <w:ind w:left="0" w:leftChars="0" w:right="0" w:rightChars="0" w:firstLine="0" w:firstLineChars="0"/>
                    <w:rPr>
                      <w:rFonts w:hint="eastAsia"/>
                      <w:color w:val="auto"/>
                      <w:lang w:val="en-US" w:eastAsia="zh-CN"/>
                    </w:rPr>
                  </w:pPr>
                  <w:r>
                    <w:rPr>
                      <w:rFonts w:hint="eastAsia"/>
                      <w:color w:val="auto"/>
                      <w:lang w:val="en-US" w:eastAsia="zh-CN"/>
                    </w:rPr>
                    <w:t>水处理设备</w:t>
                  </w:r>
                </w:p>
              </w:tc>
              <w:tc>
                <w:tcPr>
                  <w:tcW w:w="1547" w:type="pct"/>
                  <w:tcBorders>
                    <w:tl2br w:val="nil"/>
                    <w:tr2bl w:val="nil"/>
                  </w:tcBorders>
                  <w:shd w:val="clear" w:color="auto" w:fill="auto"/>
                  <w:vAlign w:val="center"/>
                </w:tcPr>
                <w:p w14:paraId="6E0EF703">
                  <w:pPr>
                    <w:pStyle w:val="21"/>
                    <w:keepNext w:val="0"/>
                    <w:keepLines w:val="0"/>
                    <w:suppressLineNumbers w:val="0"/>
                    <w:bidi w:val="0"/>
                    <w:spacing w:before="0" w:beforeAutospacing="0" w:after="0" w:afterAutospacing="0"/>
                    <w:ind w:left="0" w:leftChars="0" w:right="0" w:rightChars="0" w:firstLine="0" w:firstLineChars="0"/>
                    <w:rPr>
                      <w:rFonts w:hint="eastAsia" w:eastAsia="宋体"/>
                      <w:color w:val="auto"/>
                      <w:lang w:val="en-US" w:eastAsia="zh-CN"/>
                    </w:rPr>
                  </w:pPr>
                  <w:r>
                    <w:rPr>
                      <w:rFonts w:hint="eastAsia"/>
                      <w:color w:val="auto"/>
                      <w:lang w:val="en-US" w:eastAsia="zh-CN"/>
                    </w:rPr>
                    <w:t>70t/h</w:t>
                  </w:r>
                </w:p>
              </w:tc>
              <w:tc>
                <w:tcPr>
                  <w:tcW w:w="791" w:type="pct"/>
                  <w:tcBorders>
                    <w:tl2br w:val="nil"/>
                    <w:tr2bl w:val="nil"/>
                  </w:tcBorders>
                  <w:shd w:val="clear" w:color="auto" w:fill="auto"/>
                  <w:vAlign w:val="center"/>
                </w:tcPr>
                <w:p w14:paraId="26C73309">
                  <w:pPr>
                    <w:pStyle w:val="21"/>
                    <w:keepNext w:val="0"/>
                    <w:keepLines w:val="0"/>
                    <w:suppressLineNumbers w:val="0"/>
                    <w:bidi w:val="0"/>
                    <w:spacing w:before="0" w:beforeAutospacing="0" w:after="0" w:afterAutospacing="0"/>
                    <w:ind w:left="0" w:leftChars="0" w:right="0" w:rightChars="0" w:firstLine="0" w:firstLineChars="0"/>
                    <w:rPr>
                      <w:rFonts w:hint="default"/>
                      <w:color w:val="auto"/>
                      <w:lang w:val="en-US" w:eastAsia="zh-CN"/>
                    </w:rPr>
                  </w:pPr>
                  <w:r>
                    <w:rPr>
                      <w:rFonts w:hint="eastAsia"/>
                      <w:color w:val="auto"/>
                      <w:lang w:val="en-US" w:eastAsia="zh-CN"/>
                    </w:rPr>
                    <w:t>1</w:t>
                  </w:r>
                </w:p>
              </w:tc>
              <w:tc>
                <w:tcPr>
                  <w:tcW w:w="854" w:type="pct"/>
                  <w:vMerge w:val="restart"/>
                  <w:tcBorders>
                    <w:tl2br w:val="nil"/>
                    <w:tr2bl w:val="nil"/>
                  </w:tcBorders>
                  <w:shd w:val="clear" w:color="auto" w:fill="auto"/>
                  <w:vAlign w:val="center"/>
                </w:tcPr>
                <w:p w14:paraId="0DD962E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纯水间</w:t>
                  </w:r>
                </w:p>
              </w:tc>
            </w:tr>
            <w:tr w14:paraId="10CB43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vMerge w:val="continue"/>
                  <w:tcBorders>
                    <w:tl2br w:val="nil"/>
                    <w:tr2bl w:val="nil"/>
                  </w:tcBorders>
                  <w:shd w:val="clear" w:color="auto" w:fill="auto"/>
                  <w:vAlign w:val="center"/>
                </w:tcPr>
                <w:p w14:paraId="2671C7D3">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c>
                <w:tcPr>
                  <w:tcW w:w="313" w:type="pct"/>
                  <w:vMerge w:val="restart"/>
                  <w:tcBorders>
                    <w:tl2br w:val="nil"/>
                    <w:tr2bl w:val="nil"/>
                  </w:tcBorders>
                  <w:shd w:val="clear" w:color="auto" w:fill="auto"/>
                  <w:vAlign w:val="center"/>
                </w:tcPr>
                <w:p w14:paraId="4D0FC448">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s="Times New Roman"/>
                      <w:color w:val="auto"/>
                      <w:sz w:val="21"/>
                      <w:szCs w:val="24"/>
                      <w:lang w:val="en-US" w:eastAsia="zh-CN" w:bidi="zh-CN"/>
                    </w:rPr>
                    <w:t>其中</w:t>
                  </w:r>
                </w:p>
              </w:tc>
              <w:tc>
                <w:tcPr>
                  <w:tcW w:w="1074" w:type="pct"/>
                  <w:tcBorders>
                    <w:tl2br w:val="nil"/>
                    <w:tr2bl w:val="nil"/>
                  </w:tcBorders>
                  <w:shd w:val="clear" w:color="auto" w:fill="auto"/>
                  <w:vAlign w:val="center"/>
                </w:tcPr>
                <w:p w14:paraId="49ED2789">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一次泵</w:t>
                  </w:r>
                </w:p>
              </w:tc>
              <w:tc>
                <w:tcPr>
                  <w:tcW w:w="1547" w:type="pct"/>
                  <w:tcBorders>
                    <w:tl2br w:val="nil"/>
                    <w:tr2bl w:val="nil"/>
                  </w:tcBorders>
                  <w:shd w:val="clear" w:color="auto" w:fill="auto"/>
                  <w:vAlign w:val="center"/>
                </w:tcPr>
                <w:p w14:paraId="31062144">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SLW150-250</w:t>
                  </w:r>
                </w:p>
              </w:tc>
              <w:tc>
                <w:tcPr>
                  <w:tcW w:w="791" w:type="pct"/>
                  <w:tcBorders>
                    <w:tl2br w:val="nil"/>
                    <w:tr2bl w:val="nil"/>
                  </w:tcBorders>
                  <w:shd w:val="clear" w:color="auto" w:fill="auto"/>
                  <w:vAlign w:val="center"/>
                </w:tcPr>
                <w:p w14:paraId="0D01CA70">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vAlign w:val="center"/>
                </w:tcPr>
                <w:p w14:paraId="10E3B652">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3AA84A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vMerge w:val="continue"/>
                  <w:tcBorders>
                    <w:tl2br w:val="nil"/>
                    <w:tr2bl w:val="nil"/>
                  </w:tcBorders>
                  <w:shd w:val="clear" w:color="auto" w:fill="auto"/>
                  <w:vAlign w:val="center"/>
                </w:tcPr>
                <w:p w14:paraId="057EACDF">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c>
                <w:tcPr>
                  <w:tcW w:w="313" w:type="pct"/>
                  <w:vMerge w:val="continue"/>
                  <w:tcBorders>
                    <w:tl2br w:val="nil"/>
                    <w:tr2bl w:val="nil"/>
                  </w:tcBorders>
                  <w:shd w:val="clear" w:color="auto" w:fill="auto"/>
                  <w:vAlign w:val="center"/>
                </w:tcPr>
                <w:p w14:paraId="72532D04">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p>
              </w:tc>
              <w:tc>
                <w:tcPr>
                  <w:tcW w:w="1074" w:type="pct"/>
                  <w:tcBorders>
                    <w:tl2br w:val="nil"/>
                    <w:tr2bl w:val="nil"/>
                  </w:tcBorders>
                  <w:shd w:val="clear" w:color="auto" w:fill="auto"/>
                  <w:vAlign w:val="center"/>
                </w:tcPr>
                <w:p w14:paraId="5D968A93">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二次泵</w:t>
                  </w:r>
                </w:p>
              </w:tc>
              <w:tc>
                <w:tcPr>
                  <w:tcW w:w="1547" w:type="pct"/>
                  <w:tcBorders>
                    <w:tl2br w:val="nil"/>
                    <w:tr2bl w:val="nil"/>
                  </w:tcBorders>
                  <w:shd w:val="clear" w:color="auto" w:fill="auto"/>
                  <w:vAlign w:val="center"/>
                </w:tcPr>
                <w:p w14:paraId="35EA0314">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120T/h</w:t>
                  </w:r>
                </w:p>
              </w:tc>
              <w:tc>
                <w:tcPr>
                  <w:tcW w:w="791" w:type="pct"/>
                  <w:tcBorders>
                    <w:tl2br w:val="nil"/>
                    <w:tr2bl w:val="nil"/>
                  </w:tcBorders>
                  <w:shd w:val="clear" w:color="auto" w:fill="auto"/>
                  <w:vAlign w:val="center"/>
                </w:tcPr>
                <w:p w14:paraId="5134D6E6">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vAlign w:val="center"/>
                </w:tcPr>
                <w:p w14:paraId="31577AA3">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01E4BB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vMerge w:val="continue"/>
                  <w:tcBorders>
                    <w:tl2br w:val="nil"/>
                    <w:tr2bl w:val="nil"/>
                  </w:tcBorders>
                  <w:shd w:val="clear" w:color="auto" w:fill="auto"/>
                  <w:vAlign w:val="center"/>
                </w:tcPr>
                <w:p w14:paraId="4BEC0AC8">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c>
                <w:tcPr>
                  <w:tcW w:w="313" w:type="pct"/>
                  <w:vMerge w:val="continue"/>
                  <w:tcBorders>
                    <w:tl2br w:val="nil"/>
                    <w:tr2bl w:val="nil"/>
                  </w:tcBorders>
                  <w:shd w:val="clear" w:color="auto" w:fill="auto"/>
                  <w:vAlign w:val="center"/>
                </w:tcPr>
                <w:p w14:paraId="2C1A241F">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p>
              </w:tc>
              <w:tc>
                <w:tcPr>
                  <w:tcW w:w="1074" w:type="pct"/>
                  <w:tcBorders>
                    <w:tl2br w:val="nil"/>
                    <w:tr2bl w:val="nil"/>
                  </w:tcBorders>
                  <w:shd w:val="clear" w:color="auto" w:fill="auto"/>
                  <w:vAlign w:val="center"/>
                </w:tcPr>
                <w:p w14:paraId="2169B83D">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二次泵</w:t>
                  </w:r>
                </w:p>
              </w:tc>
              <w:tc>
                <w:tcPr>
                  <w:tcW w:w="1547" w:type="pct"/>
                  <w:tcBorders>
                    <w:tl2br w:val="nil"/>
                    <w:tr2bl w:val="nil"/>
                  </w:tcBorders>
                  <w:shd w:val="clear" w:color="auto" w:fill="auto"/>
                  <w:vAlign w:val="center"/>
                </w:tcPr>
                <w:p w14:paraId="7F57DB06">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150T/h</w:t>
                  </w:r>
                </w:p>
              </w:tc>
              <w:tc>
                <w:tcPr>
                  <w:tcW w:w="791" w:type="pct"/>
                  <w:tcBorders>
                    <w:tl2br w:val="nil"/>
                    <w:tr2bl w:val="nil"/>
                  </w:tcBorders>
                  <w:shd w:val="clear" w:color="auto" w:fill="auto"/>
                  <w:vAlign w:val="center"/>
                </w:tcPr>
                <w:p w14:paraId="70E8AE5C">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vAlign w:val="center"/>
                </w:tcPr>
                <w:p w14:paraId="70D68C6D">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631CD0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vMerge w:val="continue"/>
                  <w:tcBorders>
                    <w:tl2br w:val="nil"/>
                    <w:tr2bl w:val="nil"/>
                  </w:tcBorders>
                  <w:shd w:val="clear" w:color="auto" w:fill="auto"/>
                  <w:vAlign w:val="center"/>
                </w:tcPr>
                <w:p w14:paraId="17B9420D">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c>
                <w:tcPr>
                  <w:tcW w:w="313" w:type="pct"/>
                  <w:vMerge w:val="continue"/>
                  <w:tcBorders>
                    <w:tl2br w:val="nil"/>
                    <w:tr2bl w:val="nil"/>
                  </w:tcBorders>
                  <w:shd w:val="clear" w:color="auto" w:fill="auto"/>
                  <w:vAlign w:val="center"/>
                </w:tcPr>
                <w:p w14:paraId="2F025BAC">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p>
              </w:tc>
              <w:tc>
                <w:tcPr>
                  <w:tcW w:w="1074" w:type="pct"/>
                  <w:tcBorders>
                    <w:tl2br w:val="nil"/>
                    <w:tr2bl w:val="nil"/>
                  </w:tcBorders>
                  <w:shd w:val="clear" w:color="auto" w:fill="auto"/>
                  <w:vAlign w:val="center"/>
                </w:tcPr>
                <w:p w14:paraId="61348915">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高压机组</w:t>
                  </w:r>
                </w:p>
              </w:tc>
              <w:tc>
                <w:tcPr>
                  <w:tcW w:w="1547" w:type="pct"/>
                  <w:tcBorders>
                    <w:tl2br w:val="nil"/>
                    <w:tr2bl w:val="nil"/>
                  </w:tcBorders>
                  <w:shd w:val="clear" w:color="auto" w:fill="auto"/>
                  <w:vAlign w:val="center"/>
                </w:tcPr>
                <w:p w14:paraId="28F86445">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配套定制</w:t>
                  </w:r>
                </w:p>
              </w:tc>
              <w:tc>
                <w:tcPr>
                  <w:tcW w:w="791" w:type="pct"/>
                  <w:tcBorders>
                    <w:tl2br w:val="nil"/>
                    <w:tr2bl w:val="nil"/>
                  </w:tcBorders>
                  <w:shd w:val="clear" w:color="auto" w:fill="auto"/>
                  <w:vAlign w:val="center"/>
                </w:tcPr>
                <w:p w14:paraId="56062147">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vAlign w:val="center"/>
                </w:tcPr>
                <w:p w14:paraId="791511EB">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55E142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vMerge w:val="continue"/>
                  <w:tcBorders>
                    <w:tl2br w:val="nil"/>
                    <w:tr2bl w:val="nil"/>
                  </w:tcBorders>
                  <w:shd w:val="clear" w:color="auto" w:fill="auto"/>
                  <w:vAlign w:val="center"/>
                </w:tcPr>
                <w:p w14:paraId="16C2730A">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c>
                <w:tcPr>
                  <w:tcW w:w="313" w:type="pct"/>
                  <w:vMerge w:val="continue"/>
                  <w:tcBorders>
                    <w:tl2br w:val="nil"/>
                    <w:tr2bl w:val="nil"/>
                  </w:tcBorders>
                  <w:shd w:val="clear" w:color="auto" w:fill="auto"/>
                  <w:vAlign w:val="center"/>
                </w:tcPr>
                <w:p w14:paraId="0CE34371">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p>
              </w:tc>
              <w:tc>
                <w:tcPr>
                  <w:tcW w:w="1074" w:type="pct"/>
                  <w:tcBorders>
                    <w:tl2br w:val="nil"/>
                    <w:tr2bl w:val="nil"/>
                  </w:tcBorders>
                  <w:shd w:val="clear" w:color="auto" w:fill="auto"/>
                  <w:vAlign w:val="center"/>
                </w:tcPr>
                <w:p w14:paraId="0453F9CE">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低压机组</w:t>
                  </w:r>
                </w:p>
              </w:tc>
              <w:tc>
                <w:tcPr>
                  <w:tcW w:w="1547" w:type="pct"/>
                  <w:tcBorders>
                    <w:tl2br w:val="nil"/>
                    <w:tr2bl w:val="nil"/>
                  </w:tcBorders>
                  <w:shd w:val="clear" w:color="auto" w:fill="auto"/>
                  <w:vAlign w:val="center"/>
                </w:tcPr>
                <w:p w14:paraId="4FD57B3B">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ZR275</w:t>
                  </w:r>
                </w:p>
              </w:tc>
              <w:tc>
                <w:tcPr>
                  <w:tcW w:w="791" w:type="pct"/>
                  <w:tcBorders>
                    <w:tl2br w:val="nil"/>
                    <w:tr2bl w:val="nil"/>
                  </w:tcBorders>
                  <w:shd w:val="clear" w:color="auto" w:fill="auto"/>
                  <w:vAlign w:val="center"/>
                </w:tcPr>
                <w:p w14:paraId="2C6745DE">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vAlign w:val="center"/>
                </w:tcPr>
                <w:p w14:paraId="2A4BE02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65F97A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vMerge w:val="continue"/>
                  <w:tcBorders>
                    <w:tl2br w:val="nil"/>
                    <w:tr2bl w:val="nil"/>
                  </w:tcBorders>
                  <w:shd w:val="clear" w:color="auto" w:fill="auto"/>
                  <w:vAlign w:val="center"/>
                </w:tcPr>
                <w:p w14:paraId="52ACD123">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c>
                <w:tcPr>
                  <w:tcW w:w="313" w:type="pct"/>
                  <w:vMerge w:val="continue"/>
                  <w:tcBorders>
                    <w:tl2br w:val="nil"/>
                    <w:tr2bl w:val="nil"/>
                  </w:tcBorders>
                  <w:shd w:val="clear" w:color="auto" w:fill="auto"/>
                  <w:vAlign w:val="center"/>
                </w:tcPr>
                <w:p w14:paraId="1660B5A5">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p>
              </w:tc>
              <w:tc>
                <w:tcPr>
                  <w:tcW w:w="1074" w:type="pct"/>
                  <w:tcBorders>
                    <w:tl2br w:val="nil"/>
                    <w:tr2bl w:val="nil"/>
                  </w:tcBorders>
                  <w:shd w:val="clear" w:color="auto" w:fill="auto"/>
                  <w:vAlign w:val="center"/>
                </w:tcPr>
                <w:p w14:paraId="68A709D1">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空压机</w:t>
                  </w:r>
                </w:p>
              </w:tc>
              <w:tc>
                <w:tcPr>
                  <w:tcW w:w="1547" w:type="pct"/>
                  <w:tcBorders>
                    <w:tl2br w:val="nil"/>
                    <w:tr2bl w:val="nil"/>
                  </w:tcBorders>
                  <w:shd w:val="clear" w:color="auto" w:fill="auto"/>
                  <w:vAlign w:val="center"/>
                </w:tcPr>
                <w:p w14:paraId="3E69804B">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vertAlign w:val="baseline"/>
                      <w:lang w:val="en-US" w:eastAsia="zh-CN" w:bidi="zh-CN"/>
                    </w:rPr>
                  </w:pPr>
                  <w:r>
                    <w:rPr>
                      <w:rFonts w:hint="eastAsia"/>
                      <w:color w:val="auto"/>
                      <w:lang w:val="en-US" w:eastAsia="zh-CN"/>
                    </w:rPr>
                    <w:t>7m</w:t>
                  </w:r>
                  <w:r>
                    <w:rPr>
                      <w:rFonts w:hint="eastAsia"/>
                      <w:color w:val="auto"/>
                      <w:vertAlign w:val="superscript"/>
                      <w:lang w:val="en-US" w:eastAsia="zh-CN"/>
                    </w:rPr>
                    <w:t>3</w:t>
                  </w:r>
                  <w:r>
                    <w:rPr>
                      <w:rFonts w:hint="eastAsia"/>
                      <w:color w:val="auto"/>
                      <w:vertAlign w:val="baseline"/>
                      <w:lang w:val="en-US" w:eastAsia="zh-CN"/>
                    </w:rPr>
                    <w:t>/min</w:t>
                  </w:r>
                </w:p>
              </w:tc>
              <w:tc>
                <w:tcPr>
                  <w:tcW w:w="791" w:type="pct"/>
                  <w:tcBorders>
                    <w:tl2br w:val="nil"/>
                    <w:tr2bl w:val="nil"/>
                  </w:tcBorders>
                  <w:shd w:val="clear" w:color="auto" w:fill="auto"/>
                  <w:vAlign w:val="center"/>
                </w:tcPr>
                <w:p w14:paraId="4234F914">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vAlign w:val="center"/>
                </w:tcPr>
                <w:p w14:paraId="2F3B8F8D">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72CABA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vMerge w:val="continue"/>
                  <w:tcBorders>
                    <w:tl2br w:val="nil"/>
                    <w:tr2bl w:val="nil"/>
                  </w:tcBorders>
                  <w:shd w:val="clear" w:color="auto" w:fill="auto"/>
                  <w:vAlign w:val="center"/>
                </w:tcPr>
                <w:p w14:paraId="526EFFD5">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c>
                <w:tcPr>
                  <w:tcW w:w="313" w:type="pct"/>
                  <w:vMerge w:val="continue"/>
                  <w:tcBorders>
                    <w:tl2br w:val="nil"/>
                    <w:tr2bl w:val="nil"/>
                  </w:tcBorders>
                  <w:shd w:val="clear" w:color="auto" w:fill="auto"/>
                  <w:vAlign w:val="center"/>
                </w:tcPr>
                <w:p w14:paraId="521481DA">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p>
              </w:tc>
              <w:tc>
                <w:tcPr>
                  <w:tcW w:w="1074" w:type="pct"/>
                  <w:tcBorders>
                    <w:tl2br w:val="nil"/>
                    <w:tr2bl w:val="nil"/>
                  </w:tcBorders>
                  <w:shd w:val="clear" w:color="auto" w:fill="auto"/>
                  <w:vAlign w:val="center"/>
                </w:tcPr>
                <w:p w14:paraId="6409F46F">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纯氧制备机</w:t>
                  </w:r>
                </w:p>
              </w:tc>
              <w:tc>
                <w:tcPr>
                  <w:tcW w:w="1547" w:type="pct"/>
                  <w:tcBorders>
                    <w:tl2br w:val="nil"/>
                    <w:tr2bl w:val="nil"/>
                  </w:tcBorders>
                  <w:shd w:val="clear" w:color="auto" w:fill="auto"/>
                  <w:vAlign w:val="center"/>
                </w:tcPr>
                <w:p w14:paraId="0B56F356">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10kg/h</w:t>
                  </w:r>
                </w:p>
              </w:tc>
              <w:tc>
                <w:tcPr>
                  <w:tcW w:w="791" w:type="pct"/>
                  <w:tcBorders>
                    <w:tl2br w:val="nil"/>
                    <w:tr2bl w:val="nil"/>
                  </w:tcBorders>
                  <w:shd w:val="clear" w:color="auto" w:fill="auto"/>
                  <w:vAlign w:val="center"/>
                </w:tcPr>
                <w:p w14:paraId="0BC26D3E">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vAlign w:val="center"/>
                </w:tcPr>
                <w:p w14:paraId="1C12293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0BD3D9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vMerge w:val="continue"/>
                  <w:tcBorders>
                    <w:tl2br w:val="nil"/>
                    <w:tr2bl w:val="nil"/>
                  </w:tcBorders>
                  <w:shd w:val="clear" w:color="auto" w:fill="auto"/>
                  <w:vAlign w:val="center"/>
                </w:tcPr>
                <w:p w14:paraId="481B28DB">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c>
                <w:tcPr>
                  <w:tcW w:w="313" w:type="pct"/>
                  <w:vMerge w:val="continue"/>
                  <w:tcBorders>
                    <w:tl2br w:val="nil"/>
                    <w:tr2bl w:val="nil"/>
                  </w:tcBorders>
                  <w:shd w:val="clear" w:color="auto" w:fill="auto"/>
                  <w:vAlign w:val="center"/>
                </w:tcPr>
                <w:p w14:paraId="4D087057">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p>
              </w:tc>
              <w:tc>
                <w:tcPr>
                  <w:tcW w:w="1074" w:type="pct"/>
                  <w:tcBorders>
                    <w:tl2br w:val="nil"/>
                    <w:tr2bl w:val="nil"/>
                  </w:tcBorders>
                  <w:shd w:val="clear" w:color="auto" w:fill="auto"/>
                  <w:vAlign w:val="center"/>
                </w:tcPr>
                <w:p w14:paraId="68432BE9">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臭氧发生器</w:t>
                  </w:r>
                </w:p>
              </w:tc>
              <w:tc>
                <w:tcPr>
                  <w:tcW w:w="1547" w:type="pct"/>
                  <w:tcBorders>
                    <w:tl2br w:val="nil"/>
                    <w:tr2bl w:val="nil"/>
                  </w:tcBorders>
                  <w:shd w:val="clear" w:color="auto" w:fill="auto"/>
                  <w:vAlign w:val="center"/>
                </w:tcPr>
                <w:p w14:paraId="446CAD1E">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1000g/h</w:t>
                  </w:r>
                </w:p>
              </w:tc>
              <w:tc>
                <w:tcPr>
                  <w:tcW w:w="791" w:type="pct"/>
                  <w:tcBorders>
                    <w:tl2br w:val="nil"/>
                    <w:tr2bl w:val="nil"/>
                  </w:tcBorders>
                  <w:shd w:val="clear" w:color="auto" w:fill="auto"/>
                  <w:vAlign w:val="center"/>
                </w:tcPr>
                <w:p w14:paraId="37C39C1B">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vAlign w:val="center"/>
                </w:tcPr>
                <w:p w14:paraId="70814CDE">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7E3626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vMerge w:val="continue"/>
                  <w:tcBorders>
                    <w:tl2br w:val="nil"/>
                    <w:tr2bl w:val="nil"/>
                  </w:tcBorders>
                  <w:shd w:val="clear" w:color="auto" w:fill="auto"/>
                  <w:vAlign w:val="center"/>
                </w:tcPr>
                <w:p w14:paraId="18B660B8">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c>
                <w:tcPr>
                  <w:tcW w:w="313" w:type="pct"/>
                  <w:vMerge w:val="continue"/>
                  <w:tcBorders>
                    <w:tl2br w:val="nil"/>
                    <w:tr2bl w:val="nil"/>
                  </w:tcBorders>
                  <w:shd w:val="clear" w:color="auto" w:fill="auto"/>
                  <w:vAlign w:val="center"/>
                </w:tcPr>
                <w:p w14:paraId="2F96C75A">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p>
              </w:tc>
              <w:tc>
                <w:tcPr>
                  <w:tcW w:w="1074" w:type="pct"/>
                  <w:tcBorders>
                    <w:tl2br w:val="nil"/>
                    <w:tr2bl w:val="nil"/>
                  </w:tcBorders>
                  <w:shd w:val="clear" w:color="auto" w:fill="auto"/>
                  <w:vAlign w:val="center"/>
                </w:tcPr>
                <w:p w14:paraId="38FA8768">
                  <w:pPr>
                    <w:pStyle w:val="21"/>
                    <w:keepNext w:val="0"/>
                    <w:keepLines w:val="0"/>
                    <w:suppressLineNumbers w:val="0"/>
                    <w:bidi w:val="0"/>
                    <w:spacing w:before="0" w:beforeAutospacing="0" w:after="0" w:afterAutospacing="0"/>
                    <w:ind w:left="0" w:leftChars="0" w:right="0" w:rightChars="0" w:firstLine="0" w:firstLineChars="0"/>
                    <w:rPr>
                      <w:rFonts w:hint="default"/>
                      <w:color w:val="auto"/>
                      <w:lang w:val="en-US" w:eastAsia="zh-CN"/>
                    </w:rPr>
                  </w:pPr>
                  <w:r>
                    <w:rPr>
                      <w:rFonts w:hint="eastAsia"/>
                      <w:color w:val="auto"/>
                      <w:lang w:val="en-US" w:eastAsia="zh-CN"/>
                    </w:rPr>
                    <w:t>叠片过滤器</w:t>
                  </w:r>
                </w:p>
              </w:tc>
              <w:tc>
                <w:tcPr>
                  <w:tcW w:w="1547" w:type="pct"/>
                  <w:tcBorders>
                    <w:tl2br w:val="nil"/>
                    <w:tr2bl w:val="nil"/>
                  </w:tcBorders>
                  <w:shd w:val="clear" w:color="auto" w:fill="auto"/>
                  <w:vAlign w:val="center"/>
                </w:tcPr>
                <w:p w14:paraId="2635560D">
                  <w:pPr>
                    <w:pStyle w:val="21"/>
                    <w:keepNext w:val="0"/>
                    <w:keepLines w:val="0"/>
                    <w:suppressLineNumbers w:val="0"/>
                    <w:bidi w:val="0"/>
                    <w:spacing w:before="0" w:beforeAutospacing="0" w:after="0" w:afterAutospacing="0"/>
                    <w:ind w:left="0" w:leftChars="0" w:right="0" w:rightChars="0" w:firstLine="0" w:firstLineChars="0"/>
                    <w:rPr>
                      <w:rFonts w:hint="default"/>
                      <w:color w:val="auto"/>
                      <w:lang w:val="en-US" w:eastAsia="zh-CN"/>
                    </w:rPr>
                  </w:pPr>
                  <w:r>
                    <w:rPr>
                      <w:rFonts w:hint="eastAsia"/>
                      <w:color w:val="auto"/>
                      <w:lang w:val="en-US" w:eastAsia="zh-CN"/>
                    </w:rPr>
                    <w:t>120t/h</w:t>
                  </w:r>
                </w:p>
              </w:tc>
              <w:tc>
                <w:tcPr>
                  <w:tcW w:w="791" w:type="pct"/>
                  <w:tcBorders>
                    <w:tl2br w:val="nil"/>
                    <w:tr2bl w:val="nil"/>
                  </w:tcBorders>
                  <w:shd w:val="clear" w:color="auto" w:fill="auto"/>
                  <w:vAlign w:val="center"/>
                </w:tcPr>
                <w:p w14:paraId="012F80A9">
                  <w:pPr>
                    <w:pStyle w:val="21"/>
                    <w:keepNext w:val="0"/>
                    <w:keepLines w:val="0"/>
                    <w:suppressLineNumbers w:val="0"/>
                    <w:bidi w:val="0"/>
                    <w:spacing w:before="0" w:beforeAutospacing="0" w:after="0" w:afterAutospacing="0"/>
                    <w:ind w:left="0" w:leftChars="0" w:right="0" w:rightChars="0" w:firstLine="0" w:firstLineChars="0"/>
                    <w:rPr>
                      <w:rFonts w:hint="default"/>
                      <w:color w:val="auto"/>
                      <w:lang w:val="en-US" w:eastAsia="zh-CN"/>
                    </w:rPr>
                  </w:pPr>
                  <w:r>
                    <w:rPr>
                      <w:rFonts w:hint="eastAsia"/>
                      <w:color w:val="auto"/>
                      <w:lang w:val="en-US" w:eastAsia="zh-CN"/>
                    </w:rPr>
                    <w:t>1</w:t>
                  </w:r>
                </w:p>
              </w:tc>
              <w:tc>
                <w:tcPr>
                  <w:tcW w:w="854" w:type="pct"/>
                  <w:vMerge w:val="continue"/>
                  <w:tcBorders>
                    <w:tl2br w:val="nil"/>
                    <w:tr2bl w:val="nil"/>
                  </w:tcBorders>
                  <w:shd w:val="clear" w:color="auto" w:fill="auto"/>
                  <w:vAlign w:val="center"/>
                </w:tcPr>
                <w:p w14:paraId="2AADF3A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53ECDF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vMerge w:val="continue"/>
                  <w:tcBorders>
                    <w:tl2br w:val="nil"/>
                    <w:tr2bl w:val="nil"/>
                  </w:tcBorders>
                  <w:shd w:val="clear" w:color="auto" w:fill="auto"/>
                  <w:vAlign w:val="center"/>
                </w:tcPr>
                <w:p w14:paraId="443299AB">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c>
                <w:tcPr>
                  <w:tcW w:w="313" w:type="pct"/>
                  <w:vMerge w:val="continue"/>
                  <w:tcBorders>
                    <w:tl2br w:val="nil"/>
                    <w:tr2bl w:val="nil"/>
                  </w:tcBorders>
                  <w:shd w:val="clear" w:color="auto" w:fill="auto"/>
                  <w:vAlign w:val="center"/>
                </w:tcPr>
                <w:p w14:paraId="07B6AC27">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p>
              </w:tc>
              <w:tc>
                <w:tcPr>
                  <w:tcW w:w="1074" w:type="pct"/>
                  <w:tcBorders>
                    <w:tl2br w:val="nil"/>
                    <w:tr2bl w:val="nil"/>
                  </w:tcBorders>
                  <w:shd w:val="clear" w:color="auto" w:fill="auto"/>
                  <w:vAlign w:val="center"/>
                </w:tcPr>
                <w:p w14:paraId="6E94FC9F">
                  <w:pPr>
                    <w:pStyle w:val="21"/>
                    <w:keepNext w:val="0"/>
                    <w:keepLines w:val="0"/>
                    <w:suppressLineNumbers w:val="0"/>
                    <w:bidi w:val="0"/>
                    <w:spacing w:before="0" w:beforeAutospacing="0" w:after="0" w:afterAutospacing="0"/>
                    <w:ind w:left="0" w:leftChars="0" w:right="0" w:rightChars="0" w:firstLine="0" w:firstLineChars="0"/>
                    <w:rPr>
                      <w:rFonts w:hint="default"/>
                      <w:color w:val="auto"/>
                      <w:lang w:val="en-US" w:eastAsia="zh-CN"/>
                    </w:rPr>
                  </w:pPr>
                  <w:r>
                    <w:rPr>
                      <w:rFonts w:hint="eastAsia"/>
                      <w:color w:val="auto"/>
                      <w:lang w:val="en-US" w:eastAsia="zh-CN"/>
                    </w:rPr>
                    <w:t>活性炭过滤器</w:t>
                  </w:r>
                </w:p>
              </w:tc>
              <w:tc>
                <w:tcPr>
                  <w:tcW w:w="1547" w:type="pct"/>
                  <w:tcBorders>
                    <w:tl2br w:val="nil"/>
                    <w:tr2bl w:val="nil"/>
                  </w:tcBorders>
                  <w:shd w:val="clear" w:color="auto" w:fill="auto"/>
                  <w:vAlign w:val="center"/>
                </w:tcPr>
                <w:p w14:paraId="1B17CE72">
                  <w:pPr>
                    <w:pStyle w:val="21"/>
                    <w:keepNext w:val="0"/>
                    <w:keepLines w:val="0"/>
                    <w:suppressLineNumbers w:val="0"/>
                    <w:bidi w:val="0"/>
                    <w:spacing w:before="0" w:beforeAutospacing="0" w:after="0" w:afterAutospacing="0"/>
                    <w:ind w:left="0" w:leftChars="0" w:right="0" w:rightChars="0" w:firstLine="0" w:firstLineChars="0"/>
                    <w:rPr>
                      <w:rFonts w:hint="default"/>
                      <w:color w:val="auto"/>
                      <w:lang w:val="en-US" w:eastAsia="zh-CN"/>
                    </w:rPr>
                  </w:pPr>
                  <w:r>
                    <w:rPr>
                      <w:rFonts w:hint="eastAsia"/>
                      <w:color w:val="auto"/>
                      <w:lang w:val="en-US" w:eastAsia="zh-CN"/>
                    </w:rPr>
                    <w:t>/</w:t>
                  </w:r>
                </w:p>
              </w:tc>
              <w:tc>
                <w:tcPr>
                  <w:tcW w:w="791" w:type="pct"/>
                  <w:tcBorders>
                    <w:tl2br w:val="nil"/>
                    <w:tr2bl w:val="nil"/>
                  </w:tcBorders>
                  <w:shd w:val="clear" w:color="auto" w:fill="auto"/>
                  <w:vAlign w:val="center"/>
                </w:tcPr>
                <w:p w14:paraId="5DA6D262">
                  <w:pPr>
                    <w:pStyle w:val="21"/>
                    <w:keepNext w:val="0"/>
                    <w:keepLines w:val="0"/>
                    <w:suppressLineNumbers w:val="0"/>
                    <w:bidi w:val="0"/>
                    <w:spacing w:before="0" w:beforeAutospacing="0" w:after="0" w:afterAutospacing="0"/>
                    <w:ind w:left="0" w:leftChars="0" w:right="0" w:rightChars="0" w:firstLine="0" w:firstLineChars="0"/>
                    <w:rPr>
                      <w:rFonts w:hint="default"/>
                      <w:color w:val="auto"/>
                      <w:lang w:val="en-US" w:eastAsia="zh-CN"/>
                    </w:rPr>
                  </w:pPr>
                  <w:r>
                    <w:rPr>
                      <w:rFonts w:hint="eastAsia"/>
                      <w:color w:val="auto"/>
                      <w:lang w:val="en-US" w:eastAsia="zh-CN"/>
                    </w:rPr>
                    <w:t>3</w:t>
                  </w:r>
                </w:p>
              </w:tc>
              <w:tc>
                <w:tcPr>
                  <w:tcW w:w="854" w:type="pct"/>
                  <w:vMerge w:val="continue"/>
                  <w:tcBorders>
                    <w:tl2br w:val="nil"/>
                    <w:tr2bl w:val="nil"/>
                  </w:tcBorders>
                  <w:shd w:val="clear" w:color="auto" w:fill="auto"/>
                  <w:vAlign w:val="center"/>
                </w:tcPr>
                <w:p w14:paraId="786BD465">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7EAC7B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vMerge w:val="continue"/>
                  <w:tcBorders>
                    <w:tl2br w:val="nil"/>
                    <w:tr2bl w:val="nil"/>
                  </w:tcBorders>
                  <w:shd w:val="clear" w:color="auto" w:fill="auto"/>
                  <w:vAlign w:val="center"/>
                </w:tcPr>
                <w:p w14:paraId="4F971365">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c>
                <w:tcPr>
                  <w:tcW w:w="313" w:type="pct"/>
                  <w:vMerge w:val="continue"/>
                  <w:tcBorders>
                    <w:tl2br w:val="nil"/>
                    <w:tr2bl w:val="nil"/>
                  </w:tcBorders>
                  <w:shd w:val="clear" w:color="auto" w:fill="auto"/>
                  <w:vAlign w:val="center"/>
                </w:tcPr>
                <w:p w14:paraId="735D70B9">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p>
              </w:tc>
              <w:tc>
                <w:tcPr>
                  <w:tcW w:w="1074" w:type="pct"/>
                  <w:tcBorders>
                    <w:tl2br w:val="nil"/>
                    <w:tr2bl w:val="nil"/>
                  </w:tcBorders>
                  <w:shd w:val="clear" w:color="auto" w:fill="auto"/>
                  <w:vAlign w:val="center"/>
                </w:tcPr>
                <w:p w14:paraId="0724F395">
                  <w:pPr>
                    <w:pStyle w:val="21"/>
                    <w:keepNext w:val="0"/>
                    <w:keepLines w:val="0"/>
                    <w:suppressLineNumbers w:val="0"/>
                    <w:bidi w:val="0"/>
                    <w:spacing w:before="0" w:beforeAutospacing="0" w:after="0" w:afterAutospacing="0"/>
                    <w:ind w:left="0" w:leftChars="0" w:right="0" w:rightChars="0" w:firstLine="0" w:firstLineChars="0"/>
                    <w:rPr>
                      <w:rFonts w:hint="default"/>
                      <w:color w:val="auto"/>
                      <w:lang w:val="en-US" w:eastAsia="zh-CN"/>
                    </w:rPr>
                  </w:pPr>
                  <w:r>
                    <w:rPr>
                      <w:rFonts w:hint="eastAsia"/>
                      <w:color w:val="auto"/>
                      <w:lang w:val="en-US" w:eastAsia="zh-CN"/>
                    </w:rPr>
                    <w:t>一级反渗透设施</w:t>
                  </w:r>
                </w:p>
              </w:tc>
              <w:tc>
                <w:tcPr>
                  <w:tcW w:w="1547" w:type="pct"/>
                  <w:tcBorders>
                    <w:tl2br w:val="nil"/>
                    <w:tr2bl w:val="nil"/>
                  </w:tcBorders>
                  <w:shd w:val="clear" w:color="auto" w:fill="auto"/>
                  <w:vAlign w:val="center"/>
                </w:tcPr>
                <w:p w14:paraId="0C0F0665">
                  <w:pPr>
                    <w:pStyle w:val="21"/>
                    <w:keepNext w:val="0"/>
                    <w:keepLines w:val="0"/>
                    <w:suppressLineNumbers w:val="0"/>
                    <w:bidi w:val="0"/>
                    <w:spacing w:before="0" w:beforeAutospacing="0" w:after="0" w:afterAutospacing="0"/>
                    <w:ind w:left="0" w:leftChars="0" w:right="0" w:rightChars="0" w:firstLine="0" w:firstLineChars="0"/>
                    <w:rPr>
                      <w:rFonts w:hint="default"/>
                      <w:color w:val="auto"/>
                      <w:lang w:val="en-US" w:eastAsia="zh-CN"/>
                    </w:rPr>
                  </w:pPr>
                  <w:r>
                    <w:rPr>
                      <w:rFonts w:hint="eastAsia"/>
                      <w:color w:val="auto"/>
                      <w:lang w:val="en-US" w:eastAsia="zh-CN"/>
                    </w:rPr>
                    <w:t>90t/h</w:t>
                  </w:r>
                </w:p>
              </w:tc>
              <w:tc>
                <w:tcPr>
                  <w:tcW w:w="791" w:type="pct"/>
                  <w:tcBorders>
                    <w:tl2br w:val="nil"/>
                    <w:tr2bl w:val="nil"/>
                  </w:tcBorders>
                  <w:shd w:val="clear" w:color="auto" w:fill="auto"/>
                  <w:vAlign w:val="center"/>
                </w:tcPr>
                <w:p w14:paraId="0B19928B">
                  <w:pPr>
                    <w:pStyle w:val="21"/>
                    <w:keepNext w:val="0"/>
                    <w:keepLines w:val="0"/>
                    <w:suppressLineNumbers w:val="0"/>
                    <w:bidi w:val="0"/>
                    <w:spacing w:before="0" w:beforeAutospacing="0" w:after="0" w:afterAutospacing="0"/>
                    <w:ind w:left="0" w:leftChars="0" w:right="0" w:rightChars="0" w:firstLine="0" w:firstLineChars="0"/>
                    <w:rPr>
                      <w:rFonts w:hint="default"/>
                      <w:color w:val="auto"/>
                      <w:lang w:val="en-US" w:eastAsia="zh-CN"/>
                    </w:rPr>
                  </w:pPr>
                  <w:r>
                    <w:rPr>
                      <w:rFonts w:hint="eastAsia"/>
                      <w:color w:val="auto"/>
                      <w:lang w:val="en-US" w:eastAsia="zh-CN"/>
                    </w:rPr>
                    <w:t>1</w:t>
                  </w:r>
                </w:p>
              </w:tc>
              <w:tc>
                <w:tcPr>
                  <w:tcW w:w="854" w:type="pct"/>
                  <w:vMerge w:val="continue"/>
                  <w:tcBorders>
                    <w:tl2br w:val="nil"/>
                    <w:tr2bl w:val="nil"/>
                  </w:tcBorders>
                  <w:shd w:val="clear" w:color="auto" w:fill="auto"/>
                  <w:vAlign w:val="center"/>
                </w:tcPr>
                <w:p w14:paraId="7CA9D6B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329A51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vMerge w:val="continue"/>
                  <w:tcBorders>
                    <w:tl2br w:val="nil"/>
                    <w:tr2bl w:val="nil"/>
                  </w:tcBorders>
                  <w:shd w:val="clear" w:color="auto" w:fill="auto"/>
                  <w:vAlign w:val="center"/>
                </w:tcPr>
                <w:p w14:paraId="07F105B4">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c>
                <w:tcPr>
                  <w:tcW w:w="313" w:type="pct"/>
                  <w:vMerge w:val="continue"/>
                  <w:tcBorders>
                    <w:tl2br w:val="nil"/>
                    <w:tr2bl w:val="nil"/>
                  </w:tcBorders>
                  <w:shd w:val="clear" w:color="auto" w:fill="auto"/>
                  <w:vAlign w:val="center"/>
                </w:tcPr>
                <w:p w14:paraId="29665F38">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p>
              </w:tc>
              <w:tc>
                <w:tcPr>
                  <w:tcW w:w="1074" w:type="pct"/>
                  <w:tcBorders>
                    <w:tl2br w:val="nil"/>
                    <w:tr2bl w:val="nil"/>
                  </w:tcBorders>
                  <w:shd w:val="clear" w:color="auto" w:fill="auto"/>
                  <w:vAlign w:val="center"/>
                </w:tcPr>
                <w:p w14:paraId="6ED0BF7D">
                  <w:pPr>
                    <w:pStyle w:val="21"/>
                    <w:keepNext w:val="0"/>
                    <w:keepLines w:val="0"/>
                    <w:suppressLineNumbers w:val="0"/>
                    <w:bidi w:val="0"/>
                    <w:spacing w:before="0" w:beforeAutospacing="0" w:after="0" w:afterAutospacing="0"/>
                    <w:ind w:left="0" w:leftChars="0" w:right="0" w:rightChars="0" w:firstLine="0" w:firstLineChars="0"/>
                    <w:rPr>
                      <w:rFonts w:hint="eastAsia"/>
                      <w:color w:val="auto"/>
                      <w:lang w:val="en-US" w:eastAsia="zh-CN"/>
                    </w:rPr>
                  </w:pPr>
                  <w:r>
                    <w:rPr>
                      <w:rFonts w:hint="eastAsia"/>
                      <w:color w:val="auto"/>
                      <w:lang w:val="en-US" w:eastAsia="zh-CN"/>
                    </w:rPr>
                    <w:t>二级反渗透设施</w:t>
                  </w:r>
                </w:p>
              </w:tc>
              <w:tc>
                <w:tcPr>
                  <w:tcW w:w="1547" w:type="pct"/>
                  <w:tcBorders>
                    <w:tl2br w:val="nil"/>
                    <w:tr2bl w:val="nil"/>
                  </w:tcBorders>
                  <w:shd w:val="clear" w:color="auto" w:fill="auto"/>
                  <w:vAlign w:val="center"/>
                </w:tcPr>
                <w:p w14:paraId="6373CD6C">
                  <w:pPr>
                    <w:pStyle w:val="21"/>
                    <w:keepNext w:val="0"/>
                    <w:keepLines w:val="0"/>
                    <w:suppressLineNumbers w:val="0"/>
                    <w:bidi w:val="0"/>
                    <w:spacing w:before="0" w:beforeAutospacing="0" w:after="0" w:afterAutospacing="0"/>
                    <w:ind w:left="0" w:leftChars="0" w:right="0" w:rightChars="0" w:firstLine="0" w:firstLineChars="0"/>
                    <w:rPr>
                      <w:rFonts w:hint="eastAsia"/>
                      <w:color w:val="auto"/>
                      <w:lang w:val="en-US" w:eastAsia="zh-CN"/>
                    </w:rPr>
                  </w:pPr>
                  <w:r>
                    <w:rPr>
                      <w:rFonts w:hint="eastAsia"/>
                      <w:color w:val="auto"/>
                      <w:lang w:val="en-US" w:eastAsia="zh-CN"/>
                    </w:rPr>
                    <w:t>70t/h</w:t>
                  </w:r>
                </w:p>
              </w:tc>
              <w:tc>
                <w:tcPr>
                  <w:tcW w:w="791" w:type="pct"/>
                  <w:tcBorders>
                    <w:tl2br w:val="nil"/>
                    <w:tr2bl w:val="nil"/>
                  </w:tcBorders>
                  <w:shd w:val="clear" w:color="auto" w:fill="auto"/>
                  <w:vAlign w:val="center"/>
                </w:tcPr>
                <w:p w14:paraId="1CB96EE1">
                  <w:pPr>
                    <w:pStyle w:val="21"/>
                    <w:keepNext w:val="0"/>
                    <w:keepLines w:val="0"/>
                    <w:suppressLineNumbers w:val="0"/>
                    <w:bidi w:val="0"/>
                    <w:spacing w:before="0" w:beforeAutospacing="0" w:after="0" w:afterAutospacing="0"/>
                    <w:ind w:left="0" w:leftChars="0" w:right="0" w:rightChars="0" w:firstLine="0" w:firstLineChars="0"/>
                    <w:rPr>
                      <w:rFonts w:hint="default"/>
                      <w:color w:val="auto"/>
                      <w:lang w:val="en-US" w:eastAsia="zh-CN"/>
                    </w:rPr>
                  </w:pPr>
                  <w:r>
                    <w:rPr>
                      <w:rFonts w:hint="eastAsia"/>
                      <w:color w:val="auto"/>
                      <w:lang w:val="en-US" w:eastAsia="zh-CN"/>
                    </w:rPr>
                    <w:t>1</w:t>
                  </w:r>
                </w:p>
              </w:tc>
              <w:tc>
                <w:tcPr>
                  <w:tcW w:w="854" w:type="pct"/>
                  <w:vMerge w:val="continue"/>
                  <w:tcBorders>
                    <w:tl2br w:val="nil"/>
                    <w:tr2bl w:val="nil"/>
                  </w:tcBorders>
                  <w:shd w:val="clear" w:color="auto" w:fill="auto"/>
                  <w:vAlign w:val="center"/>
                </w:tcPr>
                <w:p w14:paraId="18282D0A">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00A65D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vMerge w:val="continue"/>
                  <w:tcBorders>
                    <w:tl2br w:val="nil"/>
                    <w:tr2bl w:val="nil"/>
                  </w:tcBorders>
                  <w:shd w:val="clear" w:color="auto" w:fill="auto"/>
                  <w:vAlign w:val="center"/>
                </w:tcPr>
                <w:p w14:paraId="70FE1C1C">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c>
                <w:tcPr>
                  <w:tcW w:w="313" w:type="pct"/>
                  <w:vMerge w:val="continue"/>
                  <w:tcBorders>
                    <w:tl2br w:val="nil"/>
                    <w:tr2bl w:val="nil"/>
                  </w:tcBorders>
                  <w:shd w:val="clear" w:color="auto" w:fill="auto"/>
                  <w:vAlign w:val="center"/>
                </w:tcPr>
                <w:p w14:paraId="62B64ED7">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p>
              </w:tc>
              <w:tc>
                <w:tcPr>
                  <w:tcW w:w="1074" w:type="pct"/>
                  <w:tcBorders>
                    <w:tl2br w:val="nil"/>
                    <w:tr2bl w:val="nil"/>
                  </w:tcBorders>
                  <w:shd w:val="clear" w:color="auto" w:fill="auto"/>
                  <w:vAlign w:val="center"/>
                </w:tcPr>
                <w:p w14:paraId="6062E505">
                  <w:pPr>
                    <w:pStyle w:val="21"/>
                    <w:keepNext w:val="0"/>
                    <w:keepLines w:val="0"/>
                    <w:suppressLineNumbers w:val="0"/>
                    <w:bidi w:val="0"/>
                    <w:spacing w:before="0" w:beforeAutospacing="0" w:after="0" w:afterAutospacing="0"/>
                    <w:ind w:left="0" w:leftChars="0" w:right="0" w:rightChars="0" w:firstLine="0" w:firstLineChars="0"/>
                    <w:rPr>
                      <w:rFonts w:hint="default"/>
                      <w:color w:val="auto"/>
                      <w:lang w:val="en-US" w:eastAsia="zh-CN"/>
                    </w:rPr>
                  </w:pPr>
                  <w:r>
                    <w:rPr>
                      <w:rFonts w:hint="eastAsia"/>
                      <w:color w:val="auto"/>
                      <w:lang w:val="en-US" w:eastAsia="zh-CN"/>
                    </w:rPr>
                    <w:t>反渗透浓水箱</w:t>
                  </w:r>
                </w:p>
              </w:tc>
              <w:tc>
                <w:tcPr>
                  <w:tcW w:w="1547" w:type="pct"/>
                  <w:tcBorders>
                    <w:tl2br w:val="nil"/>
                    <w:tr2bl w:val="nil"/>
                  </w:tcBorders>
                  <w:shd w:val="clear" w:color="auto" w:fill="auto"/>
                  <w:vAlign w:val="center"/>
                </w:tcPr>
                <w:p w14:paraId="32E2B0C1">
                  <w:pPr>
                    <w:pStyle w:val="21"/>
                    <w:keepNext w:val="0"/>
                    <w:keepLines w:val="0"/>
                    <w:suppressLineNumbers w:val="0"/>
                    <w:bidi w:val="0"/>
                    <w:spacing w:before="0" w:beforeAutospacing="0" w:after="0" w:afterAutospacing="0"/>
                    <w:ind w:left="0" w:leftChars="0" w:right="0" w:rightChars="0" w:firstLine="0" w:firstLineChars="0"/>
                    <w:rPr>
                      <w:rFonts w:hint="default"/>
                      <w:color w:val="auto"/>
                      <w:lang w:val="en-US" w:eastAsia="zh-CN"/>
                    </w:rPr>
                  </w:pPr>
                  <w:r>
                    <w:rPr>
                      <w:rFonts w:hint="eastAsia"/>
                      <w:color w:val="auto"/>
                      <w:lang w:val="en-US" w:eastAsia="zh-CN"/>
                    </w:rPr>
                    <w:t>40m</w:t>
                  </w:r>
                  <w:r>
                    <w:rPr>
                      <w:rFonts w:hint="eastAsia"/>
                      <w:color w:val="auto"/>
                      <w:vertAlign w:val="superscript"/>
                      <w:lang w:val="en-US" w:eastAsia="zh-CN"/>
                    </w:rPr>
                    <w:t>3</w:t>
                  </w:r>
                </w:p>
              </w:tc>
              <w:tc>
                <w:tcPr>
                  <w:tcW w:w="791" w:type="pct"/>
                  <w:tcBorders>
                    <w:tl2br w:val="nil"/>
                    <w:tr2bl w:val="nil"/>
                  </w:tcBorders>
                  <w:shd w:val="clear" w:color="auto" w:fill="auto"/>
                  <w:vAlign w:val="center"/>
                </w:tcPr>
                <w:p w14:paraId="6F842E28">
                  <w:pPr>
                    <w:pStyle w:val="21"/>
                    <w:keepNext w:val="0"/>
                    <w:keepLines w:val="0"/>
                    <w:suppressLineNumbers w:val="0"/>
                    <w:bidi w:val="0"/>
                    <w:spacing w:before="0" w:beforeAutospacing="0" w:after="0" w:afterAutospacing="0"/>
                    <w:ind w:left="0" w:leftChars="0" w:right="0" w:rightChars="0" w:firstLine="0" w:firstLineChars="0"/>
                    <w:rPr>
                      <w:rFonts w:hint="default"/>
                      <w:color w:val="auto"/>
                      <w:lang w:val="en-US" w:eastAsia="zh-CN"/>
                    </w:rPr>
                  </w:pPr>
                  <w:r>
                    <w:rPr>
                      <w:rFonts w:hint="eastAsia"/>
                      <w:color w:val="auto"/>
                      <w:lang w:val="en-US" w:eastAsia="zh-CN"/>
                    </w:rPr>
                    <w:t>1</w:t>
                  </w:r>
                </w:p>
              </w:tc>
              <w:tc>
                <w:tcPr>
                  <w:tcW w:w="854" w:type="pct"/>
                  <w:vMerge w:val="continue"/>
                  <w:tcBorders>
                    <w:tl2br w:val="nil"/>
                    <w:tr2bl w:val="nil"/>
                  </w:tcBorders>
                  <w:shd w:val="clear" w:color="auto" w:fill="auto"/>
                  <w:vAlign w:val="center"/>
                </w:tcPr>
                <w:p w14:paraId="0363ECE8">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0643D1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vMerge w:val="continue"/>
                  <w:tcBorders>
                    <w:tl2br w:val="nil"/>
                    <w:tr2bl w:val="nil"/>
                  </w:tcBorders>
                  <w:shd w:val="clear" w:color="auto" w:fill="auto"/>
                  <w:vAlign w:val="center"/>
                </w:tcPr>
                <w:p w14:paraId="49BBAE0A">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c>
                <w:tcPr>
                  <w:tcW w:w="313" w:type="pct"/>
                  <w:vMerge w:val="continue"/>
                  <w:tcBorders>
                    <w:tl2br w:val="nil"/>
                    <w:tr2bl w:val="nil"/>
                  </w:tcBorders>
                  <w:shd w:val="clear" w:color="auto" w:fill="auto"/>
                  <w:vAlign w:val="center"/>
                </w:tcPr>
                <w:p w14:paraId="6E484544">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p>
              </w:tc>
              <w:tc>
                <w:tcPr>
                  <w:tcW w:w="1074" w:type="pct"/>
                  <w:tcBorders>
                    <w:tl2br w:val="nil"/>
                    <w:tr2bl w:val="nil"/>
                  </w:tcBorders>
                  <w:shd w:val="clear" w:color="auto" w:fill="auto"/>
                  <w:vAlign w:val="center"/>
                </w:tcPr>
                <w:p w14:paraId="2DEEDB44">
                  <w:pPr>
                    <w:pStyle w:val="21"/>
                    <w:keepNext w:val="0"/>
                    <w:keepLines w:val="0"/>
                    <w:suppressLineNumbers w:val="0"/>
                    <w:bidi w:val="0"/>
                    <w:spacing w:before="0" w:beforeAutospacing="0" w:after="0" w:afterAutospacing="0"/>
                    <w:ind w:left="0" w:leftChars="0" w:right="0" w:rightChars="0" w:firstLine="0" w:firstLineChars="0"/>
                    <w:rPr>
                      <w:rFonts w:hint="default"/>
                      <w:color w:val="auto"/>
                      <w:lang w:val="en-US" w:eastAsia="zh-CN"/>
                    </w:rPr>
                  </w:pPr>
                  <w:r>
                    <w:rPr>
                      <w:rFonts w:hint="eastAsia"/>
                      <w:color w:val="auto"/>
                      <w:lang w:val="en-US" w:eastAsia="zh-CN"/>
                    </w:rPr>
                    <w:t>脱气装置</w:t>
                  </w:r>
                </w:p>
              </w:tc>
              <w:tc>
                <w:tcPr>
                  <w:tcW w:w="1547" w:type="pct"/>
                  <w:tcBorders>
                    <w:tl2br w:val="nil"/>
                    <w:tr2bl w:val="nil"/>
                  </w:tcBorders>
                  <w:shd w:val="clear" w:color="auto" w:fill="auto"/>
                  <w:vAlign w:val="center"/>
                </w:tcPr>
                <w:p w14:paraId="1388C735">
                  <w:pPr>
                    <w:pStyle w:val="21"/>
                    <w:keepNext w:val="0"/>
                    <w:keepLines w:val="0"/>
                    <w:suppressLineNumbers w:val="0"/>
                    <w:bidi w:val="0"/>
                    <w:spacing w:before="0" w:beforeAutospacing="0" w:after="0" w:afterAutospacing="0"/>
                    <w:ind w:left="0" w:leftChars="0" w:right="0" w:rightChars="0" w:firstLine="0" w:firstLineChars="0"/>
                    <w:rPr>
                      <w:rFonts w:hint="eastAsia"/>
                      <w:color w:val="auto"/>
                      <w:lang w:val="en-US" w:eastAsia="zh-CN"/>
                    </w:rPr>
                  </w:pPr>
                  <w:r>
                    <w:rPr>
                      <w:rFonts w:hint="eastAsia"/>
                      <w:color w:val="auto"/>
                      <w:lang w:val="en-US" w:eastAsia="zh-CN"/>
                    </w:rPr>
                    <w:t>90t/h</w:t>
                  </w:r>
                </w:p>
              </w:tc>
              <w:tc>
                <w:tcPr>
                  <w:tcW w:w="791" w:type="pct"/>
                  <w:tcBorders>
                    <w:tl2br w:val="nil"/>
                    <w:tr2bl w:val="nil"/>
                  </w:tcBorders>
                  <w:shd w:val="clear" w:color="auto" w:fill="auto"/>
                  <w:vAlign w:val="center"/>
                </w:tcPr>
                <w:p w14:paraId="2484D169">
                  <w:pPr>
                    <w:pStyle w:val="21"/>
                    <w:keepNext w:val="0"/>
                    <w:keepLines w:val="0"/>
                    <w:suppressLineNumbers w:val="0"/>
                    <w:bidi w:val="0"/>
                    <w:spacing w:before="0" w:beforeAutospacing="0" w:after="0" w:afterAutospacing="0"/>
                    <w:ind w:left="0" w:leftChars="0" w:right="0" w:rightChars="0" w:firstLine="0" w:firstLineChars="0"/>
                    <w:rPr>
                      <w:rFonts w:hint="default"/>
                      <w:color w:val="auto"/>
                      <w:lang w:val="en-US" w:eastAsia="zh-CN"/>
                    </w:rPr>
                  </w:pPr>
                  <w:r>
                    <w:rPr>
                      <w:rFonts w:hint="eastAsia"/>
                      <w:color w:val="auto"/>
                      <w:lang w:val="en-US" w:eastAsia="zh-CN"/>
                    </w:rPr>
                    <w:t>1</w:t>
                  </w:r>
                </w:p>
              </w:tc>
              <w:tc>
                <w:tcPr>
                  <w:tcW w:w="854" w:type="pct"/>
                  <w:vMerge w:val="continue"/>
                  <w:tcBorders>
                    <w:tl2br w:val="nil"/>
                    <w:tr2bl w:val="nil"/>
                  </w:tcBorders>
                  <w:shd w:val="clear" w:color="auto" w:fill="auto"/>
                  <w:vAlign w:val="center"/>
                </w:tcPr>
                <w:p w14:paraId="0BA287A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33A2BF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8" w:type="pct"/>
                  <w:vMerge w:val="continue"/>
                  <w:tcBorders>
                    <w:tl2br w:val="nil"/>
                    <w:tr2bl w:val="nil"/>
                  </w:tcBorders>
                  <w:shd w:val="clear" w:color="auto" w:fill="auto"/>
                  <w:vAlign w:val="center"/>
                </w:tcPr>
                <w:p w14:paraId="3F0D2A04">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c>
                <w:tcPr>
                  <w:tcW w:w="313" w:type="pct"/>
                  <w:vMerge w:val="continue"/>
                  <w:tcBorders>
                    <w:tl2br w:val="nil"/>
                    <w:tr2bl w:val="nil"/>
                  </w:tcBorders>
                  <w:shd w:val="clear" w:color="auto" w:fill="auto"/>
                  <w:vAlign w:val="center"/>
                </w:tcPr>
                <w:p w14:paraId="7B40148B">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p>
              </w:tc>
              <w:tc>
                <w:tcPr>
                  <w:tcW w:w="1074" w:type="pct"/>
                  <w:tcBorders>
                    <w:tl2br w:val="nil"/>
                    <w:tr2bl w:val="nil"/>
                  </w:tcBorders>
                  <w:shd w:val="clear" w:color="auto" w:fill="auto"/>
                  <w:vAlign w:val="center"/>
                </w:tcPr>
                <w:p w14:paraId="2B4D2723">
                  <w:pPr>
                    <w:pStyle w:val="21"/>
                    <w:keepNext w:val="0"/>
                    <w:keepLines w:val="0"/>
                    <w:suppressLineNumbers w:val="0"/>
                    <w:bidi w:val="0"/>
                    <w:spacing w:before="0" w:beforeAutospacing="0" w:after="0" w:afterAutospacing="0"/>
                    <w:ind w:left="0" w:leftChars="0" w:right="0" w:rightChars="0" w:firstLine="0" w:firstLineChars="0"/>
                    <w:rPr>
                      <w:rFonts w:hint="default"/>
                      <w:color w:val="auto"/>
                      <w:lang w:val="en-US" w:eastAsia="zh-CN"/>
                    </w:rPr>
                  </w:pPr>
                  <w:r>
                    <w:rPr>
                      <w:rFonts w:hint="eastAsia"/>
                      <w:color w:val="auto"/>
                      <w:lang w:val="en-US" w:eastAsia="zh-CN"/>
                    </w:rPr>
                    <w:t>水箱</w:t>
                  </w:r>
                </w:p>
              </w:tc>
              <w:tc>
                <w:tcPr>
                  <w:tcW w:w="1547" w:type="pct"/>
                  <w:tcBorders>
                    <w:tl2br w:val="nil"/>
                    <w:tr2bl w:val="nil"/>
                  </w:tcBorders>
                  <w:shd w:val="clear" w:color="auto" w:fill="auto"/>
                  <w:vAlign w:val="center"/>
                </w:tcPr>
                <w:p w14:paraId="2F09D4CD">
                  <w:pPr>
                    <w:pStyle w:val="21"/>
                    <w:keepNext w:val="0"/>
                    <w:keepLines w:val="0"/>
                    <w:suppressLineNumbers w:val="0"/>
                    <w:bidi w:val="0"/>
                    <w:spacing w:before="0" w:beforeAutospacing="0" w:after="0" w:afterAutospacing="0"/>
                    <w:ind w:left="0" w:leftChars="0" w:right="0" w:rightChars="0" w:firstLine="0" w:firstLineChars="0"/>
                    <w:rPr>
                      <w:rFonts w:hint="default"/>
                      <w:color w:val="auto"/>
                      <w:vertAlign w:val="superscript"/>
                      <w:lang w:val="en-US" w:eastAsia="zh-CN"/>
                    </w:rPr>
                  </w:pPr>
                  <w:r>
                    <w:rPr>
                      <w:rFonts w:hint="eastAsia"/>
                      <w:color w:val="auto"/>
                      <w:lang w:val="en-US" w:eastAsia="zh-CN"/>
                    </w:rPr>
                    <w:t>40m</w:t>
                  </w:r>
                  <w:r>
                    <w:rPr>
                      <w:rFonts w:hint="eastAsia"/>
                      <w:color w:val="auto"/>
                      <w:vertAlign w:val="superscript"/>
                      <w:lang w:val="en-US" w:eastAsia="zh-CN"/>
                    </w:rPr>
                    <w:t>3</w:t>
                  </w:r>
                </w:p>
              </w:tc>
              <w:tc>
                <w:tcPr>
                  <w:tcW w:w="791" w:type="pct"/>
                  <w:tcBorders>
                    <w:tl2br w:val="nil"/>
                    <w:tr2bl w:val="nil"/>
                  </w:tcBorders>
                  <w:shd w:val="clear" w:color="auto" w:fill="auto"/>
                  <w:vAlign w:val="center"/>
                </w:tcPr>
                <w:p w14:paraId="61B26707">
                  <w:pPr>
                    <w:pStyle w:val="21"/>
                    <w:keepNext w:val="0"/>
                    <w:keepLines w:val="0"/>
                    <w:suppressLineNumbers w:val="0"/>
                    <w:bidi w:val="0"/>
                    <w:spacing w:before="0" w:beforeAutospacing="0" w:after="0" w:afterAutospacing="0"/>
                    <w:ind w:left="0" w:leftChars="0" w:right="0" w:rightChars="0" w:firstLine="0" w:firstLineChars="0"/>
                    <w:rPr>
                      <w:rFonts w:hint="default"/>
                      <w:color w:val="auto"/>
                      <w:lang w:val="en-US" w:eastAsia="zh-CN"/>
                    </w:rPr>
                  </w:pPr>
                  <w:r>
                    <w:rPr>
                      <w:rFonts w:hint="eastAsia"/>
                      <w:color w:val="auto"/>
                      <w:lang w:val="en-US" w:eastAsia="zh-CN"/>
                    </w:rPr>
                    <w:t>11</w:t>
                  </w:r>
                </w:p>
              </w:tc>
              <w:tc>
                <w:tcPr>
                  <w:tcW w:w="854" w:type="pct"/>
                  <w:vMerge w:val="continue"/>
                  <w:tcBorders>
                    <w:tl2br w:val="nil"/>
                    <w:tr2bl w:val="nil"/>
                  </w:tcBorders>
                  <w:shd w:val="clear" w:color="auto" w:fill="auto"/>
                  <w:vAlign w:val="center"/>
                </w:tcPr>
                <w:p w14:paraId="2F54875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4D5C4D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0" w:type="auto"/>
                  <w:tcBorders>
                    <w:tl2br w:val="nil"/>
                    <w:tr2bl w:val="nil"/>
                  </w:tcBorders>
                  <w:shd w:val="clear" w:color="auto" w:fill="auto"/>
                  <w:vAlign w:val="center"/>
                </w:tcPr>
                <w:p w14:paraId="4D38A5FA">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22</w:t>
                  </w:r>
                </w:p>
              </w:tc>
              <w:tc>
                <w:tcPr>
                  <w:tcW w:w="1387" w:type="pct"/>
                  <w:gridSpan w:val="2"/>
                  <w:tcBorders>
                    <w:tl2br w:val="nil"/>
                    <w:tr2bl w:val="nil"/>
                  </w:tcBorders>
                  <w:shd w:val="clear" w:color="auto" w:fill="auto"/>
                  <w:vAlign w:val="center"/>
                </w:tcPr>
                <w:p w14:paraId="647FECF7">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闭式冷却塔</w:t>
                  </w:r>
                </w:p>
              </w:tc>
              <w:tc>
                <w:tcPr>
                  <w:tcW w:w="1547" w:type="pct"/>
                  <w:tcBorders>
                    <w:tl2br w:val="nil"/>
                    <w:tr2bl w:val="nil"/>
                  </w:tcBorders>
                  <w:shd w:val="clear" w:color="auto" w:fill="auto"/>
                  <w:vAlign w:val="center"/>
                </w:tcPr>
                <w:p w14:paraId="09DC01E0">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60吨/小时</w:t>
                  </w:r>
                </w:p>
              </w:tc>
              <w:tc>
                <w:tcPr>
                  <w:tcW w:w="791" w:type="pct"/>
                  <w:tcBorders>
                    <w:tl2br w:val="nil"/>
                    <w:tr2bl w:val="nil"/>
                  </w:tcBorders>
                  <w:shd w:val="clear" w:color="auto" w:fill="auto"/>
                  <w:vAlign w:val="center"/>
                </w:tcPr>
                <w:p w14:paraId="253527C1">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restart"/>
                  <w:tcBorders>
                    <w:tl2br w:val="nil"/>
                    <w:tr2bl w:val="nil"/>
                  </w:tcBorders>
                  <w:shd w:val="clear" w:color="auto" w:fill="auto"/>
                  <w:vAlign w:val="center"/>
                </w:tcPr>
                <w:p w14:paraId="15B4E52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室外设备</w:t>
                  </w:r>
                </w:p>
              </w:tc>
            </w:tr>
            <w:tr w14:paraId="49A2F9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0" w:type="auto"/>
                  <w:tcBorders>
                    <w:tl2br w:val="nil"/>
                    <w:tr2bl w:val="nil"/>
                  </w:tcBorders>
                  <w:shd w:val="clear" w:color="auto" w:fill="auto"/>
                  <w:vAlign w:val="center"/>
                </w:tcPr>
                <w:p w14:paraId="13CB8018">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23</w:t>
                  </w:r>
                </w:p>
              </w:tc>
              <w:tc>
                <w:tcPr>
                  <w:tcW w:w="1387" w:type="pct"/>
                  <w:gridSpan w:val="2"/>
                  <w:tcBorders>
                    <w:tl2br w:val="nil"/>
                    <w:tr2bl w:val="nil"/>
                  </w:tcBorders>
                  <w:shd w:val="clear" w:color="auto" w:fill="auto"/>
                  <w:vAlign w:val="center"/>
                </w:tcPr>
                <w:p w14:paraId="290E2417">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冷却水泵</w:t>
                  </w:r>
                </w:p>
              </w:tc>
              <w:tc>
                <w:tcPr>
                  <w:tcW w:w="1547" w:type="pct"/>
                  <w:tcBorders>
                    <w:tl2br w:val="nil"/>
                    <w:tr2bl w:val="nil"/>
                  </w:tcBorders>
                  <w:shd w:val="clear" w:color="auto" w:fill="auto"/>
                  <w:vAlign w:val="center"/>
                </w:tcPr>
                <w:p w14:paraId="0FBE3BD0">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50吨/小时</w:t>
                  </w:r>
                </w:p>
              </w:tc>
              <w:tc>
                <w:tcPr>
                  <w:tcW w:w="791" w:type="pct"/>
                  <w:tcBorders>
                    <w:tl2br w:val="nil"/>
                    <w:tr2bl w:val="nil"/>
                  </w:tcBorders>
                  <w:shd w:val="clear" w:color="auto" w:fill="auto"/>
                  <w:vAlign w:val="center"/>
                </w:tcPr>
                <w:p w14:paraId="56B919EC">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vAlign w:val="center"/>
                </w:tcPr>
                <w:p w14:paraId="137EBACA">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0C3020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3" w:hRule="atLeast"/>
                <w:jc w:val="center"/>
              </w:trPr>
              <w:tc>
                <w:tcPr>
                  <w:tcW w:w="0" w:type="auto"/>
                  <w:tcBorders>
                    <w:tl2br w:val="nil"/>
                    <w:tr2bl w:val="nil"/>
                  </w:tcBorders>
                  <w:shd w:val="clear" w:color="auto" w:fill="auto"/>
                  <w:vAlign w:val="center"/>
                </w:tcPr>
                <w:p w14:paraId="256E8CC6">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24</w:t>
                  </w:r>
                </w:p>
              </w:tc>
              <w:tc>
                <w:tcPr>
                  <w:tcW w:w="1387" w:type="pct"/>
                  <w:gridSpan w:val="2"/>
                  <w:tcBorders>
                    <w:tl2br w:val="nil"/>
                    <w:tr2bl w:val="nil"/>
                  </w:tcBorders>
                  <w:shd w:val="clear" w:color="auto" w:fill="auto"/>
                  <w:vAlign w:val="center"/>
                </w:tcPr>
                <w:p w14:paraId="18880CCE">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闭式塔</w:t>
                  </w:r>
                </w:p>
              </w:tc>
              <w:tc>
                <w:tcPr>
                  <w:tcW w:w="1547" w:type="pct"/>
                  <w:tcBorders>
                    <w:tl2br w:val="nil"/>
                    <w:tr2bl w:val="nil"/>
                  </w:tcBorders>
                  <w:shd w:val="clear" w:color="auto" w:fill="auto"/>
                  <w:vAlign w:val="center"/>
                </w:tcPr>
                <w:p w14:paraId="7584FA08">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100吨/小时</w:t>
                  </w:r>
                </w:p>
              </w:tc>
              <w:tc>
                <w:tcPr>
                  <w:tcW w:w="791" w:type="pct"/>
                  <w:tcBorders>
                    <w:tl2br w:val="nil"/>
                    <w:tr2bl w:val="nil"/>
                  </w:tcBorders>
                  <w:shd w:val="clear" w:color="auto" w:fill="auto"/>
                  <w:vAlign w:val="center"/>
                </w:tcPr>
                <w:p w14:paraId="35C28FE9">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vAlign w:val="center"/>
                </w:tcPr>
                <w:p w14:paraId="3B9C9880">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5DC397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0" w:type="auto"/>
                  <w:tcBorders>
                    <w:tl2br w:val="nil"/>
                    <w:tr2bl w:val="nil"/>
                  </w:tcBorders>
                  <w:shd w:val="clear" w:color="auto" w:fill="auto"/>
                  <w:vAlign w:val="center"/>
                </w:tcPr>
                <w:p w14:paraId="30A2DCD8">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25</w:t>
                  </w:r>
                </w:p>
              </w:tc>
              <w:tc>
                <w:tcPr>
                  <w:tcW w:w="1387" w:type="pct"/>
                  <w:gridSpan w:val="2"/>
                  <w:tcBorders>
                    <w:tl2br w:val="nil"/>
                    <w:tr2bl w:val="nil"/>
                  </w:tcBorders>
                  <w:shd w:val="clear" w:color="auto" w:fill="auto"/>
                  <w:vAlign w:val="center"/>
                </w:tcPr>
                <w:p w14:paraId="109DE6E5">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冷水机组</w:t>
                  </w:r>
                </w:p>
              </w:tc>
              <w:tc>
                <w:tcPr>
                  <w:tcW w:w="1547" w:type="pct"/>
                  <w:tcBorders>
                    <w:tl2br w:val="nil"/>
                    <w:tr2bl w:val="nil"/>
                  </w:tcBorders>
                  <w:shd w:val="clear" w:color="auto" w:fill="auto"/>
                  <w:vAlign w:val="center"/>
                </w:tcPr>
                <w:p w14:paraId="538F0986">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LSBLX350，300t/h</w:t>
                  </w:r>
                </w:p>
              </w:tc>
              <w:tc>
                <w:tcPr>
                  <w:tcW w:w="791" w:type="pct"/>
                  <w:tcBorders>
                    <w:tl2br w:val="nil"/>
                    <w:tr2bl w:val="nil"/>
                  </w:tcBorders>
                  <w:shd w:val="clear" w:color="auto" w:fill="auto"/>
                  <w:vAlign w:val="center"/>
                </w:tcPr>
                <w:p w14:paraId="3D0B611F">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vAlign w:val="center"/>
                </w:tcPr>
                <w:p w14:paraId="1096C758">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r w14:paraId="498DAA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0" w:type="auto"/>
                  <w:tcBorders>
                    <w:tl2br w:val="nil"/>
                    <w:tr2bl w:val="nil"/>
                  </w:tcBorders>
                  <w:shd w:val="clear" w:color="auto" w:fill="auto"/>
                  <w:vAlign w:val="center"/>
                </w:tcPr>
                <w:p w14:paraId="7ACF184C">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26</w:t>
                  </w:r>
                </w:p>
              </w:tc>
              <w:tc>
                <w:tcPr>
                  <w:tcW w:w="1387" w:type="pct"/>
                  <w:gridSpan w:val="2"/>
                  <w:tcBorders>
                    <w:tl2br w:val="nil"/>
                    <w:tr2bl w:val="nil"/>
                  </w:tcBorders>
                  <w:shd w:val="clear" w:color="auto" w:fill="auto"/>
                  <w:vAlign w:val="center"/>
                </w:tcPr>
                <w:p w14:paraId="13DD6A8E">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冷却水泵</w:t>
                  </w:r>
                </w:p>
              </w:tc>
              <w:tc>
                <w:tcPr>
                  <w:tcW w:w="1547" w:type="pct"/>
                  <w:tcBorders>
                    <w:tl2br w:val="nil"/>
                    <w:tr2bl w:val="nil"/>
                  </w:tcBorders>
                  <w:shd w:val="clear" w:color="auto" w:fill="auto"/>
                  <w:vAlign w:val="center"/>
                </w:tcPr>
                <w:p w14:paraId="168275AC">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default"/>
                      <w:color w:val="auto"/>
                      <w:lang w:val="en-US" w:eastAsia="zh-CN"/>
                    </w:rPr>
                    <w:t>250T/h</w:t>
                  </w:r>
                </w:p>
              </w:tc>
              <w:tc>
                <w:tcPr>
                  <w:tcW w:w="791" w:type="pct"/>
                  <w:tcBorders>
                    <w:tl2br w:val="nil"/>
                    <w:tr2bl w:val="nil"/>
                  </w:tcBorders>
                  <w:shd w:val="clear" w:color="auto" w:fill="auto"/>
                  <w:vAlign w:val="center"/>
                </w:tcPr>
                <w:p w14:paraId="2680C0BC">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1</w:t>
                  </w:r>
                </w:p>
              </w:tc>
              <w:tc>
                <w:tcPr>
                  <w:tcW w:w="854" w:type="pct"/>
                  <w:vMerge w:val="continue"/>
                  <w:tcBorders>
                    <w:tl2br w:val="nil"/>
                    <w:tr2bl w:val="nil"/>
                  </w:tcBorders>
                  <w:shd w:val="clear" w:color="auto" w:fill="auto"/>
                  <w:vAlign w:val="center"/>
                </w:tcPr>
                <w:p w14:paraId="3585D6E8">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r>
          </w:tbl>
          <w:p w14:paraId="4216FB68">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6、产能匹配性分析</w:t>
            </w:r>
          </w:p>
          <w:p w14:paraId="5D574ABA">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本项年产瓶装纯净水15万吨（约2.5亿瓶），年工作7200小时，主要生产工艺包含纯水制备工段、制瓶灌装工段，项目产能匹配性分析见下表：</w:t>
            </w:r>
          </w:p>
          <w:p w14:paraId="1ED56F95">
            <w:pPr>
              <w:pStyle w:val="23"/>
              <w:keepNext w:val="0"/>
              <w:keepLines w:val="0"/>
              <w:suppressLineNumbers w:val="0"/>
              <w:bidi w:val="0"/>
              <w:spacing w:before="0" w:beforeAutospacing="0" w:after="0" w:afterAutospacing="0"/>
              <w:ind w:left="0" w:right="0"/>
              <w:rPr>
                <w:rFonts w:ascii="Times New Roman" w:hAnsi="Times New Roman" w:eastAsia="宋体"/>
                <w:color w:val="auto"/>
                <w:highlight w:val="none"/>
              </w:rPr>
            </w:pPr>
            <w:r>
              <w:rPr>
                <w:rFonts w:ascii="Times New Roman" w:hAnsi="Times New Roman" w:eastAsia="宋体"/>
                <w:color w:val="auto"/>
                <w:highlight w:val="none"/>
              </w:rPr>
              <w:t>表2-</w:t>
            </w:r>
            <w:r>
              <w:rPr>
                <w:rFonts w:hint="eastAsia"/>
                <w:color w:val="auto"/>
                <w:highlight w:val="none"/>
                <w:lang w:val="en-US" w:eastAsia="zh-CN"/>
              </w:rPr>
              <w:t>8</w:t>
            </w:r>
            <w:r>
              <w:rPr>
                <w:rFonts w:hint="eastAsia" w:ascii="Times New Roman" w:hAnsi="Times New Roman" w:eastAsia="宋体"/>
                <w:color w:val="auto"/>
                <w:highlight w:val="none"/>
                <w:lang w:val="en-US" w:eastAsia="zh-CN"/>
              </w:rPr>
              <w:t>产能匹配性分析</w:t>
            </w:r>
            <w:r>
              <w:rPr>
                <w:rFonts w:ascii="Times New Roman" w:hAnsi="Times New Roman" w:eastAsia="宋体"/>
                <w:color w:val="auto"/>
                <w:highlight w:val="none"/>
              </w:rPr>
              <w:t>表</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68"/>
              <w:gridCol w:w="1375"/>
              <w:gridCol w:w="556"/>
              <w:gridCol w:w="1083"/>
              <w:gridCol w:w="708"/>
              <w:gridCol w:w="1125"/>
              <w:gridCol w:w="1121"/>
              <w:gridCol w:w="886"/>
            </w:tblGrid>
            <w:tr w14:paraId="37123F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8" w:type="pct"/>
                  <w:tcBorders>
                    <w:tl2br w:val="nil"/>
                    <w:tr2bl w:val="nil"/>
                  </w:tcBorders>
                  <w:shd w:val="clear" w:color="auto" w:fill="auto"/>
                  <w:tcMar>
                    <w:left w:w="0" w:type="dxa"/>
                    <w:right w:w="0" w:type="dxa"/>
                  </w:tcMar>
                  <w:vAlign w:val="center"/>
                </w:tcPr>
                <w:p w14:paraId="3957BC9E">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eastAsia="zh-CN"/>
                    </w:rPr>
                  </w:pPr>
                  <w:r>
                    <w:rPr>
                      <w:rFonts w:hint="eastAsia" w:ascii="Times New Roman" w:hAnsi="Times New Roman" w:eastAsia="宋体"/>
                      <w:b/>
                      <w:bCs/>
                      <w:color w:val="auto"/>
                      <w:highlight w:val="none"/>
                      <w:lang w:val="en-US" w:eastAsia="zh-CN"/>
                    </w:rPr>
                    <w:t>生产工段</w:t>
                  </w:r>
                </w:p>
              </w:tc>
              <w:tc>
                <w:tcPr>
                  <w:tcW w:w="878" w:type="pct"/>
                  <w:tcBorders>
                    <w:tl2br w:val="nil"/>
                    <w:tr2bl w:val="nil"/>
                  </w:tcBorders>
                  <w:shd w:val="clear" w:color="auto" w:fill="auto"/>
                  <w:tcMar>
                    <w:left w:w="0" w:type="dxa"/>
                    <w:right w:w="0" w:type="dxa"/>
                  </w:tcMar>
                  <w:vAlign w:val="center"/>
                </w:tcPr>
                <w:p w14:paraId="33E55B7A">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eastAsia="zh-CN"/>
                    </w:rPr>
                  </w:pPr>
                  <w:r>
                    <w:rPr>
                      <w:rFonts w:hint="eastAsia" w:ascii="Times New Roman" w:hAnsi="Times New Roman" w:eastAsia="宋体"/>
                      <w:b/>
                      <w:bCs/>
                      <w:color w:val="auto"/>
                      <w:highlight w:val="none"/>
                      <w:lang w:val="en-US" w:eastAsia="zh-CN"/>
                    </w:rPr>
                    <w:t>主要生产设施</w:t>
                  </w:r>
                </w:p>
              </w:tc>
              <w:tc>
                <w:tcPr>
                  <w:tcW w:w="355" w:type="pct"/>
                  <w:tcBorders>
                    <w:tl2br w:val="nil"/>
                    <w:tr2bl w:val="nil"/>
                  </w:tcBorders>
                  <w:shd w:val="clear" w:color="auto" w:fill="auto"/>
                  <w:tcMar>
                    <w:left w:w="0" w:type="dxa"/>
                    <w:right w:w="0" w:type="dxa"/>
                  </w:tcMar>
                  <w:vAlign w:val="center"/>
                </w:tcPr>
                <w:p w14:paraId="120E4B23">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eastAsia="zh-CN"/>
                    </w:rPr>
                  </w:pPr>
                  <w:r>
                    <w:rPr>
                      <w:rFonts w:hint="eastAsia" w:ascii="Times New Roman" w:hAnsi="Times New Roman" w:eastAsia="宋体"/>
                      <w:b/>
                      <w:bCs/>
                      <w:color w:val="auto"/>
                      <w:highlight w:val="none"/>
                      <w:lang w:val="en-US" w:eastAsia="zh-CN"/>
                    </w:rPr>
                    <w:t>设备数量</w:t>
                  </w:r>
                </w:p>
              </w:tc>
              <w:tc>
                <w:tcPr>
                  <w:tcW w:w="692" w:type="pct"/>
                  <w:tcBorders>
                    <w:tl2br w:val="nil"/>
                    <w:tr2bl w:val="nil"/>
                  </w:tcBorders>
                  <w:shd w:val="clear" w:color="auto" w:fill="auto"/>
                  <w:tcMar>
                    <w:left w:w="0" w:type="dxa"/>
                    <w:right w:w="0" w:type="dxa"/>
                  </w:tcMar>
                  <w:vAlign w:val="center"/>
                </w:tcPr>
                <w:p w14:paraId="5985CADC">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eastAsia="zh-CN"/>
                    </w:rPr>
                  </w:pPr>
                  <w:r>
                    <w:rPr>
                      <w:rFonts w:hint="eastAsia" w:ascii="Times New Roman" w:hAnsi="Times New Roman" w:eastAsia="宋体"/>
                      <w:b/>
                      <w:bCs/>
                      <w:color w:val="auto"/>
                      <w:highlight w:val="none"/>
                      <w:lang w:val="en-US" w:eastAsia="zh-CN"/>
                    </w:rPr>
                    <w:t>生产能力</w:t>
                  </w:r>
                </w:p>
              </w:tc>
              <w:tc>
                <w:tcPr>
                  <w:tcW w:w="452" w:type="pct"/>
                  <w:tcBorders>
                    <w:tl2br w:val="nil"/>
                    <w:tr2bl w:val="nil"/>
                  </w:tcBorders>
                  <w:shd w:val="clear" w:color="auto" w:fill="auto"/>
                  <w:tcMar>
                    <w:left w:w="0" w:type="dxa"/>
                    <w:right w:w="0" w:type="dxa"/>
                  </w:tcMar>
                  <w:vAlign w:val="center"/>
                </w:tcPr>
                <w:p w14:paraId="4123250D">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eastAsia="zh-CN"/>
                    </w:rPr>
                  </w:pPr>
                  <w:r>
                    <w:rPr>
                      <w:rFonts w:hint="eastAsia" w:ascii="Times New Roman" w:hAnsi="Times New Roman" w:eastAsia="宋体"/>
                      <w:b/>
                      <w:bCs/>
                      <w:color w:val="auto"/>
                      <w:highlight w:val="none"/>
                      <w:lang w:val="en-US" w:eastAsia="zh-CN"/>
                    </w:rPr>
                    <w:t>年生产时间</w:t>
                  </w:r>
                </w:p>
              </w:tc>
              <w:tc>
                <w:tcPr>
                  <w:tcW w:w="719" w:type="pct"/>
                  <w:tcBorders>
                    <w:tl2br w:val="nil"/>
                    <w:tr2bl w:val="nil"/>
                  </w:tcBorders>
                  <w:shd w:val="clear" w:color="auto" w:fill="auto"/>
                  <w:tcMar>
                    <w:left w:w="0" w:type="dxa"/>
                    <w:right w:w="0" w:type="dxa"/>
                  </w:tcMar>
                  <w:vAlign w:val="center"/>
                </w:tcPr>
                <w:p w14:paraId="1CDD70C0">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eastAsia="zh-CN"/>
                    </w:rPr>
                  </w:pPr>
                  <w:r>
                    <w:rPr>
                      <w:rFonts w:hint="eastAsia" w:ascii="Times New Roman" w:hAnsi="Times New Roman" w:eastAsia="宋体"/>
                      <w:b/>
                      <w:bCs/>
                      <w:color w:val="auto"/>
                      <w:highlight w:val="none"/>
                      <w:lang w:val="en-US" w:eastAsia="zh-CN"/>
                    </w:rPr>
                    <w:t>年生产能力</w:t>
                  </w:r>
                </w:p>
              </w:tc>
              <w:tc>
                <w:tcPr>
                  <w:tcW w:w="716" w:type="pct"/>
                  <w:tcBorders>
                    <w:tl2br w:val="nil"/>
                    <w:tr2bl w:val="nil"/>
                  </w:tcBorders>
                  <w:shd w:val="clear" w:color="auto" w:fill="auto"/>
                  <w:tcMar>
                    <w:left w:w="0" w:type="dxa"/>
                    <w:right w:w="0" w:type="dxa"/>
                  </w:tcMar>
                  <w:vAlign w:val="center"/>
                </w:tcPr>
                <w:p w14:paraId="19673EAE">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b/>
                      <w:bCs/>
                      <w:color w:val="auto"/>
                      <w:sz w:val="21"/>
                      <w:szCs w:val="24"/>
                      <w:highlight w:val="none"/>
                      <w:lang w:val="en-US" w:eastAsia="zh-CN" w:bidi="zh-CN"/>
                    </w:rPr>
                  </w:pPr>
                  <w:r>
                    <w:rPr>
                      <w:rFonts w:hint="eastAsia" w:cs="Times New Roman"/>
                      <w:b/>
                      <w:bCs/>
                      <w:color w:val="auto"/>
                      <w:sz w:val="21"/>
                      <w:szCs w:val="24"/>
                      <w:highlight w:val="none"/>
                      <w:lang w:val="en-US" w:eastAsia="zh-CN" w:bidi="zh-CN"/>
                    </w:rPr>
                    <w:t>申报产能</w:t>
                  </w:r>
                </w:p>
              </w:tc>
              <w:tc>
                <w:tcPr>
                  <w:tcW w:w="566" w:type="pct"/>
                  <w:tcBorders>
                    <w:tl2br w:val="nil"/>
                    <w:tr2bl w:val="nil"/>
                  </w:tcBorders>
                  <w:shd w:val="clear" w:color="auto" w:fill="auto"/>
                  <w:tcMar>
                    <w:left w:w="0" w:type="dxa"/>
                    <w:right w:w="0" w:type="dxa"/>
                  </w:tcMar>
                  <w:vAlign w:val="center"/>
                </w:tcPr>
                <w:p w14:paraId="2B6B758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b/>
                      <w:bCs/>
                      <w:color w:val="auto"/>
                      <w:sz w:val="21"/>
                      <w:szCs w:val="24"/>
                      <w:highlight w:val="none"/>
                      <w:lang w:val="en-US" w:eastAsia="zh-CN" w:bidi="zh-CN"/>
                    </w:rPr>
                  </w:pPr>
                  <w:r>
                    <w:rPr>
                      <w:rFonts w:hint="eastAsia" w:ascii="Times New Roman" w:hAnsi="Times New Roman" w:eastAsia="宋体"/>
                      <w:b/>
                      <w:bCs/>
                      <w:color w:val="auto"/>
                      <w:highlight w:val="none"/>
                      <w:lang w:val="en-US" w:eastAsia="zh-CN"/>
                    </w:rPr>
                    <w:t>是否满足项目需要</w:t>
                  </w:r>
                </w:p>
              </w:tc>
            </w:tr>
            <w:tr w14:paraId="673774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8" w:type="pct"/>
                  <w:tcBorders>
                    <w:tl2br w:val="nil"/>
                    <w:tr2bl w:val="nil"/>
                  </w:tcBorders>
                  <w:shd w:val="clear" w:color="auto" w:fill="auto"/>
                  <w:vAlign w:val="center"/>
                </w:tcPr>
                <w:p w14:paraId="20BB5316">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纯水制备</w:t>
                  </w:r>
                </w:p>
              </w:tc>
              <w:tc>
                <w:tcPr>
                  <w:tcW w:w="878" w:type="pct"/>
                  <w:tcBorders>
                    <w:tl2br w:val="nil"/>
                    <w:tr2bl w:val="nil"/>
                  </w:tcBorders>
                  <w:shd w:val="clear" w:color="auto" w:fill="auto"/>
                  <w:vAlign w:val="center"/>
                </w:tcPr>
                <w:p w14:paraId="65320B3E">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纯水制备系统</w:t>
                  </w:r>
                </w:p>
              </w:tc>
              <w:tc>
                <w:tcPr>
                  <w:tcW w:w="355" w:type="pct"/>
                  <w:tcBorders>
                    <w:tl2br w:val="nil"/>
                    <w:tr2bl w:val="nil"/>
                  </w:tcBorders>
                  <w:shd w:val="clear" w:color="auto" w:fill="auto"/>
                  <w:tcMar>
                    <w:left w:w="0" w:type="dxa"/>
                    <w:right w:w="0" w:type="dxa"/>
                  </w:tcMar>
                  <w:vAlign w:val="center"/>
                </w:tcPr>
                <w:p w14:paraId="23E8117A">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1套</w:t>
                  </w:r>
                </w:p>
              </w:tc>
              <w:tc>
                <w:tcPr>
                  <w:tcW w:w="692" w:type="pct"/>
                  <w:tcBorders>
                    <w:tl2br w:val="nil"/>
                    <w:tr2bl w:val="nil"/>
                  </w:tcBorders>
                  <w:shd w:val="clear" w:color="auto" w:fill="auto"/>
                  <w:tcMar>
                    <w:left w:w="0" w:type="dxa"/>
                    <w:right w:w="0" w:type="dxa"/>
                  </w:tcMar>
                  <w:vAlign w:val="center"/>
                </w:tcPr>
                <w:p w14:paraId="2ACE3BB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70t/h</w:t>
                  </w:r>
                </w:p>
              </w:tc>
              <w:tc>
                <w:tcPr>
                  <w:tcW w:w="452" w:type="pct"/>
                  <w:tcBorders>
                    <w:tl2br w:val="nil"/>
                    <w:tr2bl w:val="nil"/>
                  </w:tcBorders>
                  <w:shd w:val="clear" w:color="auto" w:fill="auto"/>
                  <w:tcMar>
                    <w:left w:w="0" w:type="dxa"/>
                    <w:right w:w="0" w:type="dxa"/>
                  </w:tcMar>
                  <w:vAlign w:val="center"/>
                </w:tcPr>
                <w:p w14:paraId="658F17EF">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7200h</w:t>
                  </w:r>
                </w:p>
              </w:tc>
              <w:tc>
                <w:tcPr>
                  <w:tcW w:w="719" w:type="pct"/>
                  <w:tcBorders>
                    <w:tl2br w:val="nil"/>
                    <w:tr2bl w:val="nil"/>
                  </w:tcBorders>
                  <w:shd w:val="clear" w:color="auto" w:fill="auto"/>
                  <w:tcMar>
                    <w:left w:w="0" w:type="dxa"/>
                    <w:right w:w="0" w:type="dxa"/>
                  </w:tcMar>
                  <w:vAlign w:val="center"/>
                </w:tcPr>
                <w:p w14:paraId="56B91CA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50.4万吨</w:t>
                  </w:r>
                </w:p>
              </w:tc>
              <w:tc>
                <w:tcPr>
                  <w:tcW w:w="716" w:type="pct"/>
                  <w:vMerge w:val="restart"/>
                  <w:tcBorders>
                    <w:tl2br w:val="nil"/>
                    <w:tr2bl w:val="nil"/>
                  </w:tcBorders>
                  <w:shd w:val="clear" w:color="auto" w:fill="auto"/>
                  <w:tcMar>
                    <w:left w:w="0" w:type="dxa"/>
                    <w:right w:w="0" w:type="dxa"/>
                  </w:tcMar>
                  <w:vAlign w:val="center"/>
                </w:tcPr>
                <w:p w14:paraId="73276C28">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s="Times New Roman"/>
                      <w:color w:val="auto"/>
                      <w:sz w:val="21"/>
                      <w:szCs w:val="24"/>
                      <w:lang w:val="en-US" w:eastAsia="zh-CN" w:bidi="zh-CN"/>
                    </w:rPr>
                    <w:t>15万吨/年（2.5亿瓶）</w:t>
                  </w:r>
                </w:p>
              </w:tc>
              <w:tc>
                <w:tcPr>
                  <w:tcW w:w="566" w:type="pct"/>
                  <w:tcBorders>
                    <w:tl2br w:val="nil"/>
                    <w:tr2bl w:val="nil"/>
                  </w:tcBorders>
                  <w:shd w:val="clear" w:color="auto" w:fill="auto"/>
                  <w:tcMar>
                    <w:left w:w="0" w:type="dxa"/>
                    <w:right w:w="0" w:type="dxa"/>
                  </w:tcMar>
                  <w:vAlign w:val="center"/>
                </w:tcPr>
                <w:p w14:paraId="587D67B9">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满足</w:t>
                  </w:r>
                </w:p>
              </w:tc>
            </w:tr>
            <w:tr w14:paraId="535644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8" w:type="pct"/>
                  <w:vMerge w:val="restart"/>
                  <w:tcBorders>
                    <w:tl2br w:val="nil"/>
                    <w:tr2bl w:val="nil"/>
                  </w:tcBorders>
                  <w:shd w:val="clear" w:color="auto" w:fill="auto"/>
                  <w:vAlign w:val="center"/>
                </w:tcPr>
                <w:p w14:paraId="1910536B">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制瓶灌装</w:t>
                  </w:r>
                </w:p>
              </w:tc>
              <w:tc>
                <w:tcPr>
                  <w:tcW w:w="878" w:type="pct"/>
                  <w:tcBorders>
                    <w:tl2br w:val="nil"/>
                    <w:tr2bl w:val="nil"/>
                  </w:tcBorders>
                  <w:shd w:val="clear" w:color="auto" w:fill="auto"/>
                  <w:vAlign w:val="center"/>
                </w:tcPr>
                <w:p w14:paraId="6A5A7DFF">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灌旋一体机</w:t>
                  </w:r>
                </w:p>
              </w:tc>
              <w:tc>
                <w:tcPr>
                  <w:tcW w:w="355" w:type="pct"/>
                  <w:tcBorders>
                    <w:tl2br w:val="nil"/>
                    <w:tr2bl w:val="nil"/>
                  </w:tcBorders>
                  <w:shd w:val="clear" w:color="auto" w:fill="auto"/>
                  <w:tcMar>
                    <w:left w:w="0" w:type="dxa"/>
                    <w:right w:w="0" w:type="dxa"/>
                  </w:tcMar>
                  <w:vAlign w:val="center"/>
                </w:tcPr>
                <w:p w14:paraId="0E99D8A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1台</w:t>
                  </w:r>
                </w:p>
              </w:tc>
              <w:tc>
                <w:tcPr>
                  <w:tcW w:w="692" w:type="pct"/>
                  <w:tcBorders>
                    <w:tl2br w:val="nil"/>
                    <w:tr2bl w:val="nil"/>
                  </w:tcBorders>
                  <w:shd w:val="clear" w:color="auto" w:fill="auto"/>
                  <w:tcMar>
                    <w:left w:w="0" w:type="dxa"/>
                    <w:right w:w="0" w:type="dxa"/>
                  </w:tcMar>
                  <w:vAlign w:val="center"/>
                </w:tcPr>
                <w:p w14:paraId="74EC510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22t/h</w:t>
                  </w:r>
                </w:p>
              </w:tc>
              <w:tc>
                <w:tcPr>
                  <w:tcW w:w="452" w:type="pct"/>
                  <w:tcBorders>
                    <w:tl2br w:val="nil"/>
                    <w:tr2bl w:val="nil"/>
                  </w:tcBorders>
                  <w:shd w:val="clear" w:color="auto" w:fill="auto"/>
                  <w:tcMar>
                    <w:left w:w="0" w:type="dxa"/>
                    <w:right w:w="0" w:type="dxa"/>
                  </w:tcMar>
                  <w:vAlign w:val="center"/>
                </w:tcPr>
                <w:p w14:paraId="2789B11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7200h</w:t>
                  </w:r>
                </w:p>
              </w:tc>
              <w:tc>
                <w:tcPr>
                  <w:tcW w:w="719" w:type="pct"/>
                  <w:tcBorders>
                    <w:tl2br w:val="nil"/>
                    <w:tr2bl w:val="nil"/>
                  </w:tcBorders>
                  <w:shd w:val="clear" w:color="auto" w:fill="auto"/>
                  <w:tcMar>
                    <w:left w:w="0" w:type="dxa"/>
                    <w:right w:w="0" w:type="dxa"/>
                  </w:tcMar>
                  <w:vAlign w:val="center"/>
                </w:tcPr>
                <w:p w14:paraId="6B9FE2EE">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15.84万吨</w:t>
                  </w:r>
                </w:p>
              </w:tc>
              <w:tc>
                <w:tcPr>
                  <w:tcW w:w="716" w:type="pct"/>
                  <w:vMerge w:val="continue"/>
                  <w:tcBorders>
                    <w:tl2br w:val="nil"/>
                    <w:tr2bl w:val="nil"/>
                  </w:tcBorders>
                  <w:shd w:val="clear" w:color="auto" w:fill="auto"/>
                  <w:tcMar>
                    <w:left w:w="0" w:type="dxa"/>
                    <w:right w:w="0" w:type="dxa"/>
                  </w:tcMar>
                  <w:vAlign w:val="center"/>
                </w:tcPr>
                <w:p w14:paraId="03F42CCA">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p>
              </w:tc>
              <w:tc>
                <w:tcPr>
                  <w:tcW w:w="566" w:type="pct"/>
                  <w:tcBorders>
                    <w:tl2br w:val="nil"/>
                    <w:tr2bl w:val="nil"/>
                  </w:tcBorders>
                  <w:shd w:val="clear" w:color="auto" w:fill="auto"/>
                  <w:tcMar>
                    <w:left w:w="0" w:type="dxa"/>
                    <w:right w:w="0" w:type="dxa"/>
                  </w:tcMar>
                  <w:vAlign w:val="center"/>
                </w:tcPr>
                <w:p w14:paraId="7F84E31C">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满足</w:t>
                  </w:r>
                </w:p>
              </w:tc>
            </w:tr>
            <w:tr w14:paraId="310B61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8" w:type="pct"/>
                  <w:vMerge w:val="continue"/>
                  <w:tcBorders>
                    <w:tl2br w:val="nil"/>
                    <w:tr2bl w:val="nil"/>
                  </w:tcBorders>
                  <w:shd w:val="clear" w:color="auto" w:fill="auto"/>
                  <w:vAlign w:val="center"/>
                </w:tcPr>
                <w:p w14:paraId="280C3A2A">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olor w:val="auto"/>
                      <w:highlight w:val="none"/>
                      <w:lang w:val="en-US" w:eastAsia="zh-CN"/>
                    </w:rPr>
                  </w:pPr>
                </w:p>
              </w:tc>
              <w:tc>
                <w:tcPr>
                  <w:tcW w:w="878" w:type="pct"/>
                  <w:tcBorders>
                    <w:tl2br w:val="nil"/>
                    <w:tr2bl w:val="nil"/>
                  </w:tcBorders>
                  <w:shd w:val="clear" w:color="auto" w:fill="auto"/>
                  <w:vAlign w:val="center"/>
                </w:tcPr>
                <w:p w14:paraId="0A8D00B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吹瓶机</w:t>
                  </w:r>
                </w:p>
              </w:tc>
              <w:tc>
                <w:tcPr>
                  <w:tcW w:w="355" w:type="pct"/>
                  <w:tcBorders>
                    <w:tl2br w:val="nil"/>
                    <w:tr2bl w:val="nil"/>
                  </w:tcBorders>
                  <w:shd w:val="clear" w:color="auto" w:fill="auto"/>
                  <w:tcMar>
                    <w:left w:w="0" w:type="dxa"/>
                    <w:right w:w="0" w:type="dxa"/>
                  </w:tcMar>
                  <w:vAlign w:val="center"/>
                </w:tcPr>
                <w:p w14:paraId="6C66F43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1台</w:t>
                  </w:r>
                </w:p>
              </w:tc>
              <w:tc>
                <w:tcPr>
                  <w:tcW w:w="692" w:type="pct"/>
                  <w:tcBorders>
                    <w:tl2br w:val="nil"/>
                    <w:tr2bl w:val="nil"/>
                  </w:tcBorders>
                  <w:shd w:val="clear" w:color="auto" w:fill="auto"/>
                  <w:tcMar>
                    <w:left w:w="0" w:type="dxa"/>
                    <w:right w:w="0" w:type="dxa"/>
                  </w:tcMar>
                  <w:vAlign w:val="center"/>
                </w:tcPr>
                <w:p w14:paraId="3C4AF10A">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5万个/h</w:t>
                  </w:r>
                </w:p>
              </w:tc>
              <w:tc>
                <w:tcPr>
                  <w:tcW w:w="452" w:type="pct"/>
                  <w:tcBorders>
                    <w:tl2br w:val="nil"/>
                    <w:tr2bl w:val="nil"/>
                  </w:tcBorders>
                  <w:shd w:val="clear" w:color="auto" w:fill="auto"/>
                  <w:tcMar>
                    <w:left w:w="0" w:type="dxa"/>
                    <w:right w:w="0" w:type="dxa"/>
                  </w:tcMar>
                  <w:vAlign w:val="center"/>
                </w:tcPr>
                <w:p w14:paraId="1988E5CB">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7200h</w:t>
                  </w:r>
                </w:p>
              </w:tc>
              <w:tc>
                <w:tcPr>
                  <w:tcW w:w="719" w:type="pct"/>
                  <w:tcBorders>
                    <w:tl2br w:val="nil"/>
                    <w:tr2bl w:val="nil"/>
                  </w:tcBorders>
                  <w:shd w:val="clear" w:color="auto" w:fill="auto"/>
                  <w:tcMar>
                    <w:left w:w="0" w:type="dxa"/>
                    <w:right w:w="0" w:type="dxa"/>
                  </w:tcMar>
                  <w:vAlign w:val="center"/>
                </w:tcPr>
                <w:p w14:paraId="1ED16E7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3.6亿个</w:t>
                  </w:r>
                </w:p>
              </w:tc>
              <w:tc>
                <w:tcPr>
                  <w:tcW w:w="716" w:type="pct"/>
                  <w:vMerge w:val="continue"/>
                  <w:tcBorders>
                    <w:tl2br w:val="nil"/>
                    <w:tr2bl w:val="nil"/>
                  </w:tcBorders>
                  <w:shd w:val="clear" w:color="auto" w:fill="auto"/>
                  <w:tcMar>
                    <w:left w:w="0" w:type="dxa"/>
                    <w:right w:w="0" w:type="dxa"/>
                  </w:tcMar>
                  <w:vAlign w:val="center"/>
                </w:tcPr>
                <w:p w14:paraId="2C2B7006">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p>
              </w:tc>
              <w:tc>
                <w:tcPr>
                  <w:tcW w:w="566" w:type="pct"/>
                  <w:tcBorders>
                    <w:tl2br w:val="nil"/>
                    <w:tr2bl w:val="nil"/>
                  </w:tcBorders>
                  <w:shd w:val="clear" w:color="auto" w:fill="auto"/>
                  <w:tcMar>
                    <w:left w:w="0" w:type="dxa"/>
                    <w:right w:w="0" w:type="dxa"/>
                  </w:tcMar>
                  <w:vAlign w:val="center"/>
                </w:tcPr>
                <w:p w14:paraId="054BE542">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满足</w:t>
                  </w:r>
                </w:p>
              </w:tc>
            </w:tr>
            <w:tr w14:paraId="5802AF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8" w:type="pct"/>
                  <w:vMerge w:val="continue"/>
                  <w:tcBorders>
                    <w:tl2br w:val="nil"/>
                    <w:tr2bl w:val="nil"/>
                  </w:tcBorders>
                  <w:shd w:val="clear" w:color="auto" w:fill="auto"/>
                  <w:vAlign w:val="center"/>
                </w:tcPr>
                <w:p w14:paraId="0A8A31B0">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olor w:val="auto"/>
                      <w:highlight w:val="none"/>
                      <w:lang w:val="en-US" w:eastAsia="zh-CN"/>
                    </w:rPr>
                  </w:pPr>
                </w:p>
              </w:tc>
              <w:tc>
                <w:tcPr>
                  <w:tcW w:w="878" w:type="pct"/>
                  <w:tcBorders>
                    <w:tl2br w:val="nil"/>
                    <w:tr2bl w:val="nil"/>
                  </w:tcBorders>
                  <w:shd w:val="clear" w:color="auto" w:fill="auto"/>
                  <w:vAlign w:val="center"/>
                </w:tcPr>
                <w:p w14:paraId="7854770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制盖机</w:t>
                  </w:r>
                </w:p>
              </w:tc>
              <w:tc>
                <w:tcPr>
                  <w:tcW w:w="355" w:type="pct"/>
                  <w:tcBorders>
                    <w:tl2br w:val="nil"/>
                    <w:tr2bl w:val="nil"/>
                  </w:tcBorders>
                  <w:shd w:val="clear" w:color="auto" w:fill="auto"/>
                  <w:tcMar>
                    <w:left w:w="0" w:type="dxa"/>
                    <w:right w:w="0" w:type="dxa"/>
                  </w:tcMar>
                  <w:vAlign w:val="center"/>
                </w:tcPr>
                <w:p w14:paraId="6387AA62">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1台</w:t>
                  </w:r>
                </w:p>
              </w:tc>
              <w:tc>
                <w:tcPr>
                  <w:tcW w:w="692" w:type="pct"/>
                  <w:tcBorders>
                    <w:tl2br w:val="nil"/>
                    <w:tr2bl w:val="nil"/>
                  </w:tcBorders>
                  <w:shd w:val="clear" w:color="auto" w:fill="auto"/>
                  <w:tcMar>
                    <w:left w:w="0" w:type="dxa"/>
                    <w:right w:w="0" w:type="dxa"/>
                  </w:tcMar>
                  <w:vAlign w:val="center"/>
                </w:tcPr>
                <w:p w14:paraId="0B6A288E">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5万个/h</w:t>
                  </w:r>
                </w:p>
              </w:tc>
              <w:tc>
                <w:tcPr>
                  <w:tcW w:w="452" w:type="pct"/>
                  <w:tcBorders>
                    <w:tl2br w:val="nil"/>
                    <w:tr2bl w:val="nil"/>
                  </w:tcBorders>
                  <w:shd w:val="clear" w:color="auto" w:fill="auto"/>
                  <w:tcMar>
                    <w:left w:w="0" w:type="dxa"/>
                    <w:right w:w="0" w:type="dxa"/>
                  </w:tcMar>
                  <w:vAlign w:val="center"/>
                </w:tcPr>
                <w:p w14:paraId="1AEB8835">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7200h</w:t>
                  </w:r>
                </w:p>
              </w:tc>
              <w:tc>
                <w:tcPr>
                  <w:tcW w:w="719" w:type="pct"/>
                  <w:tcBorders>
                    <w:tl2br w:val="nil"/>
                    <w:tr2bl w:val="nil"/>
                  </w:tcBorders>
                  <w:shd w:val="clear" w:color="auto" w:fill="auto"/>
                  <w:tcMar>
                    <w:left w:w="0" w:type="dxa"/>
                    <w:right w:w="0" w:type="dxa"/>
                  </w:tcMar>
                  <w:vAlign w:val="center"/>
                </w:tcPr>
                <w:p w14:paraId="224C42C7">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3.6亿个</w:t>
                  </w:r>
                </w:p>
              </w:tc>
              <w:tc>
                <w:tcPr>
                  <w:tcW w:w="716" w:type="pct"/>
                  <w:vMerge w:val="continue"/>
                  <w:tcBorders>
                    <w:tl2br w:val="nil"/>
                    <w:tr2bl w:val="nil"/>
                  </w:tcBorders>
                  <w:shd w:val="clear" w:color="auto" w:fill="auto"/>
                  <w:tcMar>
                    <w:left w:w="0" w:type="dxa"/>
                    <w:right w:w="0" w:type="dxa"/>
                  </w:tcMar>
                  <w:vAlign w:val="center"/>
                </w:tcPr>
                <w:p w14:paraId="43B1D50E">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p>
              </w:tc>
              <w:tc>
                <w:tcPr>
                  <w:tcW w:w="566" w:type="pct"/>
                  <w:tcBorders>
                    <w:tl2br w:val="nil"/>
                    <w:tr2bl w:val="nil"/>
                  </w:tcBorders>
                  <w:shd w:val="clear" w:color="auto" w:fill="auto"/>
                  <w:tcMar>
                    <w:left w:w="0" w:type="dxa"/>
                    <w:right w:w="0" w:type="dxa"/>
                  </w:tcMar>
                  <w:vAlign w:val="center"/>
                </w:tcPr>
                <w:p w14:paraId="634A9BE6">
                  <w:pPr>
                    <w:pStyle w:val="21"/>
                    <w:keepNext w:val="0"/>
                    <w:keepLines w:val="0"/>
                    <w:suppressLineNumbers w:val="0"/>
                    <w:bidi w:val="0"/>
                    <w:spacing w:before="0" w:beforeAutospacing="0" w:after="0" w:afterAutospacing="0"/>
                    <w:ind w:left="0" w:leftChars="0" w:right="0" w:rightChars="0" w:firstLine="0" w:firstLineChars="0"/>
                    <w:rPr>
                      <w:rFonts w:hint="eastAsia"/>
                      <w:color w:val="auto"/>
                      <w:lang w:val="en-US" w:eastAsia="zh-CN"/>
                    </w:rPr>
                  </w:pPr>
                  <w:r>
                    <w:rPr>
                      <w:rFonts w:hint="eastAsia"/>
                      <w:color w:val="auto"/>
                      <w:lang w:val="en-US" w:eastAsia="zh-CN"/>
                    </w:rPr>
                    <w:t>满足</w:t>
                  </w:r>
                </w:p>
              </w:tc>
            </w:tr>
          </w:tbl>
          <w:p w14:paraId="1297194E">
            <w:pPr>
              <w:keepNext w:val="0"/>
              <w:keepLines w:val="0"/>
              <w:suppressLineNumbers w:val="0"/>
              <w:bidi w:val="0"/>
              <w:spacing w:before="0" w:beforeAutospacing="0" w:after="0" w:afterAutospacing="0"/>
              <w:ind w:left="0" w:right="0"/>
              <w:rPr>
                <w:rFonts w:hint="default" w:eastAsia="宋体"/>
                <w:color w:val="auto"/>
                <w:lang w:val="en-US" w:eastAsia="zh-CN"/>
              </w:rPr>
            </w:pPr>
            <w:r>
              <w:rPr>
                <w:rFonts w:hint="eastAsia"/>
                <w:color w:val="auto"/>
                <w:lang w:val="en-US" w:eastAsia="zh-CN"/>
              </w:rPr>
              <w:t>根据上表分析，本项目主要生产设施产能满足本项目生产需要。</w:t>
            </w:r>
          </w:p>
          <w:p w14:paraId="38AD861C">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6、水平衡</w:t>
            </w:r>
          </w:p>
          <w:p w14:paraId="73FEB211">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本项目运营期用水及排水情况如下：</w:t>
            </w:r>
          </w:p>
          <w:p w14:paraId="0D022479">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（1）生活用水</w:t>
            </w:r>
          </w:p>
          <w:p w14:paraId="263DF7D2">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本项目员工定员</w:t>
            </w:r>
            <w:r>
              <w:rPr>
                <w:rFonts w:hint="eastAsia"/>
                <w:color w:val="auto"/>
                <w:highlight w:val="none"/>
                <w:lang w:val="en-US" w:eastAsia="zh-CN"/>
              </w:rPr>
              <w:t>4</w:t>
            </w:r>
            <w:r>
              <w:rPr>
                <w:rFonts w:hint="eastAsia" w:ascii="Times New Roman" w:hAnsi="Times New Roman" w:eastAsia="宋体"/>
                <w:color w:val="auto"/>
                <w:highlight w:val="none"/>
                <w:lang w:val="en-US" w:eastAsia="zh-CN"/>
              </w:rPr>
              <w:t>0</w:t>
            </w:r>
            <w:r>
              <w:rPr>
                <w:rFonts w:hint="eastAsia" w:ascii="Times New Roman" w:hAnsi="Times New Roman" w:eastAsia="宋体"/>
                <w:color w:val="auto"/>
                <w:highlight w:val="none"/>
                <w:lang w:val="en-US"/>
              </w:rPr>
              <w:t>人，年工作300天，</w:t>
            </w:r>
            <w:r>
              <w:rPr>
                <w:rFonts w:hint="eastAsia"/>
                <w:color w:val="auto"/>
                <w:highlight w:val="none"/>
                <w:lang w:val="en-US" w:eastAsia="zh-CN"/>
              </w:rPr>
              <w:t>配套倒班宿舍，设公用盥洗卫生间</w:t>
            </w:r>
            <w:r>
              <w:rPr>
                <w:rFonts w:hint="eastAsia" w:ascii="Times New Roman" w:hAnsi="Times New Roman" w:eastAsia="宋体"/>
                <w:color w:val="auto"/>
                <w:highlight w:val="none"/>
                <w:lang w:val="en-US"/>
              </w:rPr>
              <w:t>，根据《建筑给水排水设计标准》（GB50015-2019）</w:t>
            </w:r>
            <w:r>
              <w:rPr>
                <w:rFonts w:hint="eastAsia"/>
                <w:color w:val="auto"/>
                <w:highlight w:val="none"/>
                <w:lang w:val="en-US" w:eastAsia="zh-CN"/>
              </w:rPr>
              <w:t>宿舍</w:t>
            </w:r>
            <w:r>
              <w:rPr>
                <w:rFonts w:hint="eastAsia" w:ascii="Times New Roman" w:hAnsi="Times New Roman" w:eastAsia="宋体"/>
                <w:color w:val="auto"/>
                <w:highlight w:val="none"/>
                <w:lang w:val="en-US"/>
              </w:rPr>
              <w:t>生活用水定额为每人每天</w:t>
            </w:r>
            <w:r>
              <w:rPr>
                <w:rFonts w:hint="eastAsia"/>
                <w:color w:val="auto"/>
                <w:highlight w:val="none"/>
                <w:lang w:val="en-US" w:eastAsia="zh-CN"/>
              </w:rPr>
              <w:t>9</w:t>
            </w:r>
            <w:r>
              <w:rPr>
                <w:rFonts w:hint="eastAsia" w:ascii="Times New Roman" w:hAnsi="Times New Roman" w:eastAsia="宋体"/>
                <w:color w:val="auto"/>
                <w:highlight w:val="none"/>
                <w:lang w:val="en-US"/>
              </w:rPr>
              <w:t>0～</w:t>
            </w:r>
            <w:r>
              <w:rPr>
                <w:rFonts w:hint="eastAsia"/>
                <w:color w:val="auto"/>
                <w:highlight w:val="none"/>
                <w:lang w:val="en-US" w:eastAsia="zh-CN"/>
              </w:rPr>
              <w:t>12</w:t>
            </w:r>
            <w:r>
              <w:rPr>
                <w:rFonts w:hint="eastAsia" w:ascii="Times New Roman" w:hAnsi="Times New Roman" w:eastAsia="宋体"/>
                <w:color w:val="auto"/>
                <w:highlight w:val="none"/>
                <w:lang w:val="en-US"/>
              </w:rPr>
              <w:t>0L，本项目取每人每天用水量</w:t>
            </w:r>
            <w:r>
              <w:rPr>
                <w:rFonts w:hint="eastAsia"/>
                <w:color w:val="auto"/>
                <w:highlight w:val="none"/>
                <w:lang w:val="en-US" w:eastAsia="zh-CN"/>
              </w:rPr>
              <w:t>10</w:t>
            </w:r>
            <w:r>
              <w:rPr>
                <w:rFonts w:hint="eastAsia" w:ascii="Times New Roman" w:hAnsi="Times New Roman" w:eastAsia="宋体"/>
                <w:color w:val="auto"/>
                <w:highlight w:val="none"/>
                <w:lang w:val="en-US"/>
              </w:rPr>
              <w:t>0L</w:t>
            </w:r>
            <w:r>
              <w:rPr>
                <w:rFonts w:hint="eastAsia"/>
                <w:color w:val="auto"/>
                <w:highlight w:val="none"/>
                <w:lang w:val="en-US" w:eastAsia="zh-CN"/>
              </w:rPr>
              <w:t>计算</w:t>
            </w:r>
            <w:r>
              <w:rPr>
                <w:rFonts w:hint="eastAsia" w:ascii="Times New Roman" w:hAnsi="Times New Roman" w:eastAsia="宋体"/>
                <w:color w:val="auto"/>
                <w:highlight w:val="none"/>
                <w:lang w:val="en-US"/>
              </w:rPr>
              <w:t>，则生活用水量为</w:t>
            </w:r>
            <w:r>
              <w:rPr>
                <w:rFonts w:hint="eastAsia"/>
                <w:color w:val="auto"/>
                <w:highlight w:val="none"/>
                <w:lang w:val="en-US" w:eastAsia="zh-CN"/>
              </w:rPr>
              <w:t>12</w:t>
            </w:r>
            <w:r>
              <w:rPr>
                <w:rFonts w:hint="eastAsia" w:ascii="Times New Roman" w:hAnsi="Times New Roman" w:eastAsia="宋体"/>
                <w:color w:val="auto"/>
                <w:highlight w:val="none"/>
                <w:lang w:val="en-US" w:eastAsia="zh-CN"/>
              </w:rPr>
              <w:t>0</w:t>
            </w:r>
            <w:r>
              <w:rPr>
                <w:rFonts w:hint="eastAsia" w:ascii="Times New Roman" w:hAnsi="Times New Roman" w:eastAsia="宋体"/>
                <w:color w:val="auto"/>
                <w:highlight w:val="none"/>
                <w:lang w:val="en-US"/>
              </w:rPr>
              <w:t>0t/a，产污系数以0.8计，则生活污水产生量约</w:t>
            </w:r>
            <w:r>
              <w:rPr>
                <w:rFonts w:hint="eastAsia"/>
                <w:color w:val="auto"/>
                <w:highlight w:val="none"/>
                <w:lang w:val="en-US" w:eastAsia="zh-CN"/>
              </w:rPr>
              <w:t>960</w:t>
            </w:r>
            <w:r>
              <w:rPr>
                <w:rFonts w:hint="eastAsia" w:ascii="Times New Roman" w:hAnsi="Times New Roman" w:eastAsia="宋体"/>
                <w:color w:val="auto"/>
                <w:highlight w:val="none"/>
                <w:lang w:val="en-US"/>
              </w:rPr>
              <w:t>t/a，经化粪池</w:t>
            </w:r>
            <w:r>
              <w:rPr>
                <w:rFonts w:hint="eastAsia"/>
                <w:color w:val="auto"/>
                <w:highlight w:val="none"/>
                <w:lang w:val="en-US" w:eastAsia="zh-CN"/>
              </w:rPr>
              <w:t>及南京娃哈哈有限公司厂区污水处理设施</w:t>
            </w:r>
            <w:r>
              <w:rPr>
                <w:rFonts w:hint="eastAsia" w:ascii="Times New Roman" w:hAnsi="Times New Roman" w:eastAsia="宋体"/>
                <w:color w:val="auto"/>
                <w:highlight w:val="none"/>
                <w:lang w:val="en-US"/>
              </w:rPr>
              <w:t>预处理后接管至</w:t>
            </w:r>
            <w:r>
              <w:rPr>
                <w:rFonts w:hint="eastAsia"/>
                <w:color w:val="auto"/>
                <w:highlight w:val="none"/>
                <w:lang w:val="en-US" w:eastAsia="zh-CN"/>
              </w:rPr>
              <w:t>空港</w:t>
            </w:r>
            <w:r>
              <w:rPr>
                <w:rFonts w:hint="eastAsia" w:ascii="Times New Roman" w:hAnsi="Times New Roman" w:eastAsia="宋体"/>
                <w:color w:val="auto"/>
                <w:highlight w:val="none"/>
                <w:lang w:val="en-US"/>
              </w:rPr>
              <w:t>污水处理厂集中处理，尾水排入</w:t>
            </w:r>
            <w:r>
              <w:rPr>
                <w:rFonts w:hint="eastAsia"/>
                <w:color w:val="auto"/>
                <w:highlight w:val="none"/>
                <w:lang w:val="en-US" w:eastAsia="zh-CN"/>
              </w:rPr>
              <w:t>云台山</w:t>
            </w:r>
            <w:r>
              <w:rPr>
                <w:rFonts w:hint="eastAsia" w:ascii="Times New Roman" w:hAnsi="Times New Roman" w:eastAsia="宋体"/>
                <w:color w:val="auto"/>
                <w:highlight w:val="none"/>
                <w:lang w:val="en-US"/>
              </w:rPr>
              <w:t>河。</w:t>
            </w:r>
          </w:p>
          <w:p w14:paraId="1C14AA0E">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（2）食堂废水</w:t>
            </w:r>
          </w:p>
          <w:p w14:paraId="59B9F642">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rPr>
            </w:pPr>
            <w:r>
              <w:rPr>
                <w:rFonts w:hint="eastAsia"/>
                <w:color w:val="auto"/>
                <w:highlight w:val="none"/>
                <w:lang w:val="en-US" w:eastAsia="zh-CN"/>
              </w:rPr>
              <w:t>建设单位员工在南京娃哈哈有限公司食堂就餐，每日在食堂就餐两次，</w:t>
            </w:r>
            <w:r>
              <w:rPr>
                <w:rFonts w:hint="eastAsia" w:ascii="Times New Roman" w:hAnsi="Times New Roman" w:eastAsia="宋体"/>
                <w:color w:val="auto"/>
                <w:highlight w:val="none"/>
                <w:lang w:val="en-US"/>
              </w:rPr>
              <w:t>年工作300天</w:t>
            </w:r>
            <w:r>
              <w:rPr>
                <w:rFonts w:hint="eastAsia"/>
                <w:color w:val="auto"/>
                <w:highlight w:val="none"/>
                <w:lang w:val="en-US" w:eastAsia="zh-CN"/>
              </w:rPr>
              <w:t>，</w:t>
            </w:r>
            <w:r>
              <w:rPr>
                <w:rFonts w:hint="eastAsia" w:ascii="Times New Roman" w:hAnsi="Times New Roman" w:eastAsia="宋体"/>
                <w:color w:val="auto"/>
                <w:highlight w:val="none"/>
                <w:lang w:val="en-US"/>
              </w:rPr>
              <w:t>食堂用水参照《建筑给水排水设计标准》（GB50015-2019），一餐用水按照25L/人·次，则</w:t>
            </w:r>
            <w:r>
              <w:rPr>
                <w:rFonts w:hint="eastAsia"/>
                <w:color w:val="auto"/>
                <w:highlight w:val="none"/>
                <w:lang w:val="en-US" w:eastAsia="zh-CN"/>
              </w:rPr>
              <w:t>本项目建成后建设单位</w:t>
            </w:r>
            <w:r>
              <w:rPr>
                <w:rFonts w:hint="eastAsia" w:ascii="Times New Roman" w:hAnsi="Times New Roman" w:eastAsia="宋体"/>
                <w:color w:val="auto"/>
                <w:highlight w:val="none"/>
                <w:lang w:val="en-US" w:eastAsia="zh-CN"/>
              </w:rPr>
              <w:t>食堂</w:t>
            </w:r>
            <w:r>
              <w:rPr>
                <w:rFonts w:hint="eastAsia" w:ascii="Times New Roman" w:hAnsi="Times New Roman" w:eastAsia="宋体"/>
                <w:color w:val="auto"/>
                <w:highlight w:val="none"/>
                <w:lang w:val="en-US"/>
              </w:rPr>
              <w:t>用水量约为</w:t>
            </w:r>
            <w:r>
              <w:rPr>
                <w:rFonts w:hint="eastAsia"/>
                <w:color w:val="auto"/>
                <w:highlight w:val="none"/>
                <w:lang w:val="en-US" w:eastAsia="zh-CN"/>
              </w:rPr>
              <w:t>600</w:t>
            </w:r>
            <w:r>
              <w:rPr>
                <w:rFonts w:hint="eastAsia" w:ascii="Times New Roman" w:hAnsi="Times New Roman" w:eastAsia="宋体"/>
                <w:color w:val="auto"/>
                <w:highlight w:val="none"/>
                <w:lang w:val="en-US"/>
              </w:rPr>
              <w:t>t/a</w:t>
            </w:r>
            <w:r>
              <w:rPr>
                <w:rFonts w:hint="eastAsia" w:ascii="Times New Roman" w:hAnsi="Times New Roman" w:eastAsia="宋体"/>
                <w:color w:val="auto"/>
                <w:highlight w:val="none"/>
                <w:lang w:val="en-US" w:eastAsia="zh-CN"/>
              </w:rPr>
              <w:t>，</w:t>
            </w:r>
            <w:r>
              <w:rPr>
                <w:rFonts w:hint="eastAsia" w:ascii="Times New Roman" w:hAnsi="Times New Roman" w:eastAsia="宋体"/>
                <w:color w:val="auto"/>
                <w:highlight w:val="none"/>
                <w:lang w:val="en-US"/>
              </w:rPr>
              <w:t>产污系数以0.8计，则</w:t>
            </w:r>
            <w:r>
              <w:rPr>
                <w:rFonts w:hint="eastAsia"/>
                <w:color w:val="auto"/>
                <w:highlight w:val="none"/>
                <w:lang w:val="en-US" w:eastAsia="zh-CN"/>
              </w:rPr>
              <w:t>产生食堂废水</w:t>
            </w:r>
            <w:r>
              <w:rPr>
                <w:rFonts w:hint="eastAsia" w:ascii="Times New Roman" w:hAnsi="Times New Roman" w:eastAsia="宋体"/>
                <w:color w:val="auto"/>
                <w:highlight w:val="none"/>
                <w:lang w:val="en-US"/>
              </w:rPr>
              <w:t>约为</w:t>
            </w:r>
            <w:r>
              <w:rPr>
                <w:rFonts w:hint="eastAsia"/>
                <w:color w:val="auto"/>
                <w:highlight w:val="none"/>
                <w:lang w:val="en-US" w:eastAsia="zh-CN"/>
              </w:rPr>
              <w:t>480t/a，</w:t>
            </w:r>
            <w:r>
              <w:rPr>
                <w:rFonts w:hint="eastAsia" w:ascii="Times New Roman" w:hAnsi="Times New Roman" w:eastAsia="宋体"/>
                <w:color w:val="auto"/>
                <w:highlight w:val="none"/>
                <w:lang w:val="en-US" w:eastAsia="zh-CN"/>
              </w:rPr>
              <w:t>经隔油池</w:t>
            </w:r>
            <w:r>
              <w:rPr>
                <w:rFonts w:hint="eastAsia"/>
                <w:color w:val="auto"/>
                <w:highlight w:val="none"/>
                <w:lang w:val="en-US" w:eastAsia="zh-CN"/>
              </w:rPr>
              <w:t>及南京娃哈哈有限公司厂区污水处理设施</w:t>
            </w:r>
            <w:r>
              <w:rPr>
                <w:rFonts w:hint="eastAsia" w:ascii="Times New Roman" w:hAnsi="Times New Roman" w:eastAsia="宋体"/>
                <w:color w:val="auto"/>
                <w:highlight w:val="none"/>
                <w:lang w:val="en-US" w:eastAsia="zh-CN"/>
              </w:rPr>
              <w:t>预处理后接管</w:t>
            </w:r>
            <w:r>
              <w:rPr>
                <w:rFonts w:hint="eastAsia" w:ascii="Times New Roman" w:hAnsi="Times New Roman" w:eastAsia="宋体"/>
                <w:color w:val="auto"/>
                <w:highlight w:val="none"/>
                <w:lang w:val="en-US"/>
              </w:rPr>
              <w:t>至</w:t>
            </w:r>
            <w:r>
              <w:rPr>
                <w:rFonts w:hint="eastAsia"/>
                <w:color w:val="auto"/>
                <w:highlight w:val="none"/>
                <w:lang w:val="en-US" w:eastAsia="zh-CN"/>
              </w:rPr>
              <w:t>空港</w:t>
            </w:r>
            <w:r>
              <w:rPr>
                <w:rFonts w:hint="eastAsia" w:ascii="Times New Roman" w:hAnsi="Times New Roman" w:eastAsia="宋体"/>
                <w:color w:val="auto"/>
                <w:highlight w:val="none"/>
                <w:lang w:val="en-US"/>
              </w:rPr>
              <w:t>污水处理厂集中处理，尾水排入</w:t>
            </w:r>
            <w:r>
              <w:rPr>
                <w:rFonts w:hint="eastAsia"/>
                <w:color w:val="auto"/>
                <w:highlight w:val="none"/>
                <w:lang w:val="en-US" w:eastAsia="zh-CN"/>
              </w:rPr>
              <w:t>云台山</w:t>
            </w:r>
            <w:r>
              <w:rPr>
                <w:rFonts w:hint="eastAsia" w:ascii="Times New Roman" w:hAnsi="Times New Roman" w:eastAsia="宋体"/>
                <w:color w:val="auto"/>
                <w:highlight w:val="none"/>
                <w:lang w:val="en-US"/>
              </w:rPr>
              <w:t>河。</w:t>
            </w:r>
          </w:p>
          <w:p w14:paraId="68567B58">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（3）设备清洗用水</w:t>
            </w:r>
          </w:p>
          <w:p w14:paraId="1265B32C">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1）机滤反冲洗</w:t>
            </w:r>
          </w:p>
          <w:p w14:paraId="0B432C1F">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根据建设单位提供资料，叠片过滤器每工作一小时反冲洗一次，反冲洗使用自来水，每次持续1min，反冲洗流量为80t/h，叠片过滤器年运行7200小时，则机滤反冲洗用水量约为9600t/a，产物系数按0.9计算，产生设备清洗废水约8640t/a。</w:t>
            </w:r>
          </w:p>
          <w:p w14:paraId="0E6E8D96">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2）定期清洗和消毒</w:t>
            </w:r>
          </w:p>
          <w:p w14:paraId="52BD35FE">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根据建设单位提供资料，本项目各设施清洗和消毒用水情况见下表：</w:t>
            </w:r>
          </w:p>
          <w:p w14:paraId="3B0BEC16">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ascii="Times New Roman" w:hAnsi="Times New Roman" w:eastAsia="宋体"/>
                <w:color w:val="auto"/>
                <w:highlight w:val="none"/>
              </w:rPr>
              <w:t>表2-</w:t>
            </w:r>
            <w:r>
              <w:rPr>
                <w:rFonts w:hint="eastAsia"/>
                <w:color w:val="auto"/>
                <w:highlight w:val="none"/>
                <w:lang w:val="en-US" w:eastAsia="zh-CN"/>
              </w:rPr>
              <w:t>8清洗和消毒用水情况</w:t>
            </w:r>
            <w:r>
              <w:rPr>
                <w:rFonts w:ascii="Times New Roman" w:hAnsi="Times New Roman" w:eastAsia="宋体"/>
                <w:color w:val="auto"/>
                <w:highlight w:val="none"/>
              </w:rPr>
              <w:t>一览表</w:t>
            </w:r>
            <w:r>
              <w:rPr>
                <w:rFonts w:hint="eastAsia"/>
                <w:color w:val="auto"/>
                <w:highlight w:val="none"/>
                <w:lang w:val="en-US" w:eastAsia="zh-CN"/>
              </w:rPr>
              <w:t>单位：t</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69"/>
              <w:gridCol w:w="584"/>
              <w:gridCol w:w="1195"/>
              <w:gridCol w:w="763"/>
              <w:gridCol w:w="711"/>
              <w:gridCol w:w="789"/>
              <w:gridCol w:w="724"/>
              <w:gridCol w:w="725"/>
              <w:gridCol w:w="724"/>
              <w:gridCol w:w="1138"/>
            </w:tblGrid>
            <w:tr w14:paraId="28919F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436" w:type="pct"/>
                  <w:gridSpan w:val="3"/>
                  <w:vMerge w:val="restart"/>
                  <w:tcBorders>
                    <w:tl2br w:val="nil"/>
                    <w:tr2bl w:val="nil"/>
                  </w:tcBorders>
                  <w:vAlign w:val="center"/>
                </w:tcPr>
                <w:p w14:paraId="02B9960D">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eastAsia="zh-CN"/>
                    </w:rPr>
                  </w:pPr>
                  <w:r>
                    <w:rPr>
                      <w:rFonts w:hint="eastAsia"/>
                      <w:b/>
                      <w:bCs/>
                      <w:color w:val="auto"/>
                      <w:highlight w:val="none"/>
                      <w:lang w:val="en-US" w:eastAsia="zh-CN"/>
                    </w:rPr>
                    <w:t>设施名称</w:t>
                  </w:r>
                </w:p>
              </w:tc>
              <w:tc>
                <w:tcPr>
                  <w:tcW w:w="1446" w:type="pct"/>
                  <w:gridSpan w:val="3"/>
                  <w:tcBorders>
                    <w:tl2br w:val="nil"/>
                    <w:tr2bl w:val="nil"/>
                  </w:tcBorders>
                  <w:vAlign w:val="center"/>
                </w:tcPr>
                <w:p w14:paraId="49920F54">
                  <w:pPr>
                    <w:pStyle w:val="21"/>
                    <w:keepNext w:val="0"/>
                    <w:keepLines w:val="0"/>
                    <w:suppressLineNumbers w:val="0"/>
                    <w:spacing w:before="0" w:beforeAutospacing="0" w:after="0" w:afterAutospacing="0"/>
                    <w:ind w:left="0" w:right="0"/>
                    <w:rPr>
                      <w:rFonts w:hint="eastAsia"/>
                      <w:b/>
                      <w:bCs/>
                      <w:color w:val="auto"/>
                      <w:highlight w:val="none"/>
                      <w:lang w:val="en-US" w:eastAsia="zh-CN"/>
                    </w:rPr>
                  </w:pPr>
                  <w:r>
                    <w:rPr>
                      <w:rFonts w:hint="eastAsia"/>
                      <w:b/>
                      <w:bCs/>
                      <w:color w:val="auto"/>
                      <w:highlight w:val="none"/>
                      <w:lang w:val="en-US" w:eastAsia="zh-CN"/>
                    </w:rPr>
                    <w:t>清洗</w:t>
                  </w:r>
                </w:p>
              </w:tc>
              <w:tc>
                <w:tcPr>
                  <w:tcW w:w="1389" w:type="pct"/>
                  <w:gridSpan w:val="3"/>
                  <w:tcBorders>
                    <w:tl2br w:val="nil"/>
                    <w:tr2bl w:val="nil"/>
                  </w:tcBorders>
                  <w:vAlign w:val="center"/>
                </w:tcPr>
                <w:p w14:paraId="61E5121A">
                  <w:pPr>
                    <w:pStyle w:val="21"/>
                    <w:keepNext w:val="0"/>
                    <w:keepLines w:val="0"/>
                    <w:suppressLineNumbers w:val="0"/>
                    <w:spacing w:before="0" w:beforeAutospacing="0" w:after="0" w:afterAutospacing="0"/>
                    <w:ind w:left="0" w:right="0"/>
                    <w:rPr>
                      <w:rFonts w:hint="eastAsia"/>
                      <w:b/>
                      <w:bCs/>
                      <w:color w:val="auto"/>
                      <w:highlight w:val="none"/>
                      <w:lang w:val="en-US" w:eastAsia="zh-CN"/>
                    </w:rPr>
                  </w:pPr>
                  <w:r>
                    <w:rPr>
                      <w:rFonts w:hint="eastAsia"/>
                      <w:b/>
                      <w:bCs/>
                      <w:color w:val="auto"/>
                      <w:highlight w:val="none"/>
                      <w:lang w:val="en-US" w:eastAsia="zh-CN"/>
                    </w:rPr>
                    <w:t>消毒</w:t>
                  </w:r>
                </w:p>
              </w:tc>
              <w:tc>
                <w:tcPr>
                  <w:tcW w:w="727" w:type="pct"/>
                  <w:vMerge w:val="restart"/>
                  <w:tcBorders>
                    <w:tl2br w:val="nil"/>
                    <w:tr2bl w:val="nil"/>
                  </w:tcBorders>
                  <w:vAlign w:val="center"/>
                </w:tcPr>
                <w:p w14:paraId="0E3E8EB2">
                  <w:pPr>
                    <w:pStyle w:val="21"/>
                    <w:keepNext w:val="0"/>
                    <w:keepLines w:val="0"/>
                    <w:suppressLineNumbers w:val="0"/>
                    <w:spacing w:before="0" w:beforeAutospacing="0" w:after="0" w:afterAutospacing="0"/>
                    <w:ind w:left="0" w:right="0"/>
                    <w:rPr>
                      <w:rFonts w:hint="default"/>
                      <w:b/>
                      <w:bCs/>
                      <w:color w:val="auto"/>
                      <w:highlight w:val="none"/>
                      <w:lang w:val="en-US" w:eastAsia="zh-CN"/>
                    </w:rPr>
                  </w:pPr>
                  <w:r>
                    <w:rPr>
                      <w:rFonts w:hint="eastAsia"/>
                      <w:b/>
                      <w:bCs/>
                      <w:color w:val="auto"/>
                      <w:highlight w:val="none"/>
                      <w:lang w:val="en-US" w:eastAsia="zh-CN"/>
                    </w:rPr>
                    <w:t>合计</w:t>
                  </w:r>
                </w:p>
              </w:tc>
            </w:tr>
            <w:tr w14:paraId="05D1E7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436" w:type="pct"/>
                  <w:gridSpan w:val="3"/>
                  <w:vMerge w:val="continue"/>
                  <w:tcBorders>
                    <w:tl2br w:val="nil"/>
                    <w:tr2bl w:val="nil"/>
                  </w:tcBorders>
                  <w:vAlign w:val="center"/>
                </w:tcPr>
                <w:p w14:paraId="4ABD5BAB">
                  <w:pPr>
                    <w:pStyle w:val="21"/>
                    <w:keepNext w:val="0"/>
                    <w:keepLines w:val="0"/>
                    <w:suppressLineNumbers w:val="0"/>
                    <w:spacing w:before="0" w:beforeAutospacing="0" w:after="0" w:afterAutospacing="0"/>
                    <w:ind w:left="0" w:right="0"/>
                    <w:rPr>
                      <w:rFonts w:hint="eastAsia"/>
                      <w:b/>
                      <w:bCs/>
                      <w:color w:val="auto"/>
                      <w:highlight w:val="none"/>
                      <w:lang w:val="en-US" w:eastAsia="zh-CN"/>
                    </w:rPr>
                  </w:pPr>
                </w:p>
              </w:tc>
              <w:tc>
                <w:tcPr>
                  <w:tcW w:w="487" w:type="pct"/>
                  <w:tcBorders>
                    <w:tl2br w:val="nil"/>
                    <w:tr2bl w:val="nil"/>
                  </w:tcBorders>
                  <w:vAlign w:val="center"/>
                </w:tcPr>
                <w:p w14:paraId="1E9A766A">
                  <w:pPr>
                    <w:pStyle w:val="21"/>
                    <w:keepNext w:val="0"/>
                    <w:keepLines w:val="0"/>
                    <w:suppressLineNumbers w:val="0"/>
                    <w:spacing w:before="0" w:beforeAutospacing="0" w:after="0" w:afterAutospacing="0"/>
                    <w:ind w:left="0" w:right="0"/>
                    <w:rPr>
                      <w:rFonts w:hint="default"/>
                      <w:b/>
                      <w:bCs/>
                      <w:color w:val="auto"/>
                      <w:highlight w:val="none"/>
                      <w:lang w:val="en-US" w:eastAsia="zh-CN"/>
                    </w:rPr>
                  </w:pPr>
                  <w:r>
                    <w:rPr>
                      <w:rFonts w:hint="eastAsia"/>
                      <w:b/>
                      <w:bCs/>
                      <w:color w:val="auto"/>
                      <w:highlight w:val="none"/>
                      <w:lang w:val="en-US" w:eastAsia="zh-CN"/>
                    </w:rPr>
                    <w:t>单次用水量</w:t>
                  </w:r>
                </w:p>
              </w:tc>
              <w:tc>
                <w:tcPr>
                  <w:tcW w:w="454" w:type="pct"/>
                  <w:tcBorders>
                    <w:tl2br w:val="nil"/>
                    <w:tr2bl w:val="nil"/>
                  </w:tcBorders>
                  <w:vAlign w:val="center"/>
                </w:tcPr>
                <w:p w14:paraId="1B069617">
                  <w:pPr>
                    <w:pStyle w:val="21"/>
                    <w:keepNext w:val="0"/>
                    <w:keepLines w:val="0"/>
                    <w:suppressLineNumbers w:val="0"/>
                    <w:spacing w:before="0" w:beforeAutospacing="0" w:after="0" w:afterAutospacing="0"/>
                    <w:ind w:left="0" w:right="0"/>
                    <w:rPr>
                      <w:rFonts w:hint="eastAsia"/>
                      <w:b/>
                      <w:bCs/>
                      <w:color w:val="auto"/>
                      <w:highlight w:val="none"/>
                      <w:lang w:val="en-US" w:eastAsia="zh-CN"/>
                    </w:rPr>
                  </w:pPr>
                  <w:r>
                    <w:rPr>
                      <w:rFonts w:hint="eastAsia"/>
                      <w:b/>
                      <w:bCs/>
                      <w:color w:val="auto"/>
                      <w:highlight w:val="none"/>
                      <w:lang w:val="en-US" w:eastAsia="zh-CN"/>
                    </w:rPr>
                    <w:t>年清洗频次</w:t>
                  </w:r>
                </w:p>
              </w:tc>
              <w:tc>
                <w:tcPr>
                  <w:tcW w:w="504" w:type="pct"/>
                  <w:tcBorders>
                    <w:tl2br w:val="nil"/>
                    <w:tr2bl w:val="nil"/>
                  </w:tcBorders>
                  <w:vAlign w:val="center"/>
                </w:tcPr>
                <w:p w14:paraId="6CAEB966">
                  <w:pPr>
                    <w:pStyle w:val="21"/>
                    <w:keepNext w:val="0"/>
                    <w:keepLines w:val="0"/>
                    <w:suppressLineNumbers w:val="0"/>
                    <w:spacing w:before="0" w:beforeAutospacing="0" w:after="0" w:afterAutospacing="0"/>
                    <w:ind w:left="0" w:right="0"/>
                    <w:rPr>
                      <w:rFonts w:hint="default"/>
                      <w:b/>
                      <w:bCs/>
                      <w:color w:val="auto"/>
                      <w:highlight w:val="none"/>
                      <w:lang w:val="en-US" w:eastAsia="zh-CN"/>
                    </w:rPr>
                  </w:pPr>
                  <w:r>
                    <w:rPr>
                      <w:rFonts w:hint="eastAsia"/>
                      <w:b/>
                      <w:bCs/>
                      <w:color w:val="auto"/>
                      <w:highlight w:val="none"/>
                      <w:lang w:val="en-US" w:eastAsia="zh-CN"/>
                    </w:rPr>
                    <w:t>年清洗用水量</w:t>
                  </w:r>
                </w:p>
              </w:tc>
              <w:tc>
                <w:tcPr>
                  <w:tcW w:w="462" w:type="pct"/>
                  <w:tcBorders>
                    <w:tl2br w:val="nil"/>
                    <w:tr2bl w:val="nil"/>
                  </w:tcBorders>
                  <w:shd w:val="clear" w:color="auto" w:fill="auto"/>
                  <w:vAlign w:val="center"/>
                </w:tcPr>
                <w:p w14:paraId="4C4A4D7B">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b/>
                      <w:bCs/>
                      <w:color w:val="auto"/>
                      <w:sz w:val="21"/>
                      <w:szCs w:val="24"/>
                      <w:highlight w:val="none"/>
                      <w:lang w:val="en-US" w:eastAsia="zh-CN" w:bidi="zh-CN"/>
                    </w:rPr>
                  </w:pPr>
                  <w:r>
                    <w:rPr>
                      <w:rFonts w:hint="eastAsia"/>
                      <w:b/>
                      <w:bCs/>
                      <w:color w:val="auto"/>
                      <w:highlight w:val="none"/>
                      <w:lang w:val="en-US" w:eastAsia="zh-CN"/>
                    </w:rPr>
                    <w:t>单次用水量</w:t>
                  </w:r>
                </w:p>
              </w:tc>
              <w:tc>
                <w:tcPr>
                  <w:tcW w:w="463" w:type="pct"/>
                  <w:tcBorders>
                    <w:tl2br w:val="nil"/>
                    <w:tr2bl w:val="nil"/>
                  </w:tcBorders>
                  <w:shd w:val="clear" w:color="auto" w:fill="auto"/>
                  <w:vAlign w:val="center"/>
                </w:tcPr>
                <w:p w14:paraId="4AEC522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b/>
                      <w:bCs/>
                      <w:color w:val="auto"/>
                      <w:sz w:val="21"/>
                      <w:szCs w:val="24"/>
                      <w:highlight w:val="none"/>
                      <w:lang w:val="en-US" w:eastAsia="zh-CN" w:bidi="zh-CN"/>
                    </w:rPr>
                  </w:pPr>
                  <w:r>
                    <w:rPr>
                      <w:rFonts w:hint="eastAsia"/>
                      <w:b/>
                      <w:bCs/>
                      <w:color w:val="auto"/>
                      <w:highlight w:val="none"/>
                      <w:lang w:val="en-US" w:eastAsia="zh-CN"/>
                    </w:rPr>
                    <w:t>年清洗频次</w:t>
                  </w:r>
                </w:p>
              </w:tc>
              <w:tc>
                <w:tcPr>
                  <w:tcW w:w="462" w:type="pct"/>
                  <w:tcBorders>
                    <w:tl2br w:val="nil"/>
                    <w:tr2bl w:val="nil"/>
                  </w:tcBorders>
                  <w:shd w:val="clear" w:color="auto" w:fill="auto"/>
                  <w:vAlign w:val="center"/>
                </w:tcPr>
                <w:p w14:paraId="31A56CA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b/>
                      <w:bCs/>
                      <w:color w:val="auto"/>
                      <w:sz w:val="21"/>
                      <w:szCs w:val="24"/>
                      <w:highlight w:val="none"/>
                      <w:lang w:val="en-US" w:eastAsia="zh-CN" w:bidi="zh-CN"/>
                    </w:rPr>
                  </w:pPr>
                  <w:r>
                    <w:rPr>
                      <w:rFonts w:hint="eastAsia"/>
                      <w:b/>
                      <w:bCs/>
                      <w:color w:val="auto"/>
                      <w:highlight w:val="none"/>
                      <w:lang w:val="en-US" w:eastAsia="zh-CN"/>
                    </w:rPr>
                    <w:t>年清洗用水量</w:t>
                  </w:r>
                </w:p>
              </w:tc>
              <w:tc>
                <w:tcPr>
                  <w:tcW w:w="727" w:type="pct"/>
                  <w:vMerge w:val="continue"/>
                  <w:tcBorders>
                    <w:tl2br w:val="nil"/>
                    <w:tr2bl w:val="nil"/>
                  </w:tcBorders>
                  <w:shd w:val="clear" w:color="auto" w:fill="auto"/>
                  <w:vAlign w:val="center"/>
                </w:tcPr>
                <w:p w14:paraId="655549B8">
                  <w:pPr>
                    <w:pStyle w:val="21"/>
                    <w:keepNext w:val="0"/>
                    <w:keepLines w:val="0"/>
                    <w:suppressLineNumbers w:val="0"/>
                    <w:spacing w:before="0" w:beforeAutospacing="0" w:after="0" w:afterAutospacing="0"/>
                    <w:ind w:left="0" w:leftChars="0" w:right="0" w:rightChars="0" w:firstLine="0" w:firstLineChars="0"/>
                    <w:rPr>
                      <w:rFonts w:hint="eastAsia"/>
                      <w:b/>
                      <w:bCs/>
                      <w:color w:val="auto"/>
                      <w:highlight w:val="none"/>
                      <w:lang w:val="en-US" w:eastAsia="zh-CN"/>
                    </w:rPr>
                  </w:pPr>
                </w:p>
              </w:tc>
            </w:tr>
            <w:tr w14:paraId="66B19D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1436" w:type="pct"/>
                  <w:gridSpan w:val="3"/>
                  <w:tcBorders>
                    <w:tl2br w:val="nil"/>
                    <w:tr2bl w:val="nil"/>
                  </w:tcBorders>
                  <w:vAlign w:val="center"/>
                </w:tcPr>
                <w:p w14:paraId="07C0A2E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储水罐</w:t>
                  </w:r>
                </w:p>
              </w:tc>
              <w:tc>
                <w:tcPr>
                  <w:tcW w:w="763" w:type="dxa"/>
                  <w:tcBorders>
                    <w:tl2br w:val="nil"/>
                    <w:tr2bl w:val="nil"/>
                  </w:tcBorders>
                  <w:vAlign w:val="center"/>
                </w:tcPr>
                <w:p w14:paraId="4506EE3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60</w:t>
                  </w:r>
                </w:p>
              </w:tc>
              <w:tc>
                <w:tcPr>
                  <w:tcW w:w="711" w:type="dxa"/>
                  <w:tcBorders>
                    <w:tl2br w:val="nil"/>
                    <w:tr2bl w:val="nil"/>
                  </w:tcBorders>
                  <w:vAlign w:val="center"/>
                </w:tcPr>
                <w:p w14:paraId="1E37F632">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w:t>
                  </w:r>
                </w:p>
              </w:tc>
              <w:tc>
                <w:tcPr>
                  <w:tcW w:w="789" w:type="dxa"/>
                  <w:tcBorders>
                    <w:tl2br w:val="nil"/>
                    <w:tr2bl w:val="nil"/>
                  </w:tcBorders>
                  <w:vAlign w:val="center"/>
                </w:tcPr>
                <w:p w14:paraId="109955D3">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240</w:t>
                  </w:r>
                </w:p>
              </w:tc>
              <w:tc>
                <w:tcPr>
                  <w:tcW w:w="724" w:type="dxa"/>
                  <w:tcBorders>
                    <w:tl2br w:val="nil"/>
                    <w:tr2bl w:val="nil"/>
                  </w:tcBorders>
                  <w:vAlign w:val="center"/>
                </w:tcPr>
                <w:p w14:paraId="182D1A7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10</w:t>
                  </w:r>
                </w:p>
              </w:tc>
              <w:tc>
                <w:tcPr>
                  <w:tcW w:w="725" w:type="dxa"/>
                  <w:tcBorders>
                    <w:tl2br w:val="nil"/>
                    <w:tr2bl w:val="nil"/>
                  </w:tcBorders>
                  <w:vAlign w:val="center"/>
                </w:tcPr>
                <w:p w14:paraId="02A146B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w:t>
                  </w:r>
                </w:p>
              </w:tc>
              <w:tc>
                <w:tcPr>
                  <w:tcW w:w="724" w:type="dxa"/>
                  <w:tcBorders>
                    <w:tl2br w:val="nil"/>
                    <w:tr2bl w:val="nil"/>
                  </w:tcBorders>
                  <w:vAlign w:val="center"/>
                </w:tcPr>
                <w:p w14:paraId="38534605">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40</w:t>
                  </w:r>
                </w:p>
              </w:tc>
              <w:tc>
                <w:tcPr>
                  <w:tcW w:w="1138" w:type="dxa"/>
                  <w:tcBorders>
                    <w:tl2br w:val="nil"/>
                    <w:tr2bl w:val="nil"/>
                  </w:tcBorders>
                  <w:vAlign w:val="center"/>
                </w:tcPr>
                <w:p w14:paraId="0811F67B">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280</w:t>
                  </w:r>
                </w:p>
              </w:tc>
            </w:tr>
            <w:tr w14:paraId="5231D4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1436" w:type="pct"/>
                  <w:gridSpan w:val="3"/>
                  <w:tcBorders>
                    <w:tl2br w:val="nil"/>
                    <w:tr2bl w:val="nil"/>
                  </w:tcBorders>
                  <w:vAlign w:val="center"/>
                </w:tcPr>
                <w:p w14:paraId="0D4E3668">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机滤</w:t>
                  </w:r>
                </w:p>
              </w:tc>
              <w:tc>
                <w:tcPr>
                  <w:tcW w:w="763" w:type="dxa"/>
                  <w:tcBorders>
                    <w:tl2br w:val="nil"/>
                    <w:tr2bl w:val="nil"/>
                  </w:tcBorders>
                  <w:shd w:val="clear" w:color="auto" w:fill="auto"/>
                  <w:vAlign w:val="center"/>
                </w:tcPr>
                <w:p w14:paraId="36D134E0">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60</w:t>
                  </w:r>
                </w:p>
              </w:tc>
              <w:tc>
                <w:tcPr>
                  <w:tcW w:w="711" w:type="dxa"/>
                  <w:tcBorders>
                    <w:tl2br w:val="nil"/>
                    <w:tr2bl w:val="nil"/>
                  </w:tcBorders>
                  <w:shd w:val="clear" w:color="auto" w:fill="auto"/>
                  <w:vAlign w:val="center"/>
                </w:tcPr>
                <w:p w14:paraId="5CE46DC2">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w:t>
                  </w:r>
                </w:p>
              </w:tc>
              <w:tc>
                <w:tcPr>
                  <w:tcW w:w="789" w:type="dxa"/>
                  <w:tcBorders>
                    <w:tl2br w:val="nil"/>
                    <w:tr2bl w:val="nil"/>
                  </w:tcBorders>
                  <w:vAlign w:val="center"/>
                </w:tcPr>
                <w:p w14:paraId="5840B0F3">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60</w:t>
                  </w:r>
                </w:p>
              </w:tc>
              <w:tc>
                <w:tcPr>
                  <w:tcW w:w="724" w:type="dxa"/>
                  <w:tcBorders>
                    <w:tl2br w:val="nil"/>
                    <w:tr2bl w:val="nil"/>
                  </w:tcBorders>
                  <w:vAlign w:val="center"/>
                </w:tcPr>
                <w:p w14:paraId="622AB9B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w:t>
                  </w:r>
                </w:p>
              </w:tc>
              <w:tc>
                <w:tcPr>
                  <w:tcW w:w="725" w:type="dxa"/>
                  <w:tcBorders>
                    <w:tl2br w:val="nil"/>
                    <w:tr2bl w:val="nil"/>
                  </w:tcBorders>
                  <w:vAlign w:val="center"/>
                </w:tcPr>
                <w:p w14:paraId="3AB9F4E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w:t>
                  </w:r>
                </w:p>
              </w:tc>
              <w:tc>
                <w:tcPr>
                  <w:tcW w:w="724" w:type="dxa"/>
                  <w:tcBorders>
                    <w:tl2br w:val="nil"/>
                    <w:tr2bl w:val="nil"/>
                  </w:tcBorders>
                  <w:vAlign w:val="center"/>
                </w:tcPr>
                <w:p w14:paraId="691F13B1">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4</w:t>
                  </w:r>
                </w:p>
              </w:tc>
              <w:tc>
                <w:tcPr>
                  <w:tcW w:w="1138" w:type="dxa"/>
                  <w:tcBorders>
                    <w:tl2br w:val="nil"/>
                    <w:tr2bl w:val="nil"/>
                  </w:tcBorders>
                  <w:vAlign w:val="center"/>
                </w:tcPr>
                <w:p w14:paraId="1D1B05AC">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64</w:t>
                  </w:r>
                </w:p>
              </w:tc>
            </w:tr>
            <w:tr w14:paraId="01FDA7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1436" w:type="pct"/>
                  <w:gridSpan w:val="3"/>
                  <w:tcBorders>
                    <w:tl2br w:val="nil"/>
                    <w:tr2bl w:val="nil"/>
                  </w:tcBorders>
                  <w:vAlign w:val="center"/>
                </w:tcPr>
                <w:p w14:paraId="34DCFEB8">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炭滤</w:t>
                  </w:r>
                </w:p>
              </w:tc>
              <w:tc>
                <w:tcPr>
                  <w:tcW w:w="763" w:type="dxa"/>
                  <w:tcBorders>
                    <w:tl2br w:val="nil"/>
                    <w:tr2bl w:val="nil"/>
                  </w:tcBorders>
                  <w:vAlign w:val="center"/>
                </w:tcPr>
                <w:p w14:paraId="1425160E">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30</w:t>
                  </w:r>
                </w:p>
              </w:tc>
              <w:tc>
                <w:tcPr>
                  <w:tcW w:w="711" w:type="dxa"/>
                  <w:tcBorders>
                    <w:tl2br w:val="nil"/>
                    <w:tr2bl w:val="nil"/>
                  </w:tcBorders>
                  <w:vAlign w:val="center"/>
                </w:tcPr>
                <w:p w14:paraId="52EDECC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100</w:t>
                  </w:r>
                </w:p>
              </w:tc>
              <w:tc>
                <w:tcPr>
                  <w:tcW w:w="789" w:type="dxa"/>
                  <w:tcBorders>
                    <w:tl2br w:val="nil"/>
                    <w:tr2bl w:val="nil"/>
                  </w:tcBorders>
                  <w:vAlign w:val="center"/>
                </w:tcPr>
                <w:p w14:paraId="0C8AF17C">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3000</w:t>
                  </w:r>
                </w:p>
              </w:tc>
              <w:tc>
                <w:tcPr>
                  <w:tcW w:w="724" w:type="dxa"/>
                  <w:tcBorders>
                    <w:tl2br w:val="nil"/>
                    <w:tr2bl w:val="nil"/>
                  </w:tcBorders>
                  <w:vAlign w:val="center"/>
                </w:tcPr>
                <w:p w14:paraId="52D2953A">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80</w:t>
                  </w:r>
                </w:p>
              </w:tc>
              <w:tc>
                <w:tcPr>
                  <w:tcW w:w="725" w:type="dxa"/>
                  <w:tcBorders>
                    <w:tl2br w:val="nil"/>
                    <w:tr2bl w:val="nil"/>
                  </w:tcBorders>
                  <w:vAlign w:val="center"/>
                </w:tcPr>
                <w:p w14:paraId="65E8D85A">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10</w:t>
                  </w:r>
                </w:p>
              </w:tc>
              <w:tc>
                <w:tcPr>
                  <w:tcW w:w="724" w:type="dxa"/>
                  <w:tcBorders>
                    <w:tl2br w:val="nil"/>
                    <w:tr2bl w:val="nil"/>
                  </w:tcBorders>
                  <w:vAlign w:val="center"/>
                </w:tcPr>
                <w:p w14:paraId="7218573A">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800</w:t>
                  </w:r>
                </w:p>
              </w:tc>
              <w:tc>
                <w:tcPr>
                  <w:tcW w:w="1138" w:type="dxa"/>
                  <w:tcBorders>
                    <w:tl2br w:val="nil"/>
                    <w:tr2bl w:val="nil"/>
                  </w:tcBorders>
                  <w:vAlign w:val="center"/>
                </w:tcPr>
                <w:p w14:paraId="6B65FA03">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3800</w:t>
                  </w:r>
                </w:p>
              </w:tc>
            </w:tr>
            <w:tr w14:paraId="3B6F8E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1436" w:type="pct"/>
                  <w:gridSpan w:val="3"/>
                  <w:tcBorders>
                    <w:tl2br w:val="nil"/>
                    <w:tr2bl w:val="nil"/>
                  </w:tcBorders>
                  <w:vAlign w:val="center"/>
                </w:tcPr>
                <w:p w14:paraId="3E440E18">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精密过滤器</w:t>
                  </w:r>
                </w:p>
              </w:tc>
              <w:tc>
                <w:tcPr>
                  <w:tcW w:w="763" w:type="dxa"/>
                  <w:tcBorders>
                    <w:tl2br w:val="nil"/>
                    <w:tr2bl w:val="nil"/>
                  </w:tcBorders>
                  <w:vAlign w:val="center"/>
                </w:tcPr>
                <w:p w14:paraId="7FC6A3C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10</w:t>
                  </w:r>
                </w:p>
              </w:tc>
              <w:tc>
                <w:tcPr>
                  <w:tcW w:w="711" w:type="dxa"/>
                  <w:tcBorders>
                    <w:tl2br w:val="nil"/>
                    <w:tr2bl w:val="nil"/>
                  </w:tcBorders>
                  <w:vAlign w:val="center"/>
                </w:tcPr>
                <w:p w14:paraId="3FE549DC">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w:t>
                  </w:r>
                </w:p>
              </w:tc>
              <w:tc>
                <w:tcPr>
                  <w:tcW w:w="789" w:type="dxa"/>
                  <w:tcBorders>
                    <w:tl2br w:val="nil"/>
                    <w:tr2bl w:val="nil"/>
                  </w:tcBorders>
                  <w:vAlign w:val="center"/>
                </w:tcPr>
                <w:p w14:paraId="2BCC0434">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20</w:t>
                  </w:r>
                </w:p>
              </w:tc>
              <w:tc>
                <w:tcPr>
                  <w:tcW w:w="724" w:type="dxa"/>
                  <w:tcBorders>
                    <w:tl2br w:val="nil"/>
                    <w:tr2bl w:val="nil"/>
                  </w:tcBorders>
                  <w:vAlign w:val="center"/>
                </w:tcPr>
                <w:p w14:paraId="0A0C39F2">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725" w:type="dxa"/>
                  <w:tcBorders>
                    <w:tl2br w:val="nil"/>
                    <w:tr2bl w:val="nil"/>
                  </w:tcBorders>
                  <w:vAlign w:val="center"/>
                </w:tcPr>
                <w:p w14:paraId="7C6E11A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724" w:type="dxa"/>
                  <w:tcBorders>
                    <w:tl2br w:val="nil"/>
                    <w:tr2bl w:val="nil"/>
                  </w:tcBorders>
                  <w:vAlign w:val="center"/>
                </w:tcPr>
                <w:p w14:paraId="0714EAAA">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0</w:t>
                  </w:r>
                </w:p>
              </w:tc>
              <w:tc>
                <w:tcPr>
                  <w:tcW w:w="1138" w:type="dxa"/>
                  <w:tcBorders>
                    <w:tl2br w:val="nil"/>
                    <w:tr2bl w:val="nil"/>
                  </w:tcBorders>
                  <w:vAlign w:val="center"/>
                </w:tcPr>
                <w:p w14:paraId="4CF26CBB">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20</w:t>
                  </w:r>
                </w:p>
              </w:tc>
            </w:tr>
            <w:tr w14:paraId="616E1C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1436" w:type="pct"/>
                  <w:gridSpan w:val="3"/>
                  <w:tcBorders>
                    <w:tl2br w:val="nil"/>
                    <w:tr2bl w:val="nil"/>
                  </w:tcBorders>
                  <w:vAlign w:val="center"/>
                </w:tcPr>
                <w:p w14:paraId="3706303C">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脱气膜</w:t>
                  </w:r>
                </w:p>
              </w:tc>
              <w:tc>
                <w:tcPr>
                  <w:tcW w:w="763" w:type="dxa"/>
                  <w:tcBorders>
                    <w:tl2br w:val="nil"/>
                    <w:tr2bl w:val="nil"/>
                  </w:tcBorders>
                  <w:vAlign w:val="center"/>
                </w:tcPr>
                <w:p w14:paraId="64C170A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10</w:t>
                  </w:r>
                </w:p>
              </w:tc>
              <w:tc>
                <w:tcPr>
                  <w:tcW w:w="711" w:type="dxa"/>
                  <w:tcBorders>
                    <w:tl2br w:val="nil"/>
                    <w:tr2bl w:val="nil"/>
                  </w:tcBorders>
                  <w:vAlign w:val="center"/>
                </w:tcPr>
                <w:p w14:paraId="12A67FC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w:t>
                  </w:r>
                </w:p>
              </w:tc>
              <w:tc>
                <w:tcPr>
                  <w:tcW w:w="789" w:type="dxa"/>
                  <w:tcBorders>
                    <w:tl2br w:val="nil"/>
                    <w:tr2bl w:val="nil"/>
                  </w:tcBorders>
                  <w:vAlign w:val="center"/>
                </w:tcPr>
                <w:p w14:paraId="4CFAB77C">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10</w:t>
                  </w:r>
                </w:p>
              </w:tc>
              <w:tc>
                <w:tcPr>
                  <w:tcW w:w="724" w:type="dxa"/>
                  <w:tcBorders>
                    <w:tl2br w:val="nil"/>
                    <w:tr2bl w:val="nil"/>
                  </w:tcBorders>
                  <w:vAlign w:val="center"/>
                </w:tcPr>
                <w:p w14:paraId="5FD4D9B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w:t>
                  </w:r>
                </w:p>
              </w:tc>
              <w:tc>
                <w:tcPr>
                  <w:tcW w:w="725" w:type="dxa"/>
                  <w:tcBorders>
                    <w:tl2br w:val="nil"/>
                    <w:tr2bl w:val="nil"/>
                  </w:tcBorders>
                  <w:vAlign w:val="center"/>
                </w:tcPr>
                <w:p w14:paraId="0FFF808C">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w:t>
                  </w:r>
                </w:p>
              </w:tc>
              <w:tc>
                <w:tcPr>
                  <w:tcW w:w="724" w:type="dxa"/>
                  <w:tcBorders>
                    <w:tl2br w:val="nil"/>
                    <w:tr2bl w:val="nil"/>
                  </w:tcBorders>
                  <w:vAlign w:val="center"/>
                </w:tcPr>
                <w:p w14:paraId="416D3DF8">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w:t>
                  </w:r>
                </w:p>
              </w:tc>
              <w:tc>
                <w:tcPr>
                  <w:tcW w:w="1138" w:type="dxa"/>
                  <w:tcBorders>
                    <w:tl2br w:val="nil"/>
                    <w:tr2bl w:val="nil"/>
                  </w:tcBorders>
                  <w:vAlign w:val="center"/>
                </w:tcPr>
                <w:p w14:paraId="3D8EFA26">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11</w:t>
                  </w:r>
                </w:p>
              </w:tc>
            </w:tr>
            <w:tr w14:paraId="603AC2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299" w:type="pct"/>
                  <w:vMerge w:val="restart"/>
                  <w:tcBorders>
                    <w:tl2br w:val="nil"/>
                    <w:tr2bl w:val="nil"/>
                  </w:tcBorders>
                  <w:vAlign w:val="center"/>
                </w:tcPr>
                <w:p w14:paraId="465D4773">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反渗透膜</w:t>
                  </w:r>
                </w:p>
              </w:tc>
              <w:tc>
                <w:tcPr>
                  <w:tcW w:w="373" w:type="pct"/>
                  <w:vMerge w:val="restart"/>
                  <w:tcBorders>
                    <w:tl2br w:val="nil"/>
                    <w:tr2bl w:val="nil"/>
                  </w:tcBorders>
                  <w:vAlign w:val="center"/>
                </w:tcPr>
                <w:p w14:paraId="63673FC8">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停机冲洗</w:t>
                  </w:r>
                </w:p>
              </w:tc>
              <w:tc>
                <w:tcPr>
                  <w:tcW w:w="763" w:type="pct"/>
                  <w:tcBorders>
                    <w:tl2br w:val="nil"/>
                    <w:tr2bl w:val="nil"/>
                  </w:tcBorders>
                  <w:vAlign w:val="center"/>
                </w:tcPr>
                <w:p w14:paraId="7EAAF853">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一次反渗透</w:t>
                  </w:r>
                </w:p>
              </w:tc>
              <w:tc>
                <w:tcPr>
                  <w:tcW w:w="763" w:type="dxa"/>
                  <w:tcBorders>
                    <w:tl2br w:val="nil"/>
                    <w:tr2bl w:val="nil"/>
                  </w:tcBorders>
                  <w:vAlign w:val="center"/>
                </w:tcPr>
                <w:p w14:paraId="1766EE3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160</w:t>
                  </w:r>
                </w:p>
              </w:tc>
              <w:tc>
                <w:tcPr>
                  <w:tcW w:w="711" w:type="dxa"/>
                  <w:tcBorders>
                    <w:tl2br w:val="nil"/>
                    <w:tr2bl w:val="nil"/>
                  </w:tcBorders>
                  <w:vAlign w:val="center"/>
                </w:tcPr>
                <w:p w14:paraId="01570FDA">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52</w:t>
                  </w:r>
                </w:p>
              </w:tc>
              <w:tc>
                <w:tcPr>
                  <w:tcW w:w="789" w:type="dxa"/>
                  <w:tcBorders>
                    <w:tl2br w:val="nil"/>
                    <w:tr2bl w:val="nil"/>
                  </w:tcBorders>
                  <w:vAlign w:val="center"/>
                </w:tcPr>
                <w:p w14:paraId="0BB934E2">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8320</w:t>
                  </w:r>
                </w:p>
              </w:tc>
              <w:tc>
                <w:tcPr>
                  <w:tcW w:w="724" w:type="dxa"/>
                  <w:tcBorders>
                    <w:tl2br w:val="nil"/>
                    <w:tr2bl w:val="nil"/>
                  </w:tcBorders>
                  <w:shd w:val="clear" w:color="auto" w:fill="auto"/>
                  <w:vAlign w:val="center"/>
                </w:tcPr>
                <w:p w14:paraId="2DC0368A">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725" w:type="dxa"/>
                  <w:tcBorders>
                    <w:tl2br w:val="nil"/>
                    <w:tr2bl w:val="nil"/>
                  </w:tcBorders>
                  <w:shd w:val="clear" w:color="auto" w:fill="auto"/>
                  <w:vAlign w:val="center"/>
                </w:tcPr>
                <w:p w14:paraId="2406B7A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724" w:type="dxa"/>
                  <w:tcBorders>
                    <w:tl2br w:val="nil"/>
                    <w:tr2bl w:val="nil"/>
                  </w:tcBorders>
                  <w:vAlign w:val="center"/>
                </w:tcPr>
                <w:p w14:paraId="1BED7730">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0</w:t>
                  </w:r>
                </w:p>
              </w:tc>
              <w:tc>
                <w:tcPr>
                  <w:tcW w:w="1138" w:type="dxa"/>
                  <w:tcBorders>
                    <w:tl2br w:val="nil"/>
                    <w:tr2bl w:val="nil"/>
                  </w:tcBorders>
                  <w:vAlign w:val="center"/>
                </w:tcPr>
                <w:p w14:paraId="757AA66A">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8320</w:t>
                  </w:r>
                </w:p>
              </w:tc>
            </w:tr>
            <w:tr w14:paraId="5E6EF2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299" w:type="pct"/>
                  <w:vMerge w:val="continue"/>
                  <w:tcBorders>
                    <w:tl2br w:val="nil"/>
                    <w:tr2bl w:val="nil"/>
                  </w:tcBorders>
                  <w:vAlign w:val="center"/>
                </w:tcPr>
                <w:p w14:paraId="6C482D31">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373" w:type="pct"/>
                  <w:vMerge w:val="continue"/>
                  <w:tcBorders>
                    <w:tl2br w:val="nil"/>
                    <w:tr2bl w:val="nil"/>
                  </w:tcBorders>
                  <w:vAlign w:val="center"/>
                </w:tcPr>
                <w:p w14:paraId="2DC6DE10">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763" w:type="pct"/>
                  <w:tcBorders>
                    <w:tl2br w:val="nil"/>
                    <w:tr2bl w:val="nil"/>
                  </w:tcBorders>
                  <w:vAlign w:val="center"/>
                </w:tcPr>
                <w:p w14:paraId="3BA89E23">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二次反渗透</w:t>
                  </w:r>
                </w:p>
              </w:tc>
              <w:tc>
                <w:tcPr>
                  <w:tcW w:w="763" w:type="dxa"/>
                  <w:tcBorders>
                    <w:tl2br w:val="nil"/>
                    <w:tr2bl w:val="nil"/>
                  </w:tcBorders>
                  <w:vAlign w:val="center"/>
                </w:tcPr>
                <w:p w14:paraId="693C6F0A">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80</w:t>
                  </w:r>
                </w:p>
              </w:tc>
              <w:tc>
                <w:tcPr>
                  <w:tcW w:w="711" w:type="dxa"/>
                  <w:tcBorders>
                    <w:tl2br w:val="nil"/>
                    <w:tr2bl w:val="nil"/>
                  </w:tcBorders>
                  <w:vAlign w:val="center"/>
                </w:tcPr>
                <w:p w14:paraId="6DB60CB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52</w:t>
                  </w:r>
                </w:p>
              </w:tc>
              <w:tc>
                <w:tcPr>
                  <w:tcW w:w="789" w:type="dxa"/>
                  <w:tcBorders>
                    <w:tl2br w:val="nil"/>
                    <w:tr2bl w:val="nil"/>
                  </w:tcBorders>
                  <w:vAlign w:val="center"/>
                </w:tcPr>
                <w:p w14:paraId="1ECB73EB">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4160</w:t>
                  </w:r>
                </w:p>
              </w:tc>
              <w:tc>
                <w:tcPr>
                  <w:tcW w:w="724" w:type="dxa"/>
                  <w:tcBorders>
                    <w:tl2br w:val="nil"/>
                    <w:tr2bl w:val="nil"/>
                  </w:tcBorders>
                  <w:shd w:val="clear" w:color="auto" w:fill="auto"/>
                  <w:vAlign w:val="center"/>
                </w:tcPr>
                <w:p w14:paraId="31D9F6FB">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725" w:type="dxa"/>
                  <w:tcBorders>
                    <w:tl2br w:val="nil"/>
                    <w:tr2bl w:val="nil"/>
                  </w:tcBorders>
                  <w:shd w:val="clear" w:color="auto" w:fill="auto"/>
                  <w:vAlign w:val="center"/>
                </w:tcPr>
                <w:p w14:paraId="55829B6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724" w:type="dxa"/>
                  <w:tcBorders>
                    <w:tl2br w:val="nil"/>
                    <w:tr2bl w:val="nil"/>
                  </w:tcBorders>
                  <w:vAlign w:val="center"/>
                </w:tcPr>
                <w:p w14:paraId="50B0D31F">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0</w:t>
                  </w:r>
                </w:p>
              </w:tc>
              <w:tc>
                <w:tcPr>
                  <w:tcW w:w="1138" w:type="dxa"/>
                  <w:tcBorders>
                    <w:tl2br w:val="nil"/>
                    <w:tr2bl w:val="nil"/>
                  </w:tcBorders>
                  <w:vAlign w:val="center"/>
                </w:tcPr>
                <w:p w14:paraId="23960DDD">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4160</w:t>
                  </w:r>
                </w:p>
              </w:tc>
            </w:tr>
            <w:tr w14:paraId="54A6E4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299" w:type="pct"/>
                  <w:vMerge w:val="continue"/>
                  <w:tcBorders>
                    <w:tl2br w:val="nil"/>
                    <w:tr2bl w:val="nil"/>
                  </w:tcBorders>
                  <w:vAlign w:val="center"/>
                </w:tcPr>
                <w:p w14:paraId="17515CEF">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373" w:type="pct"/>
                  <w:vMerge w:val="restart"/>
                  <w:tcBorders>
                    <w:tl2br w:val="nil"/>
                    <w:tr2bl w:val="nil"/>
                  </w:tcBorders>
                  <w:vAlign w:val="center"/>
                </w:tcPr>
                <w:p w14:paraId="76719E11">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化学清洗</w:t>
                  </w:r>
                </w:p>
              </w:tc>
              <w:tc>
                <w:tcPr>
                  <w:tcW w:w="763" w:type="pct"/>
                  <w:tcBorders>
                    <w:tl2br w:val="nil"/>
                    <w:tr2bl w:val="nil"/>
                  </w:tcBorders>
                  <w:shd w:val="clear" w:color="auto" w:fill="auto"/>
                  <w:vAlign w:val="center"/>
                </w:tcPr>
                <w:p w14:paraId="62299E26">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一次反渗透</w:t>
                  </w:r>
                </w:p>
              </w:tc>
              <w:tc>
                <w:tcPr>
                  <w:tcW w:w="763" w:type="dxa"/>
                  <w:tcBorders>
                    <w:tl2br w:val="nil"/>
                    <w:tr2bl w:val="nil"/>
                  </w:tcBorders>
                  <w:shd w:val="clear" w:color="auto" w:fill="auto"/>
                  <w:vAlign w:val="center"/>
                </w:tcPr>
                <w:p w14:paraId="09D7204B">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160</w:t>
                  </w:r>
                </w:p>
              </w:tc>
              <w:tc>
                <w:tcPr>
                  <w:tcW w:w="711" w:type="dxa"/>
                  <w:tcBorders>
                    <w:tl2br w:val="nil"/>
                    <w:tr2bl w:val="nil"/>
                  </w:tcBorders>
                  <w:vAlign w:val="center"/>
                </w:tcPr>
                <w:p w14:paraId="7D3C456A">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5</w:t>
                  </w:r>
                </w:p>
              </w:tc>
              <w:tc>
                <w:tcPr>
                  <w:tcW w:w="789" w:type="dxa"/>
                  <w:tcBorders>
                    <w:tl2br w:val="nil"/>
                    <w:tr2bl w:val="nil"/>
                  </w:tcBorders>
                  <w:vAlign w:val="center"/>
                </w:tcPr>
                <w:p w14:paraId="06FFD8C9">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800</w:t>
                  </w:r>
                </w:p>
              </w:tc>
              <w:tc>
                <w:tcPr>
                  <w:tcW w:w="724" w:type="dxa"/>
                  <w:tcBorders>
                    <w:tl2br w:val="nil"/>
                    <w:tr2bl w:val="nil"/>
                  </w:tcBorders>
                  <w:shd w:val="clear" w:color="auto" w:fill="auto"/>
                  <w:vAlign w:val="center"/>
                </w:tcPr>
                <w:p w14:paraId="3093927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725" w:type="dxa"/>
                  <w:tcBorders>
                    <w:tl2br w:val="nil"/>
                    <w:tr2bl w:val="nil"/>
                  </w:tcBorders>
                  <w:shd w:val="clear" w:color="auto" w:fill="auto"/>
                  <w:vAlign w:val="center"/>
                </w:tcPr>
                <w:p w14:paraId="51483F4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724" w:type="dxa"/>
                  <w:tcBorders>
                    <w:tl2br w:val="nil"/>
                    <w:tr2bl w:val="nil"/>
                  </w:tcBorders>
                  <w:vAlign w:val="center"/>
                </w:tcPr>
                <w:p w14:paraId="2B6E652D">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0</w:t>
                  </w:r>
                </w:p>
              </w:tc>
              <w:tc>
                <w:tcPr>
                  <w:tcW w:w="1138" w:type="dxa"/>
                  <w:tcBorders>
                    <w:tl2br w:val="nil"/>
                    <w:tr2bl w:val="nil"/>
                  </w:tcBorders>
                  <w:vAlign w:val="center"/>
                </w:tcPr>
                <w:p w14:paraId="34571323">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800</w:t>
                  </w:r>
                </w:p>
              </w:tc>
            </w:tr>
            <w:tr w14:paraId="7EA587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299" w:type="pct"/>
                  <w:vMerge w:val="continue"/>
                  <w:tcBorders>
                    <w:tl2br w:val="nil"/>
                    <w:tr2bl w:val="nil"/>
                  </w:tcBorders>
                  <w:vAlign w:val="center"/>
                </w:tcPr>
                <w:p w14:paraId="0AF6370E">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373" w:type="pct"/>
                  <w:vMerge w:val="continue"/>
                  <w:tcBorders>
                    <w:tl2br w:val="nil"/>
                    <w:tr2bl w:val="nil"/>
                  </w:tcBorders>
                  <w:vAlign w:val="center"/>
                </w:tcPr>
                <w:p w14:paraId="12BE4022">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763" w:type="pct"/>
                  <w:tcBorders>
                    <w:tl2br w:val="nil"/>
                    <w:tr2bl w:val="nil"/>
                  </w:tcBorders>
                  <w:shd w:val="clear" w:color="auto" w:fill="auto"/>
                  <w:vAlign w:val="center"/>
                </w:tcPr>
                <w:p w14:paraId="0D287F26">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二次反渗透</w:t>
                  </w:r>
                </w:p>
              </w:tc>
              <w:tc>
                <w:tcPr>
                  <w:tcW w:w="763" w:type="dxa"/>
                  <w:tcBorders>
                    <w:tl2br w:val="nil"/>
                    <w:tr2bl w:val="nil"/>
                  </w:tcBorders>
                  <w:shd w:val="clear" w:color="auto" w:fill="auto"/>
                  <w:vAlign w:val="center"/>
                </w:tcPr>
                <w:p w14:paraId="384FC6E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80</w:t>
                  </w:r>
                </w:p>
              </w:tc>
              <w:tc>
                <w:tcPr>
                  <w:tcW w:w="711" w:type="dxa"/>
                  <w:tcBorders>
                    <w:tl2br w:val="nil"/>
                    <w:tr2bl w:val="nil"/>
                  </w:tcBorders>
                  <w:vAlign w:val="center"/>
                </w:tcPr>
                <w:p w14:paraId="0071001E">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w:t>
                  </w:r>
                </w:p>
              </w:tc>
              <w:tc>
                <w:tcPr>
                  <w:tcW w:w="789" w:type="dxa"/>
                  <w:tcBorders>
                    <w:tl2br w:val="nil"/>
                    <w:tr2bl w:val="nil"/>
                  </w:tcBorders>
                  <w:vAlign w:val="center"/>
                </w:tcPr>
                <w:p w14:paraId="4FD02411">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240</w:t>
                  </w:r>
                </w:p>
              </w:tc>
              <w:tc>
                <w:tcPr>
                  <w:tcW w:w="724" w:type="dxa"/>
                  <w:tcBorders>
                    <w:tl2br w:val="nil"/>
                    <w:tr2bl w:val="nil"/>
                  </w:tcBorders>
                  <w:shd w:val="clear" w:color="auto" w:fill="auto"/>
                  <w:vAlign w:val="center"/>
                </w:tcPr>
                <w:p w14:paraId="1814E24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725" w:type="dxa"/>
                  <w:tcBorders>
                    <w:tl2br w:val="nil"/>
                    <w:tr2bl w:val="nil"/>
                  </w:tcBorders>
                  <w:shd w:val="clear" w:color="auto" w:fill="auto"/>
                  <w:vAlign w:val="center"/>
                </w:tcPr>
                <w:p w14:paraId="55183EB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724" w:type="dxa"/>
                  <w:tcBorders>
                    <w:tl2br w:val="nil"/>
                    <w:tr2bl w:val="nil"/>
                  </w:tcBorders>
                  <w:vAlign w:val="center"/>
                </w:tcPr>
                <w:p w14:paraId="25BBDA3F">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0</w:t>
                  </w:r>
                </w:p>
              </w:tc>
              <w:tc>
                <w:tcPr>
                  <w:tcW w:w="1138" w:type="dxa"/>
                  <w:tcBorders>
                    <w:tl2br w:val="nil"/>
                    <w:tr2bl w:val="nil"/>
                  </w:tcBorders>
                  <w:vAlign w:val="center"/>
                </w:tcPr>
                <w:p w14:paraId="7B1BB0CA">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240</w:t>
                  </w:r>
                </w:p>
              </w:tc>
            </w:tr>
            <w:tr w14:paraId="458F82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4272" w:type="pct"/>
                  <w:gridSpan w:val="9"/>
                  <w:tcBorders>
                    <w:tl2br w:val="nil"/>
                    <w:tr2bl w:val="nil"/>
                  </w:tcBorders>
                  <w:vAlign w:val="center"/>
                </w:tcPr>
                <w:p w14:paraId="35919166">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合计</w:t>
                  </w:r>
                </w:p>
              </w:tc>
              <w:tc>
                <w:tcPr>
                  <w:tcW w:w="727" w:type="pct"/>
                  <w:tcBorders>
                    <w:tl2br w:val="nil"/>
                    <w:tr2bl w:val="nil"/>
                  </w:tcBorders>
                  <w:vAlign w:val="center"/>
                </w:tcPr>
                <w:p w14:paraId="1438A99D">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17695</w:t>
                  </w:r>
                </w:p>
              </w:tc>
            </w:tr>
          </w:tbl>
          <w:p w14:paraId="684BC994">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计算得本项目设备清洗和消毒用水量为17695t/a，其中原辅材料带入水量约1t/a，设备清洗用纯水约17694t/a。</w:t>
            </w:r>
            <w:r>
              <w:rPr>
                <w:rFonts w:hint="eastAsia" w:ascii="Times New Roman" w:hAnsi="Times New Roman" w:eastAsia="宋体"/>
                <w:color w:val="auto"/>
                <w:highlight w:val="none"/>
                <w:lang w:val="en-US"/>
              </w:rPr>
              <w:t>产污系数以0.</w:t>
            </w:r>
            <w:r>
              <w:rPr>
                <w:rFonts w:hint="eastAsia"/>
                <w:color w:val="auto"/>
                <w:highlight w:val="none"/>
                <w:lang w:val="en-US" w:eastAsia="zh-CN"/>
              </w:rPr>
              <w:t>9</w:t>
            </w:r>
            <w:r>
              <w:rPr>
                <w:rFonts w:hint="eastAsia" w:ascii="Times New Roman" w:hAnsi="Times New Roman" w:eastAsia="宋体"/>
                <w:color w:val="auto"/>
                <w:highlight w:val="none"/>
                <w:lang w:val="en-US"/>
              </w:rPr>
              <w:t>计，则</w:t>
            </w:r>
            <w:r>
              <w:rPr>
                <w:rFonts w:hint="eastAsia"/>
                <w:color w:val="auto"/>
                <w:highlight w:val="none"/>
                <w:lang w:val="en-US" w:eastAsia="zh-CN"/>
              </w:rPr>
              <w:t>产生设备清洗消毒废水</w:t>
            </w:r>
            <w:r>
              <w:rPr>
                <w:rFonts w:hint="eastAsia" w:ascii="Times New Roman" w:hAnsi="Times New Roman" w:eastAsia="宋体"/>
                <w:color w:val="auto"/>
                <w:highlight w:val="none"/>
                <w:lang w:val="en-US"/>
              </w:rPr>
              <w:t>约</w:t>
            </w:r>
            <w:r>
              <w:rPr>
                <w:rFonts w:hint="eastAsia"/>
                <w:color w:val="auto"/>
                <w:highlight w:val="none"/>
                <w:lang w:val="en-US" w:eastAsia="zh-CN"/>
              </w:rPr>
              <w:t>15926t/a。</w:t>
            </w:r>
          </w:p>
          <w:p w14:paraId="54AD8991">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rPr>
            </w:pPr>
            <w:r>
              <w:rPr>
                <w:rFonts w:hint="eastAsia"/>
                <w:color w:val="auto"/>
                <w:highlight w:val="none"/>
                <w:lang w:val="en-US" w:eastAsia="zh-CN"/>
              </w:rPr>
              <w:t>综上，本项目设备清洗用自来水9600t/a，纯水17694t/a，原辅材料带入水量1t/a，产生设备清洗消毒废水约24566t/a，经南京娃哈哈有限公司厂区污水处理设施</w:t>
            </w:r>
            <w:r>
              <w:rPr>
                <w:rFonts w:hint="eastAsia" w:ascii="Times New Roman" w:hAnsi="Times New Roman" w:eastAsia="宋体"/>
                <w:color w:val="auto"/>
                <w:highlight w:val="none"/>
                <w:lang w:val="en-US" w:eastAsia="zh-CN"/>
              </w:rPr>
              <w:t>预处理后接管</w:t>
            </w:r>
            <w:r>
              <w:rPr>
                <w:rFonts w:hint="eastAsia" w:ascii="Times New Roman" w:hAnsi="Times New Roman" w:eastAsia="宋体"/>
                <w:color w:val="auto"/>
                <w:highlight w:val="none"/>
                <w:lang w:val="en-US"/>
              </w:rPr>
              <w:t>至</w:t>
            </w:r>
            <w:r>
              <w:rPr>
                <w:rFonts w:hint="eastAsia"/>
                <w:color w:val="auto"/>
                <w:highlight w:val="none"/>
                <w:lang w:val="en-US" w:eastAsia="zh-CN"/>
              </w:rPr>
              <w:t>空港</w:t>
            </w:r>
            <w:r>
              <w:rPr>
                <w:rFonts w:hint="eastAsia" w:ascii="Times New Roman" w:hAnsi="Times New Roman" w:eastAsia="宋体"/>
                <w:color w:val="auto"/>
                <w:highlight w:val="none"/>
                <w:lang w:val="en-US"/>
              </w:rPr>
              <w:t>污水处理厂集中处理，尾水排入</w:t>
            </w:r>
            <w:r>
              <w:rPr>
                <w:rFonts w:hint="eastAsia"/>
                <w:color w:val="auto"/>
                <w:highlight w:val="none"/>
                <w:lang w:val="en-US" w:eastAsia="zh-CN"/>
              </w:rPr>
              <w:t>云台山</w:t>
            </w:r>
            <w:r>
              <w:rPr>
                <w:rFonts w:hint="eastAsia" w:ascii="Times New Roman" w:hAnsi="Times New Roman" w:eastAsia="宋体"/>
                <w:color w:val="auto"/>
                <w:highlight w:val="none"/>
                <w:lang w:val="en-US"/>
              </w:rPr>
              <w:t>河。</w:t>
            </w:r>
          </w:p>
          <w:p w14:paraId="48CA9F0C">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rPr>
              <w:t>（</w:t>
            </w:r>
            <w:r>
              <w:rPr>
                <w:rFonts w:hint="eastAsia"/>
                <w:color w:val="auto"/>
                <w:highlight w:val="none"/>
                <w:lang w:val="en-US" w:eastAsia="zh-CN"/>
              </w:rPr>
              <w:t>4</w:t>
            </w:r>
            <w:r>
              <w:rPr>
                <w:rFonts w:hint="eastAsia" w:ascii="Times New Roman" w:hAnsi="Times New Roman" w:eastAsia="宋体"/>
                <w:color w:val="auto"/>
                <w:highlight w:val="none"/>
                <w:lang w:val="en-US"/>
              </w:rPr>
              <w:t>）</w:t>
            </w:r>
            <w:r>
              <w:rPr>
                <w:rFonts w:hint="eastAsia"/>
                <w:color w:val="auto"/>
                <w:highlight w:val="none"/>
                <w:lang w:val="en-US" w:eastAsia="zh-CN"/>
              </w:rPr>
              <w:t>纯净水制备用水</w:t>
            </w:r>
          </w:p>
          <w:p w14:paraId="182920D4">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eastAsia="zh-CN"/>
              </w:rPr>
            </w:pPr>
            <w:r>
              <w:rPr>
                <w:rFonts w:hint="eastAsia"/>
                <w:color w:val="auto"/>
                <w:sz w:val="24"/>
                <w:szCs w:val="24"/>
                <w:highlight w:val="none"/>
                <w:lang w:val="en-US" w:eastAsia="zh-CN"/>
              </w:rPr>
              <w:t>根据建设单位提供资料，本项目纯净水制备设施纯水得水率为60%，项目年产瓶装纯净水15万吨，设备清洗用纯水17694t/a，则需原水约279492t/a，产生纯水制备浓水约111797t/a，接管到空港污水处理厂集中处理</w:t>
            </w:r>
            <w:r>
              <w:rPr>
                <w:rFonts w:hint="eastAsia" w:ascii="Times New Roman" w:hAnsi="Times New Roman" w:eastAsia="宋体"/>
                <w:color w:val="auto"/>
                <w:highlight w:val="none"/>
                <w:lang w:val="en-US"/>
              </w:rPr>
              <w:t>，尾水排入</w:t>
            </w:r>
            <w:r>
              <w:rPr>
                <w:rFonts w:hint="eastAsia"/>
                <w:color w:val="auto"/>
                <w:highlight w:val="none"/>
                <w:lang w:val="en-US" w:eastAsia="zh-CN"/>
              </w:rPr>
              <w:t>云台山</w:t>
            </w:r>
            <w:r>
              <w:rPr>
                <w:rFonts w:hint="eastAsia" w:ascii="Times New Roman" w:hAnsi="Times New Roman" w:eastAsia="宋体"/>
                <w:color w:val="auto"/>
                <w:highlight w:val="none"/>
                <w:lang w:val="en-US"/>
              </w:rPr>
              <w:t>河。</w:t>
            </w:r>
          </w:p>
          <w:p w14:paraId="716F3D64">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（5）地面冲洗用水</w:t>
            </w:r>
          </w:p>
          <w:p w14:paraId="33DF08FF">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rPr>
            </w:pPr>
            <w:r>
              <w:rPr>
                <w:rFonts w:hint="eastAsia"/>
                <w:color w:val="auto"/>
                <w:highlight w:val="none"/>
                <w:lang w:val="en-US" w:eastAsia="zh-CN"/>
              </w:rPr>
              <w:t>本项目每日对1#厂房及纯净水车间地面进行冲洗，</w:t>
            </w:r>
            <w:r>
              <w:rPr>
                <w:rFonts w:hint="eastAsia" w:ascii="Times New Roman" w:hAnsi="Times New Roman" w:eastAsia="宋体"/>
                <w:color w:val="auto"/>
                <w:highlight w:val="none"/>
                <w:lang w:val="en-US"/>
              </w:rPr>
              <w:t>参照《建筑给水排水设计标准》（GB50015-2019）</w:t>
            </w:r>
            <w:r>
              <w:rPr>
                <w:rFonts w:hint="eastAsia"/>
                <w:color w:val="auto"/>
                <w:highlight w:val="none"/>
                <w:lang w:val="en-US" w:eastAsia="zh-CN"/>
              </w:rPr>
              <w:t>停车库地面冲洗水定额2～3L/（m</w:t>
            </w:r>
            <w:r>
              <w:rPr>
                <w:rFonts w:hint="eastAsia"/>
                <w:color w:val="auto"/>
                <w:highlight w:val="none"/>
                <w:vertAlign w:val="superscript"/>
                <w:lang w:val="en-US" w:eastAsia="zh-CN"/>
              </w:rPr>
              <w:t>2</w:t>
            </w:r>
            <w:r>
              <w:rPr>
                <w:rFonts w:hint="eastAsia"/>
                <w:color w:val="auto"/>
                <w:highlight w:val="none"/>
                <w:vertAlign w:val="baseline"/>
                <w:lang w:val="en-US" w:eastAsia="zh-CN"/>
              </w:rPr>
              <w:t>·次</w:t>
            </w:r>
            <w:r>
              <w:rPr>
                <w:rFonts w:hint="eastAsia"/>
                <w:color w:val="auto"/>
                <w:highlight w:val="none"/>
                <w:lang w:val="en-US" w:eastAsia="zh-CN"/>
              </w:rPr>
              <w:t>），本项目按3L/（m</w:t>
            </w:r>
            <w:r>
              <w:rPr>
                <w:rFonts w:hint="eastAsia"/>
                <w:color w:val="auto"/>
                <w:highlight w:val="none"/>
                <w:vertAlign w:val="superscript"/>
                <w:lang w:val="en-US" w:eastAsia="zh-CN"/>
              </w:rPr>
              <w:t>2</w:t>
            </w:r>
            <w:r>
              <w:rPr>
                <w:rFonts w:hint="eastAsia"/>
                <w:color w:val="auto"/>
                <w:highlight w:val="none"/>
                <w:vertAlign w:val="baseline"/>
                <w:lang w:val="en-US" w:eastAsia="zh-CN"/>
              </w:rPr>
              <w:t>·次</w:t>
            </w:r>
            <w:r>
              <w:rPr>
                <w:rFonts w:hint="eastAsia"/>
                <w:color w:val="auto"/>
                <w:highlight w:val="none"/>
                <w:lang w:val="en-US" w:eastAsia="zh-CN"/>
              </w:rPr>
              <w:t>）计算，项目年工作300天，1#厂房及纯净水车间总面积约4000m</w:t>
            </w:r>
            <w:r>
              <w:rPr>
                <w:rFonts w:hint="eastAsia"/>
                <w:color w:val="auto"/>
                <w:highlight w:val="none"/>
                <w:vertAlign w:val="superscript"/>
                <w:lang w:val="en-US" w:eastAsia="zh-CN"/>
              </w:rPr>
              <w:t>2</w:t>
            </w:r>
            <w:r>
              <w:rPr>
                <w:rFonts w:hint="eastAsia"/>
                <w:color w:val="auto"/>
                <w:highlight w:val="none"/>
                <w:vertAlign w:val="baseline"/>
                <w:lang w:val="en-US" w:eastAsia="zh-CN"/>
              </w:rPr>
              <w:t>，地面冲洗用水约3600t/a，</w:t>
            </w:r>
            <w:r>
              <w:rPr>
                <w:rFonts w:hint="eastAsia" w:ascii="Times New Roman" w:hAnsi="Times New Roman" w:eastAsia="宋体"/>
                <w:color w:val="auto"/>
                <w:highlight w:val="none"/>
                <w:lang w:val="en-US"/>
              </w:rPr>
              <w:t>产污系数以0.8计，则</w:t>
            </w:r>
            <w:r>
              <w:rPr>
                <w:rFonts w:hint="eastAsia"/>
                <w:color w:val="auto"/>
                <w:highlight w:val="none"/>
                <w:lang w:val="en-US" w:eastAsia="zh-CN"/>
              </w:rPr>
              <w:t>产生地面冲洗废水</w:t>
            </w:r>
            <w:r>
              <w:rPr>
                <w:rFonts w:hint="eastAsia" w:ascii="Times New Roman" w:hAnsi="Times New Roman" w:eastAsia="宋体"/>
                <w:color w:val="auto"/>
                <w:highlight w:val="none"/>
                <w:lang w:val="en-US"/>
              </w:rPr>
              <w:t>约为</w:t>
            </w:r>
            <w:r>
              <w:rPr>
                <w:rFonts w:hint="eastAsia"/>
                <w:color w:val="auto"/>
                <w:highlight w:val="none"/>
                <w:lang w:val="en-US" w:eastAsia="zh-CN"/>
              </w:rPr>
              <w:t>2880t/a，</w:t>
            </w:r>
            <w:r>
              <w:rPr>
                <w:rFonts w:hint="eastAsia" w:ascii="Times New Roman" w:hAnsi="Times New Roman" w:eastAsia="宋体"/>
                <w:color w:val="auto"/>
                <w:highlight w:val="none"/>
                <w:lang w:val="en-US" w:eastAsia="zh-CN"/>
              </w:rPr>
              <w:t>经</w:t>
            </w:r>
            <w:r>
              <w:rPr>
                <w:rFonts w:hint="eastAsia"/>
                <w:color w:val="auto"/>
                <w:highlight w:val="none"/>
                <w:lang w:val="en-US" w:eastAsia="zh-CN"/>
              </w:rPr>
              <w:t>南京娃哈哈有限公司厂区污水处理设施</w:t>
            </w:r>
            <w:r>
              <w:rPr>
                <w:rFonts w:hint="eastAsia" w:ascii="Times New Roman" w:hAnsi="Times New Roman" w:eastAsia="宋体"/>
                <w:color w:val="auto"/>
                <w:highlight w:val="none"/>
                <w:lang w:val="en-US" w:eastAsia="zh-CN"/>
              </w:rPr>
              <w:t>预处理后接管</w:t>
            </w:r>
            <w:r>
              <w:rPr>
                <w:rFonts w:hint="eastAsia" w:ascii="Times New Roman" w:hAnsi="Times New Roman" w:eastAsia="宋体"/>
                <w:color w:val="auto"/>
                <w:highlight w:val="none"/>
                <w:lang w:val="en-US"/>
              </w:rPr>
              <w:t>至</w:t>
            </w:r>
            <w:r>
              <w:rPr>
                <w:rFonts w:hint="eastAsia"/>
                <w:color w:val="auto"/>
                <w:highlight w:val="none"/>
                <w:lang w:val="en-US" w:eastAsia="zh-CN"/>
              </w:rPr>
              <w:t>空港</w:t>
            </w:r>
            <w:r>
              <w:rPr>
                <w:rFonts w:hint="eastAsia" w:ascii="Times New Roman" w:hAnsi="Times New Roman" w:eastAsia="宋体"/>
                <w:color w:val="auto"/>
                <w:highlight w:val="none"/>
                <w:lang w:val="en-US"/>
              </w:rPr>
              <w:t>污水处理厂集中处理，尾水排入</w:t>
            </w:r>
            <w:r>
              <w:rPr>
                <w:rFonts w:hint="eastAsia"/>
                <w:color w:val="auto"/>
                <w:highlight w:val="none"/>
                <w:lang w:val="en-US" w:eastAsia="zh-CN"/>
              </w:rPr>
              <w:t>云台山</w:t>
            </w:r>
            <w:r>
              <w:rPr>
                <w:rFonts w:hint="eastAsia" w:ascii="Times New Roman" w:hAnsi="Times New Roman" w:eastAsia="宋体"/>
                <w:color w:val="auto"/>
                <w:highlight w:val="none"/>
                <w:lang w:val="en-US"/>
              </w:rPr>
              <w:t>河。</w:t>
            </w:r>
          </w:p>
          <w:p w14:paraId="070059A6">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eastAsia="zh-CN"/>
              </w:rPr>
            </w:pPr>
            <w:r>
              <w:rPr>
                <w:rFonts w:hint="eastAsia"/>
                <w:color w:val="auto"/>
                <w:highlight w:val="none"/>
                <w:lang w:val="en-US" w:eastAsia="zh-CN"/>
              </w:rPr>
              <w:t>（6）冷却水补充用水</w:t>
            </w:r>
          </w:p>
          <w:p w14:paraId="26A653BD">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eastAsia="zh-CN"/>
              </w:rPr>
            </w:pPr>
            <w:r>
              <w:rPr>
                <w:rFonts w:hint="eastAsia"/>
                <w:color w:val="auto"/>
                <w:highlight w:val="none"/>
                <w:lang w:val="en-US" w:eastAsia="zh-CN"/>
              </w:rPr>
              <w:t>本项目冷却水设计总循环量为300t/h，采用闭式冷却塔，防止循环软水水质下降，冷却水不排放，定期补充损耗量。冷却用水蒸发损耗量按循环量的1%计算，项目年运行7200小时，冷却水蒸发损耗量约为21600t/a，则补充水量亦约为21600t/a。</w:t>
            </w:r>
          </w:p>
          <w:p w14:paraId="624F45BF">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本项目运营期水平衡图如下：</w:t>
            </w:r>
          </w:p>
          <w:p w14:paraId="1633946B">
            <w:pPr>
              <w:keepNext w:val="0"/>
              <w:keepLines w:val="0"/>
              <w:pageBreakBefore w:val="0"/>
              <w:widowControl w:val="0"/>
              <w:suppressLineNumbers w:val="0"/>
              <w:tabs>
                <w:tab w:val="left" w:pos="0"/>
              </w:tabs>
              <w:kinsoku/>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object>
                <v:shape id="_x0000_i1025" o:spt="75" type="#_x0000_t75" style="height:368.25pt;width:379.5pt;" o:ole="t" filled="f" o:preferrelative="t" stroked="f" coordsize="21600,21600">
                  <v:path/>
                  <v:fill on="f" focussize="0,0"/>
                  <v:stroke on="f"/>
                  <v:imagedata r:id="rId17" o:title=""/>
                  <o:lock v:ext="edit" aspectratio="f"/>
                  <w10:wrap type="none"/>
                  <w10:anchorlock/>
                </v:shape>
                <o:OLEObject Type="Embed" ProgID="Visio.Drawing.15" ShapeID="_x0000_i1025" DrawAspect="Content" ObjectID="_1468075725" r:id="rId16">
                  <o:LockedField>false</o:LockedField>
                </o:OLEObject>
              </w:object>
            </w:r>
          </w:p>
          <w:p w14:paraId="53D19327">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ascii="Times New Roman" w:hAnsi="Times New Roman" w:eastAsia="宋体"/>
                <w:color w:val="auto"/>
                <w:highlight w:val="none"/>
              </w:rPr>
              <w:t>图2-1建设项目用水平衡图（t/a）</w:t>
            </w:r>
          </w:p>
          <w:p w14:paraId="2A07278B">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7、平面布置及周围环境状况</w:t>
            </w:r>
          </w:p>
          <w:p w14:paraId="6F84DA4E">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（1）平面布置</w:t>
            </w:r>
          </w:p>
          <w:p w14:paraId="3816F055">
            <w:pPr>
              <w:keepNext w:val="0"/>
              <w:keepLines w:val="0"/>
              <w:suppressLineNumbers w:val="0"/>
              <w:spacing w:before="0" w:beforeAutospacing="0" w:after="0" w:afterAutospacing="0"/>
              <w:ind w:left="0" w:right="0" w:firstLine="480"/>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①项目所在厂区平面布置</w:t>
            </w:r>
          </w:p>
          <w:p w14:paraId="74DF43E9">
            <w:pPr>
              <w:keepNext w:val="0"/>
              <w:keepLines w:val="0"/>
              <w:suppressLineNumbers w:val="0"/>
              <w:spacing w:before="0" w:beforeAutospacing="0" w:after="0" w:afterAutospacing="0"/>
              <w:ind w:left="0" w:right="0" w:firstLine="480"/>
              <w:rPr>
                <w:rFonts w:hint="default" w:ascii="Times New Roman" w:hAnsi="Times New Roman" w:eastAsia="宋体"/>
                <w:color w:val="auto"/>
                <w:sz w:val="24"/>
                <w:szCs w:val="24"/>
                <w:highlight w:val="none"/>
                <w:lang w:val="en-US" w:eastAsia="zh-CN"/>
              </w:rPr>
            </w:pPr>
            <w:r>
              <w:rPr>
                <w:rFonts w:hint="eastAsia" w:ascii="Times New Roman" w:hAnsi="Times New Roman" w:eastAsia="宋体" w:cs="Times New Roman"/>
                <w:color w:val="auto"/>
                <w:sz w:val="24"/>
                <w:szCs w:val="24"/>
                <w:highlight w:val="none"/>
              </w:rPr>
              <w:t>本项目位于</w:t>
            </w:r>
            <w:r>
              <w:rPr>
                <w:rFonts w:hint="default" w:ascii="Times New Roman" w:hAnsi="Times New Roman" w:eastAsia="宋体"/>
                <w:color w:val="auto"/>
                <w:highlight w:val="none"/>
              </w:rPr>
              <w:t>南京江宁区空港工业园东西京路以东、双塘路以南（吴歌路36号）</w:t>
            </w:r>
            <w:r>
              <w:rPr>
                <w:rFonts w:hint="eastAsia"/>
                <w:bCs/>
                <w:color w:val="auto"/>
                <w:sz w:val="24"/>
                <w:highlight w:val="none"/>
                <w:lang w:val="en-US" w:eastAsia="zh-CN"/>
              </w:rPr>
              <w:t>南京娃哈哈饮料有限公司厂区内</w:t>
            </w:r>
            <w:r>
              <w:rPr>
                <w:rFonts w:hint="eastAsia" w:ascii="Times New Roman" w:hAnsi="Times New Roman" w:eastAsia="宋体"/>
                <w:color w:val="auto"/>
                <w:sz w:val="24"/>
                <w:szCs w:val="24"/>
                <w:highlight w:val="none"/>
                <w:lang w:val="en-US" w:eastAsia="zh-CN"/>
              </w:rPr>
              <w:t>，</w:t>
            </w:r>
            <w:r>
              <w:rPr>
                <w:rFonts w:hint="eastAsia"/>
                <w:color w:val="auto"/>
                <w:sz w:val="24"/>
                <w:szCs w:val="24"/>
                <w:highlight w:val="none"/>
                <w:lang w:val="en-US" w:eastAsia="zh-CN"/>
              </w:rPr>
              <w:t>本项目主体工程位于厂区最南侧两栋厂房，西侧为1#厂房，东侧为2#厂房</w:t>
            </w:r>
            <w:r>
              <w:rPr>
                <w:rFonts w:hint="eastAsia"/>
                <w:bCs/>
                <w:color w:val="auto"/>
                <w:sz w:val="24"/>
                <w:highlight w:val="none"/>
                <w:lang w:val="en-US" w:eastAsia="zh-CN"/>
              </w:rPr>
              <w:t>，同时本项目依托利用租赁厂区办公楼、倒班宿舍位于厂区东北侧，原料仓库位于本项目厂房北侧的两栋厂房，废水站、一般工业固废仓库、危废仓库、化学品仓库和本项目纯水制备车间沿厂区西侧厂界自北向南布置。</w:t>
            </w:r>
          </w:p>
          <w:p w14:paraId="0AB92100">
            <w:pPr>
              <w:keepNext w:val="0"/>
              <w:keepLines w:val="0"/>
              <w:suppressLineNumbers w:val="0"/>
              <w:spacing w:before="0" w:beforeAutospacing="0" w:after="0" w:afterAutospacing="0"/>
              <w:ind w:left="0" w:right="0" w:firstLine="480"/>
              <w:rPr>
                <w:rFonts w:hint="default" w:ascii="Times New Roman" w:hAnsi="Times New Roman" w:eastAsia="宋体"/>
                <w:color w:val="auto"/>
                <w:sz w:val="24"/>
                <w:szCs w:val="24"/>
                <w:highlight w:val="none"/>
                <w:lang w:val="en-US" w:eastAsia="zh-CN"/>
              </w:rPr>
            </w:pPr>
            <w:r>
              <w:rPr>
                <w:rFonts w:hint="eastAsia"/>
                <w:color w:val="auto"/>
                <w:sz w:val="24"/>
                <w:szCs w:val="24"/>
                <w:highlight w:val="none"/>
                <w:lang w:val="en-US" w:eastAsia="zh-CN"/>
              </w:rPr>
              <w:t>②本项目生产车间平面布置</w:t>
            </w:r>
          </w:p>
          <w:p w14:paraId="47456202">
            <w:pPr>
              <w:keepNext w:val="0"/>
              <w:keepLines w:val="0"/>
              <w:suppressLineNumbers w:val="0"/>
              <w:spacing w:before="0" w:beforeAutospacing="0" w:after="0" w:afterAutospacing="0"/>
              <w:ind w:left="0" w:right="0" w:firstLine="480"/>
              <w:rPr>
                <w:rFonts w:hint="default" w:ascii="Times New Roman" w:hAnsi="Times New Roman" w:eastAsia="宋体"/>
                <w:color w:val="auto"/>
                <w:sz w:val="24"/>
                <w:szCs w:val="24"/>
                <w:highlight w:val="none"/>
                <w:lang w:val="en-US" w:eastAsia="zh-CN"/>
              </w:rPr>
            </w:pPr>
            <w:r>
              <w:rPr>
                <w:rFonts w:hint="eastAsia"/>
                <w:color w:val="auto"/>
                <w:sz w:val="24"/>
                <w:szCs w:val="24"/>
                <w:highlight w:val="none"/>
                <w:lang w:val="en-US" w:eastAsia="zh-CN"/>
              </w:rPr>
              <w:t>本项目1#厂房自西向东依次为PET瓶片仓库、制瓶区、包装上料区、灌装区，2#厂房西侧为包装区，东侧为成品仓库。</w:t>
            </w:r>
          </w:p>
          <w:p w14:paraId="56B7E83B">
            <w:pPr>
              <w:keepNext w:val="0"/>
              <w:keepLines w:val="0"/>
              <w:suppressLineNumbers w:val="0"/>
              <w:spacing w:before="0" w:beforeAutospacing="0" w:after="0" w:afterAutospacing="0"/>
              <w:ind w:left="0" w:right="0" w:firstLine="480"/>
              <w:rPr>
                <w:rFonts w:hint="default" w:ascii="Times New Roman" w:hAnsi="Times New Roman" w:eastAsia="宋体"/>
                <w:color w:val="auto"/>
                <w:sz w:val="24"/>
                <w:szCs w:val="24"/>
                <w:highlight w:val="none"/>
                <w:lang w:val="en-US"/>
              </w:rPr>
            </w:pPr>
            <w:r>
              <w:rPr>
                <w:rFonts w:hint="eastAsia" w:ascii="Times New Roman" w:hAnsi="Times New Roman" w:eastAsia="宋体"/>
                <w:color w:val="auto"/>
                <w:sz w:val="24"/>
                <w:szCs w:val="24"/>
                <w:highlight w:val="none"/>
                <w:lang w:val="en-US"/>
              </w:rPr>
              <w:t>项目</w:t>
            </w:r>
            <w:r>
              <w:rPr>
                <w:rFonts w:hint="eastAsia" w:ascii="Times New Roman" w:hAnsi="Times New Roman" w:eastAsia="宋体"/>
                <w:color w:val="auto"/>
                <w:sz w:val="24"/>
                <w:szCs w:val="24"/>
                <w:highlight w:val="none"/>
                <w:lang w:val="en-US" w:eastAsia="zh-CN"/>
              </w:rPr>
              <w:t>厂区</w:t>
            </w:r>
            <w:r>
              <w:rPr>
                <w:rFonts w:hint="eastAsia" w:ascii="Times New Roman" w:hAnsi="Times New Roman" w:eastAsia="宋体"/>
                <w:color w:val="auto"/>
                <w:sz w:val="24"/>
                <w:szCs w:val="24"/>
                <w:highlight w:val="none"/>
                <w:lang w:val="en-US"/>
              </w:rPr>
              <w:t>平面布置图见附图</w:t>
            </w:r>
            <w:r>
              <w:rPr>
                <w:rFonts w:hint="eastAsia" w:ascii="Times New Roman" w:hAnsi="Times New Roman" w:eastAsia="宋体"/>
                <w:color w:val="auto"/>
                <w:sz w:val="24"/>
                <w:szCs w:val="24"/>
                <w:highlight w:val="none"/>
                <w:lang w:val="en-US" w:eastAsia="zh-CN"/>
              </w:rPr>
              <w:t>3，车间平面布置图见附图4</w:t>
            </w:r>
            <w:r>
              <w:rPr>
                <w:rFonts w:hint="eastAsia" w:ascii="Times New Roman" w:hAnsi="Times New Roman" w:eastAsia="宋体"/>
                <w:color w:val="auto"/>
                <w:sz w:val="24"/>
                <w:szCs w:val="24"/>
                <w:highlight w:val="none"/>
                <w:lang w:val="en-US"/>
              </w:rPr>
              <w:t>。</w:t>
            </w:r>
          </w:p>
          <w:p w14:paraId="6855100C">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（2）项目周边环境状况</w:t>
            </w:r>
          </w:p>
          <w:p w14:paraId="288D2E70">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s="Times New Roman"/>
                <w:color w:val="auto"/>
                <w:sz w:val="24"/>
                <w:szCs w:val="24"/>
                <w:highlight w:val="none"/>
              </w:rPr>
              <w:t>本项目位于</w:t>
            </w:r>
            <w:r>
              <w:rPr>
                <w:rFonts w:hint="default" w:ascii="Times New Roman" w:hAnsi="Times New Roman" w:eastAsia="宋体"/>
                <w:color w:val="auto"/>
                <w:highlight w:val="none"/>
              </w:rPr>
              <w:t>南京江宁区空港工业园东西京路以东、双塘路以南（吴歌路36号）</w:t>
            </w:r>
            <w:r>
              <w:rPr>
                <w:rFonts w:hint="eastAsia"/>
                <w:bCs/>
                <w:color w:val="auto"/>
                <w:sz w:val="24"/>
                <w:highlight w:val="none"/>
                <w:lang w:val="en-US" w:eastAsia="zh-CN"/>
              </w:rPr>
              <w:t>南京娃哈哈饮料有限公司厂区内</w:t>
            </w:r>
            <w:r>
              <w:rPr>
                <w:rFonts w:hint="eastAsia" w:ascii="Times New Roman" w:hAnsi="Times New Roman" w:eastAsia="宋体"/>
                <w:color w:val="auto"/>
                <w:highlight w:val="none"/>
                <w:lang w:val="en-US"/>
              </w:rPr>
              <w:t>，项目北边为</w:t>
            </w:r>
            <w:r>
              <w:rPr>
                <w:rFonts w:hint="eastAsia"/>
                <w:bCs/>
                <w:color w:val="auto"/>
                <w:sz w:val="24"/>
                <w:highlight w:val="none"/>
                <w:lang w:val="en-US" w:eastAsia="zh-CN"/>
              </w:rPr>
              <w:t>南京娃哈哈饮料有限公司厂房</w:t>
            </w:r>
            <w:r>
              <w:rPr>
                <w:rFonts w:hint="eastAsia" w:ascii="Times New Roman" w:hAnsi="Times New Roman" w:eastAsia="宋体"/>
                <w:color w:val="auto"/>
                <w:highlight w:val="none"/>
                <w:lang w:val="en-US"/>
              </w:rPr>
              <w:t>，南</w:t>
            </w:r>
            <w:r>
              <w:rPr>
                <w:rFonts w:hint="eastAsia"/>
                <w:color w:val="auto"/>
                <w:highlight w:val="none"/>
                <w:lang w:val="en-US" w:eastAsia="zh-CN"/>
              </w:rPr>
              <w:t>边</w:t>
            </w:r>
            <w:r>
              <w:rPr>
                <w:rFonts w:hint="eastAsia" w:ascii="Times New Roman" w:hAnsi="Times New Roman" w:eastAsia="宋体"/>
                <w:color w:val="auto"/>
                <w:highlight w:val="none"/>
                <w:lang w:val="en-US" w:eastAsia="zh-CN"/>
              </w:rPr>
              <w:t>隔</w:t>
            </w:r>
            <w:r>
              <w:rPr>
                <w:rFonts w:hint="eastAsia"/>
                <w:color w:val="auto"/>
                <w:highlight w:val="none"/>
                <w:lang w:val="en-US" w:eastAsia="zh-CN"/>
              </w:rPr>
              <w:t>围墙</w:t>
            </w:r>
            <w:r>
              <w:rPr>
                <w:rFonts w:hint="eastAsia" w:ascii="Times New Roman" w:hAnsi="Times New Roman" w:eastAsia="宋体"/>
                <w:color w:val="auto"/>
                <w:highlight w:val="none"/>
                <w:lang w:val="en-US" w:eastAsia="zh-CN"/>
              </w:rPr>
              <w:t>为</w:t>
            </w:r>
            <w:r>
              <w:rPr>
                <w:rFonts w:hint="eastAsia"/>
                <w:color w:val="auto"/>
                <w:highlight w:val="none"/>
                <w:lang w:val="en-US" w:eastAsia="zh-CN"/>
              </w:rPr>
              <w:t>南京</w:t>
            </w:r>
            <w:r>
              <w:rPr>
                <w:rFonts w:hint="eastAsia" w:ascii="Times New Roman" w:hAnsi="Times New Roman" w:eastAsia="宋体"/>
                <w:color w:val="auto"/>
                <w:highlight w:val="none"/>
                <w:lang w:val="en-US" w:eastAsia="zh-CN"/>
              </w:rPr>
              <w:t>全兴汽车内饰系统有限公司</w:t>
            </w:r>
            <w:r>
              <w:rPr>
                <w:rFonts w:hint="eastAsia" w:ascii="Times New Roman" w:hAnsi="Times New Roman" w:eastAsia="宋体"/>
                <w:color w:val="auto"/>
                <w:highlight w:val="none"/>
                <w:lang w:val="en-US"/>
              </w:rPr>
              <w:t>，西边</w:t>
            </w:r>
            <w:r>
              <w:rPr>
                <w:rFonts w:hint="eastAsia" w:ascii="Times New Roman" w:hAnsi="Times New Roman" w:eastAsia="宋体"/>
                <w:color w:val="auto"/>
                <w:highlight w:val="none"/>
                <w:lang w:val="en-US" w:eastAsia="zh-CN"/>
              </w:rPr>
              <w:t>隔</w:t>
            </w:r>
            <w:r>
              <w:rPr>
                <w:rFonts w:hint="eastAsia"/>
                <w:color w:val="auto"/>
                <w:highlight w:val="none"/>
                <w:lang w:val="en-US" w:eastAsia="zh-CN"/>
              </w:rPr>
              <w:t>围墙</w:t>
            </w:r>
            <w:r>
              <w:rPr>
                <w:rFonts w:hint="eastAsia" w:ascii="Times New Roman" w:hAnsi="Times New Roman" w:eastAsia="宋体"/>
                <w:color w:val="auto"/>
                <w:highlight w:val="none"/>
                <w:lang w:val="en-US" w:eastAsia="zh-CN"/>
              </w:rPr>
              <w:t>为</w:t>
            </w:r>
            <w:r>
              <w:rPr>
                <w:rFonts w:hint="eastAsia" w:ascii="Times New Roman" w:hAnsi="Times New Roman" w:eastAsia="宋体"/>
                <w:color w:val="auto"/>
                <w:highlight w:val="none"/>
                <w:lang w:val="en-US"/>
              </w:rPr>
              <w:t>空地</w:t>
            </w:r>
            <w:r>
              <w:rPr>
                <w:rFonts w:hint="eastAsia"/>
                <w:color w:val="auto"/>
                <w:highlight w:val="none"/>
                <w:lang w:val="en-US" w:eastAsia="zh-CN"/>
              </w:rPr>
              <w:t>（规划工业用地）</w:t>
            </w:r>
            <w:r>
              <w:rPr>
                <w:rFonts w:hint="eastAsia" w:ascii="Times New Roman" w:hAnsi="Times New Roman" w:eastAsia="宋体"/>
                <w:color w:val="auto"/>
                <w:highlight w:val="none"/>
                <w:lang w:val="en-US"/>
              </w:rPr>
              <w:t>，东边</w:t>
            </w:r>
            <w:r>
              <w:rPr>
                <w:rFonts w:hint="eastAsia" w:ascii="Times New Roman" w:hAnsi="Times New Roman" w:eastAsia="宋体"/>
                <w:color w:val="auto"/>
                <w:highlight w:val="none"/>
                <w:lang w:val="en-US" w:eastAsia="zh-CN"/>
              </w:rPr>
              <w:t>隔</w:t>
            </w:r>
            <w:r>
              <w:rPr>
                <w:rFonts w:hint="eastAsia"/>
                <w:color w:val="auto"/>
                <w:highlight w:val="none"/>
                <w:lang w:val="en-US" w:eastAsia="zh-CN"/>
              </w:rPr>
              <w:t>围墙</w:t>
            </w:r>
            <w:r>
              <w:rPr>
                <w:rFonts w:hint="eastAsia" w:ascii="Times New Roman" w:hAnsi="Times New Roman" w:eastAsia="宋体"/>
                <w:color w:val="auto"/>
                <w:highlight w:val="none"/>
                <w:lang w:val="en-US" w:eastAsia="zh-CN"/>
              </w:rPr>
              <w:t>为</w:t>
            </w:r>
            <w:r>
              <w:rPr>
                <w:rFonts w:hint="eastAsia" w:ascii="Times New Roman" w:hAnsi="Times New Roman" w:eastAsia="宋体"/>
                <w:color w:val="auto"/>
                <w:highlight w:val="none"/>
                <w:lang w:val="en-US"/>
              </w:rPr>
              <w:t>顶益食品公司制面工厂</w:t>
            </w:r>
            <w:r>
              <w:rPr>
                <w:rFonts w:hint="eastAsia" w:ascii="Times New Roman" w:hAnsi="Times New Roman" w:eastAsia="宋体"/>
                <w:color w:val="auto"/>
                <w:highlight w:val="none"/>
                <w:lang w:val="en-US" w:eastAsia="zh-CN"/>
              </w:rPr>
              <w:t>，</w:t>
            </w:r>
            <w:r>
              <w:rPr>
                <w:rFonts w:hint="eastAsia" w:ascii="Times New Roman" w:hAnsi="Times New Roman" w:eastAsia="宋体"/>
                <w:color w:val="auto"/>
                <w:highlight w:val="none"/>
                <w:lang w:val="en-US"/>
              </w:rPr>
              <w:t>项目周边500m环境概况图见附图</w:t>
            </w:r>
            <w:r>
              <w:rPr>
                <w:rFonts w:hint="eastAsia" w:ascii="Times New Roman" w:hAnsi="Times New Roman" w:eastAsia="宋体"/>
                <w:color w:val="auto"/>
                <w:highlight w:val="none"/>
                <w:lang w:val="en-US" w:eastAsia="zh-CN"/>
              </w:rPr>
              <w:t>2</w:t>
            </w:r>
            <w:r>
              <w:rPr>
                <w:rFonts w:hint="eastAsia" w:ascii="Times New Roman" w:hAnsi="Times New Roman" w:eastAsia="宋体"/>
                <w:color w:val="auto"/>
                <w:highlight w:val="none"/>
                <w:lang w:val="en-US"/>
              </w:rPr>
              <w:t>。</w:t>
            </w:r>
          </w:p>
        </w:tc>
      </w:tr>
      <w:tr w14:paraId="4C455E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454" w:type="dxa"/>
            <w:tcMar>
              <w:top w:w="16" w:type="dxa"/>
              <w:left w:w="16" w:type="dxa"/>
              <w:right w:w="16" w:type="dxa"/>
            </w:tcMar>
            <w:vAlign w:val="center"/>
          </w:tcPr>
          <w:p w14:paraId="7FD202A6">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工艺流程和产排污环节</w:t>
            </w:r>
          </w:p>
        </w:tc>
        <w:tc>
          <w:tcPr>
            <w:tcW w:w="7878" w:type="dxa"/>
            <w:gridSpan w:val="2"/>
            <w:vAlign w:val="center"/>
          </w:tcPr>
          <w:p w14:paraId="36BCA692">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1、工艺流程</w:t>
            </w:r>
          </w:p>
          <w:p w14:paraId="44B640EF">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rPr>
            </w:pPr>
            <w:r>
              <w:rPr>
                <w:rFonts w:hint="eastAsia"/>
                <w:color w:val="auto"/>
                <w:highlight w:val="none"/>
                <w:lang w:val="en-US" w:eastAsia="zh-CN"/>
              </w:rPr>
              <w:t>本项目产品为瓶装水，生产过程可分为制纯净水、制瓶和灌装三个工段，具体工艺流程如下</w:t>
            </w:r>
            <w:r>
              <w:rPr>
                <w:rFonts w:hint="eastAsia" w:ascii="Times New Roman" w:hAnsi="Times New Roman" w:eastAsia="宋体"/>
                <w:color w:val="auto"/>
                <w:highlight w:val="none"/>
                <w:lang w:val="en-US"/>
              </w:rPr>
              <w:t>：</w:t>
            </w:r>
          </w:p>
          <w:p w14:paraId="564B342B">
            <w:pPr>
              <w:pStyle w:val="23"/>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object>
                <v:shape id="_x0000_i1026" o:spt="75" type="#_x0000_t75" style="height:343.2pt;width:335pt;" o:ole="t" filled="f" o:preferrelative="t" stroked="f" coordsize="21600,21600">
                  <v:path/>
                  <v:fill on="f" focussize="0,0"/>
                  <v:stroke on="f"/>
                  <v:imagedata r:id="rId19" o:title=""/>
                  <o:lock v:ext="edit" aspectratio="f"/>
                  <w10:wrap type="none"/>
                  <w10:anchorlock/>
                </v:shape>
                <o:OLEObject Type="Embed" ProgID="Visio.Drawing.15" ShapeID="_x0000_i1026" DrawAspect="Content" ObjectID="_1468075726" r:id="rId18">
                  <o:LockedField>false</o:LockedField>
                </o:OLEObject>
              </w:object>
            </w:r>
          </w:p>
          <w:p w14:paraId="3BD8242F">
            <w:pPr>
              <w:pStyle w:val="23"/>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eastAsia" w:ascii="Times New Roman" w:hAnsi="Times New Roman" w:eastAsia="宋体"/>
                <w:b/>
                <w:bCs/>
                <w:color w:val="auto"/>
                <w:highlight w:val="none"/>
                <w:lang w:val="en-US"/>
              </w:rPr>
              <w:t>图2-</w:t>
            </w:r>
            <w:r>
              <w:rPr>
                <w:rFonts w:hint="eastAsia"/>
                <w:b/>
                <w:bCs/>
                <w:color w:val="auto"/>
                <w:highlight w:val="none"/>
                <w:lang w:val="en-US" w:eastAsia="zh-CN"/>
              </w:rPr>
              <w:t>3本项目</w:t>
            </w:r>
            <w:r>
              <w:rPr>
                <w:rFonts w:hint="eastAsia" w:ascii="Times New Roman" w:hAnsi="Times New Roman" w:eastAsia="宋体"/>
                <w:b/>
                <w:bCs/>
                <w:color w:val="auto"/>
                <w:highlight w:val="none"/>
                <w:lang w:val="en-US"/>
              </w:rPr>
              <w:t>工艺流程图</w:t>
            </w:r>
          </w:p>
          <w:p w14:paraId="4ACE4826">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工艺简述</w:t>
            </w:r>
          </w:p>
          <w:p w14:paraId="79A3C5A9">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（1）纯水制备</w:t>
            </w:r>
          </w:p>
          <w:p w14:paraId="016DB614">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1）机滤</w:t>
            </w:r>
          </w:p>
          <w:p w14:paraId="62D3FCC7">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原水（自来水）在水泵的作用下通过精密不锈钢叠片过滤器过滤，去除原水中大部分悬浮物。叠片过滤器运行1小时反冲洗一次，每次持续1min。此工序产生设备清洗废水W1和噪声N。</w:t>
            </w:r>
          </w:p>
          <w:p w14:paraId="08EF241C">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2）炭滤</w:t>
            </w:r>
          </w:p>
          <w:p w14:paraId="6FCE96C0">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以活性炭作为过滤介质对机滤后的原水进行过滤，进一步去除原水中的悬浮物及大部分微生物，活性炭定期更换，此工序产生废活性炭S1和噪声N。</w:t>
            </w:r>
          </w:p>
          <w:p w14:paraId="56FB8806">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3）两级反渗透</w:t>
            </w:r>
          </w:p>
          <w:p w14:paraId="188869D0">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rPr>
              <w:t>反渗透</w:t>
            </w:r>
            <w:r>
              <w:rPr>
                <w:rFonts w:hint="eastAsia"/>
                <w:color w:val="auto"/>
                <w:lang w:val="en-US" w:eastAsia="zh-CN"/>
              </w:rPr>
              <w:t>处理</w:t>
            </w:r>
            <w:r>
              <w:rPr>
                <w:rFonts w:hint="eastAsia"/>
                <w:color w:val="auto"/>
              </w:rPr>
              <w:t>的工作过程</w:t>
            </w:r>
            <w:r>
              <w:rPr>
                <w:rFonts w:hint="eastAsia"/>
                <w:color w:val="auto"/>
                <w:lang w:eastAsia="zh-CN"/>
              </w:rPr>
              <w:t>是</w:t>
            </w:r>
            <w:r>
              <w:rPr>
                <w:rFonts w:hint="eastAsia"/>
                <w:color w:val="auto"/>
                <w:highlight w:val="none"/>
                <w:lang w:val="en-US" w:eastAsia="zh-CN"/>
              </w:rPr>
              <w:t>通过高压泵将原水泵入反渗透设施原水端，施加一定压力使其中水分子通过渗透膜进入纯水端，盐分等杂质分子大部分留在原水端，从而达到净化的目的。随着净化过程的持续进行，原水端盐分不断浓缩成浓水，定期排出产生废水。本项目采用两级反渗透膜处理工艺，炭滤后的原水先通过一级高压泵进入一级反渗透膜设施处理后引入一级纯水箱，绕后经脱气设施去除水中溶解的二氧化碳，最后经二级高压泵进入二级反渗透膜设施处理，处理后进入二级纯水箱。此工序产生浓水W2、废RO膜S2和噪声N。</w:t>
            </w:r>
          </w:p>
          <w:p w14:paraId="50DC6C2A">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4）消毒</w:t>
            </w:r>
          </w:p>
          <w:p w14:paraId="09F05BA4">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二级纯水箱的纯水引入消毒水箱，通入臭氧进行消毒形成富臭氧分为，利用臭氧杀灭细菌等微生物。消毒后纯净水直接进行灌装，臭氧分子不稳定，一般会在12小时内全部分解为氧气分子，不影响产品质量。该过程气体输送管道及消毒水箱均密闭。此工序不产生废气。</w:t>
            </w:r>
          </w:p>
          <w:p w14:paraId="75A58FB4">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sz w:val="24"/>
                <w:szCs w:val="24"/>
                <w:lang w:val="en-US" w:bidi="zh-CN"/>
              </w:rPr>
            </w:pPr>
            <w:r>
              <w:rPr>
                <w:rFonts w:hint="eastAsia" w:ascii="Times New Roman" w:hAnsi="Times New Roman" w:eastAsia="宋体" w:cs="Times New Roman"/>
                <w:color w:val="auto"/>
                <w:sz w:val="24"/>
                <w:szCs w:val="24"/>
                <w:lang w:val="en-US" w:bidi="zh-CN"/>
              </w:rPr>
              <w:t>臭氧制备：在无油空压机的作用下，空气分别经过初效、中效、高效过滤棉过滤达到生产所需清洁度，储备进压缩气罐，然后在一定压力下通过碳分子筛吸附空气中的氧气，氮气等其他尾气通过设备排风口排出。碳分子筛吸附饱和后停止通入压缩空气，减压释放氧气从而获得纯氧，再将纯氧通入臭氧发生器，在高电压电场作用下通过无声放电产生臭氧。臭氧制备过程产生废滤芯S3、废分子筛S4。</w:t>
            </w:r>
          </w:p>
          <w:p w14:paraId="71B55A11">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（2）制瓶</w:t>
            </w:r>
          </w:p>
          <w:p w14:paraId="277E6C81">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1）投料</w:t>
            </w:r>
          </w:p>
          <w:p w14:paraId="3BF51902">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eastAsia="zh-CN"/>
              </w:rPr>
            </w:pPr>
            <w:r>
              <w:rPr>
                <w:rFonts w:hint="eastAsia"/>
                <w:color w:val="auto"/>
                <w:highlight w:val="none"/>
                <w:lang w:val="en-US" w:eastAsia="zh-CN"/>
              </w:rPr>
              <w:t>人工加工外购的PET塑料切片投入瓶胚机和制盖机料斗，本项目使用的PET塑料为固体片材，投料过程中不产生粉尘。此工序产生噪声N。</w:t>
            </w:r>
          </w:p>
          <w:p w14:paraId="4D02BD40">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eastAsia="zh-CN"/>
              </w:rPr>
            </w:pPr>
            <w:r>
              <w:rPr>
                <w:rFonts w:hint="eastAsia"/>
                <w:color w:val="auto"/>
                <w:highlight w:val="none"/>
                <w:lang w:val="en-US" w:eastAsia="zh-CN"/>
              </w:rPr>
              <w:t>2）注塑、压盖</w:t>
            </w:r>
          </w:p>
          <w:p w14:paraId="3E630106">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瓶胚机通过管道将料斗内的PET塑料切片送入设备熔融室，电加热至320℃（低于PET分解温度353℃）使PET塑料熔融成浆液，然后通过设备注塑针头将熔融的PET浆液注入模具内，模具内有间接冷却水回路，通过间接水冷使浆液凝固，形成瓶胚。注塑时PET塑料中残留的少量有机单体逸出产生有机废气，同时会产生少量有瑕疵的瓶胚而产生废塑料。</w:t>
            </w:r>
          </w:p>
          <w:p w14:paraId="2CF30017">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制盖机通过管道将料斗内的PET塑料切片送入设备压制室，电加热使PET塑料软化（约250℃），压制成瓶盖形状后冷却定型，通过紫外消毒后备用。压盖过程中PET塑料受热，其中残留的少量有机单体逸出产生有机废气，同时会产生出少量有瑕疵的瓶盖而产生废塑料。</w:t>
            </w:r>
          </w:p>
          <w:p w14:paraId="01DC325E">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此工序产生注塑废气G1、压盖废气G2、废塑料S5、废紫外灯管S6和噪声N。</w:t>
            </w:r>
          </w:p>
          <w:p w14:paraId="41122DED">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3）吹制成瓶</w:t>
            </w:r>
          </w:p>
          <w:p w14:paraId="744DEC1A">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将注塑成型的瓶胚吹制成瓶，吹瓶机将加热至200℃左右的瓶胚送入模具内，通过高压空气吹胀瓶胚，使其紧贴模具内壁成型为瓶装水的容器。吹瓶过程中，PET材料受热产生少量有机废气G3，同时不合格的产品会产生废塑料S7。此工序还会产生噪声N。</w:t>
            </w:r>
          </w:p>
          <w:p w14:paraId="0EFCDFDB">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（3）灌装、吹干</w:t>
            </w:r>
          </w:p>
          <w:p w14:paraId="2EE614B5">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自动输送线将空瓶输送到灌装线，通过灌旋一体机将纯净水装入塑料瓶，同时拧紧瓶盖，然后通过吹干机将瓶身水渍吹干。此工序产生噪声N。</w:t>
            </w:r>
          </w:p>
          <w:p w14:paraId="1CA6E6FC">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（4）贴标、打码</w:t>
            </w:r>
          </w:p>
          <w:p w14:paraId="4AB846E2">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贴标机将印有产品信息的标签贴在灌装完成的瓶装水上，打码机则在标签或瓶身处打印生产日期、批次等信息。此工序确保产品信息准确无误，便于追踪和管理。此工序产生喷码废气G4和噪声N。</w:t>
            </w:r>
          </w:p>
          <w:p w14:paraId="04E543D2">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（5）装箱</w:t>
            </w:r>
          </w:p>
          <w:p w14:paraId="2DE2C249">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灌装、贴标和打码完成的瓶装水通过自动输送线进入包装区，自动包装机械进行装箱、打包。打包完成的瓶装水被送入仓库储存，等待出厂销售。此。此工序产生废纸箱S8、废塑料膜S9、噪声N</w:t>
            </w:r>
          </w:p>
          <w:p w14:paraId="6DE090BD">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eastAsia="zh-CN"/>
              </w:rPr>
              <w:t>2</w:t>
            </w:r>
            <w:r>
              <w:rPr>
                <w:rFonts w:hint="eastAsia" w:ascii="Times New Roman" w:hAnsi="Times New Roman" w:eastAsia="宋体"/>
                <w:color w:val="auto"/>
                <w:highlight w:val="none"/>
                <w:lang w:val="en-US"/>
              </w:rPr>
              <w:t>、其他未说明产污环节</w:t>
            </w:r>
          </w:p>
          <w:p w14:paraId="52045A07">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（1）生产设施清洗消毒产污环节</w:t>
            </w:r>
          </w:p>
          <w:p w14:paraId="53837090">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sz w:val="24"/>
                <w:szCs w:val="24"/>
                <w:lang w:bidi="zh-CN"/>
              </w:rPr>
            </w:pPr>
            <w:r>
              <w:rPr>
                <w:rFonts w:hint="default" w:ascii="Times New Roman" w:hAnsi="Times New Roman" w:eastAsia="宋体" w:cs="Times New Roman"/>
                <w:color w:val="auto"/>
                <w:sz w:val="24"/>
                <w:szCs w:val="24"/>
                <w:lang w:bidi="zh-CN"/>
              </w:rPr>
              <w:t>本项目</w:t>
            </w:r>
            <w:r>
              <w:rPr>
                <w:rFonts w:hint="eastAsia" w:ascii="Times New Roman" w:hAnsi="Times New Roman" w:eastAsia="宋体" w:cs="Times New Roman"/>
                <w:color w:val="auto"/>
                <w:sz w:val="24"/>
                <w:szCs w:val="24"/>
                <w:lang w:val="en-US" w:bidi="zh-CN"/>
              </w:rPr>
              <w:t>从事</w:t>
            </w:r>
            <w:r>
              <w:rPr>
                <w:rFonts w:hint="default" w:ascii="Times New Roman" w:hAnsi="Times New Roman" w:eastAsia="宋体" w:cs="Times New Roman"/>
                <w:color w:val="auto"/>
                <w:sz w:val="24"/>
                <w:szCs w:val="24"/>
                <w:lang w:bidi="zh-CN"/>
              </w:rPr>
              <w:t>瓶装纯净水的生产，为了确保生产设施的清洁与卫生，必须定期执行消毒和清洗程序。根据建设单位提供的资料，各生产设施的消毒和清洗方案详见下表：</w:t>
            </w:r>
          </w:p>
          <w:p w14:paraId="4DFB50E3">
            <w:pPr>
              <w:pStyle w:val="23"/>
              <w:keepNext w:val="0"/>
              <w:keepLines w:val="0"/>
              <w:suppressLineNumbers w:val="0"/>
              <w:spacing w:before="0" w:beforeAutospacing="0" w:after="0" w:afterAutospacing="0"/>
              <w:ind w:left="0" w:right="0"/>
              <w:rPr>
                <w:rFonts w:hint="eastAsia"/>
                <w:color w:val="auto"/>
                <w:highlight w:val="none"/>
                <w:lang w:val="en-US" w:eastAsia="zh-CN"/>
              </w:rPr>
            </w:pPr>
            <w:r>
              <w:rPr>
                <w:rFonts w:hint="default" w:ascii="Times New Roman" w:hAnsi="Times New Roman" w:eastAsia="宋体"/>
                <w:color w:val="auto"/>
                <w:highlight w:val="none"/>
              </w:rPr>
              <w:t>表2-</w:t>
            </w:r>
            <w:r>
              <w:rPr>
                <w:rFonts w:hint="eastAsia"/>
                <w:color w:val="auto"/>
                <w:highlight w:val="none"/>
                <w:lang w:val="en-US" w:eastAsia="zh-CN"/>
              </w:rPr>
              <w:t>8</w:t>
            </w:r>
            <w:r>
              <w:rPr>
                <w:rFonts w:hint="default" w:ascii="Times New Roman" w:hAnsi="Times New Roman" w:eastAsia="宋体"/>
                <w:color w:val="auto"/>
                <w:highlight w:val="none"/>
              </w:rPr>
              <w:t>消毒和清洗</w:t>
            </w:r>
            <w:r>
              <w:rPr>
                <w:rFonts w:hint="eastAsia"/>
                <w:color w:val="auto"/>
                <w:highlight w:val="none"/>
                <w:lang w:val="en-US" w:eastAsia="zh-CN"/>
              </w:rPr>
              <w:t>方案一览表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42"/>
              <w:gridCol w:w="2859"/>
              <w:gridCol w:w="953"/>
              <w:gridCol w:w="2550"/>
              <w:gridCol w:w="818"/>
            </w:tblGrid>
            <w:tr w14:paraId="35EC0320">
              <w:tblPrEx>
                <w:tblCellMar>
                  <w:top w:w="0" w:type="dxa"/>
                  <w:left w:w="0" w:type="dxa"/>
                  <w:bottom w:w="0" w:type="dxa"/>
                  <w:right w:w="0" w:type="dxa"/>
                </w:tblCellMar>
              </w:tblPrEx>
              <w:trPr>
                <w:cantSplit/>
                <w:trHeight w:val="340" w:hRule="atLeast"/>
                <w:jc w:val="center"/>
              </w:trPr>
              <w:tc>
                <w:tcPr>
                  <w:tcW w:w="410" w:type="pct"/>
                  <w:vMerge w:val="restart"/>
                  <w:tcBorders>
                    <w:tl2br w:val="nil"/>
                    <w:tr2bl w:val="nil"/>
                  </w:tcBorders>
                  <w:vAlign w:val="center"/>
                </w:tcPr>
                <w:p w14:paraId="4EA642CB">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eastAsia="zh-CN"/>
                    </w:rPr>
                  </w:pPr>
                  <w:r>
                    <w:rPr>
                      <w:rFonts w:hint="eastAsia"/>
                      <w:b/>
                      <w:bCs/>
                      <w:color w:val="auto"/>
                      <w:highlight w:val="none"/>
                      <w:lang w:val="en-US" w:eastAsia="zh-CN"/>
                    </w:rPr>
                    <w:t>设施名称</w:t>
                  </w:r>
                </w:p>
              </w:tc>
              <w:tc>
                <w:tcPr>
                  <w:tcW w:w="2436" w:type="pct"/>
                  <w:gridSpan w:val="2"/>
                  <w:tcBorders>
                    <w:tl2br w:val="nil"/>
                    <w:tr2bl w:val="nil"/>
                  </w:tcBorders>
                  <w:vAlign w:val="center"/>
                </w:tcPr>
                <w:p w14:paraId="6BCEF473">
                  <w:pPr>
                    <w:pStyle w:val="21"/>
                    <w:keepNext w:val="0"/>
                    <w:keepLines w:val="0"/>
                    <w:suppressLineNumbers w:val="0"/>
                    <w:spacing w:before="0" w:beforeAutospacing="0" w:after="0" w:afterAutospacing="0"/>
                    <w:ind w:left="0" w:right="0"/>
                    <w:rPr>
                      <w:rFonts w:hint="eastAsia"/>
                      <w:b/>
                      <w:bCs/>
                      <w:color w:val="auto"/>
                      <w:highlight w:val="none"/>
                      <w:lang w:val="en-US" w:eastAsia="zh-CN"/>
                    </w:rPr>
                  </w:pPr>
                  <w:r>
                    <w:rPr>
                      <w:rFonts w:hint="eastAsia"/>
                      <w:b/>
                      <w:bCs/>
                      <w:color w:val="auto"/>
                      <w:highlight w:val="none"/>
                      <w:lang w:val="en-US" w:eastAsia="zh-CN"/>
                    </w:rPr>
                    <w:t>清洗方案</w:t>
                  </w:r>
                </w:p>
              </w:tc>
              <w:tc>
                <w:tcPr>
                  <w:tcW w:w="2152" w:type="pct"/>
                  <w:gridSpan w:val="2"/>
                  <w:tcBorders>
                    <w:tl2br w:val="nil"/>
                    <w:tr2bl w:val="nil"/>
                  </w:tcBorders>
                  <w:vAlign w:val="center"/>
                </w:tcPr>
                <w:p w14:paraId="60F6F8AA">
                  <w:pPr>
                    <w:pStyle w:val="21"/>
                    <w:keepNext w:val="0"/>
                    <w:keepLines w:val="0"/>
                    <w:suppressLineNumbers w:val="0"/>
                    <w:spacing w:before="0" w:beforeAutospacing="0" w:after="0" w:afterAutospacing="0"/>
                    <w:ind w:left="0" w:right="0"/>
                    <w:rPr>
                      <w:rFonts w:hint="eastAsia"/>
                      <w:b/>
                      <w:bCs/>
                      <w:color w:val="auto"/>
                      <w:highlight w:val="none"/>
                      <w:lang w:val="en-US" w:eastAsia="zh-CN"/>
                    </w:rPr>
                  </w:pPr>
                  <w:r>
                    <w:rPr>
                      <w:rFonts w:hint="eastAsia"/>
                      <w:b/>
                      <w:bCs/>
                      <w:color w:val="auto"/>
                      <w:highlight w:val="none"/>
                      <w:lang w:val="en-US" w:eastAsia="zh-CN"/>
                    </w:rPr>
                    <w:t>消毒方案</w:t>
                  </w:r>
                </w:p>
              </w:tc>
            </w:tr>
            <w:tr w14:paraId="47D841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0" w:type="pct"/>
                  <w:vMerge w:val="continue"/>
                  <w:tcBorders>
                    <w:tl2br w:val="nil"/>
                    <w:tr2bl w:val="nil"/>
                  </w:tcBorders>
                  <w:vAlign w:val="center"/>
                </w:tcPr>
                <w:p w14:paraId="4F1742D8">
                  <w:pPr>
                    <w:pStyle w:val="21"/>
                    <w:keepNext w:val="0"/>
                    <w:keepLines w:val="0"/>
                    <w:suppressLineNumbers w:val="0"/>
                    <w:spacing w:before="0" w:beforeAutospacing="0" w:after="0" w:afterAutospacing="0"/>
                    <w:ind w:left="0" w:right="0"/>
                    <w:rPr>
                      <w:rFonts w:hint="eastAsia"/>
                      <w:b/>
                      <w:bCs/>
                      <w:color w:val="auto"/>
                      <w:highlight w:val="none"/>
                      <w:lang w:val="en-US" w:eastAsia="zh-CN"/>
                    </w:rPr>
                  </w:pPr>
                </w:p>
              </w:tc>
              <w:tc>
                <w:tcPr>
                  <w:tcW w:w="1827" w:type="pct"/>
                  <w:tcBorders>
                    <w:tl2br w:val="nil"/>
                    <w:tr2bl w:val="nil"/>
                  </w:tcBorders>
                  <w:vAlign w:val="center"/>
                </w:tcPr>
                <w:p w14:paraId="2E38EB58">
                  <w:pPr>
                    <w:pStyle w:val="21"/>
                    <w:keepNext w:val="0"/>
                    <w:keepLines w:val="0"/>
                    <w:suppressLineNumbers w:val="0"/>
                    <w:spacing w:before="0" w:beforeAutospacing="0" w:after="0" w:afterAutospacing="0"/>
                    <w:ind w:left="0" w:right="0"/>
                    <w:rPr>
                      <w:rFonts w:hint="eastAsia"/>
                      <w:b/>
                      <w:bCs/>
                      <w:color w:val="auto"/>
                      <w:highlight w:val="none"/>
                      <w:lang w:val="en-US" w:eastAsia="zh-CN"/>
                    </w:rPr>
                  </w:pPr>
                  <w:r>
                    <w:rPr>
                      <w:rFonts w:hint="eastAsia"/>
                      <w:b/>
                      <w:bCs/>
                      <w:color w:val="auto"/>
                      <w:highlight w:val="none"/>
                      <w:lang w:val="en-US" w:eastAsia="zh-CN"/>
                    </w:rPr>
                    <w:t>清洗方案</w:t>
                  </w:r>
                </w:p>
              </w:tc>
              <w:tc>
                <w:tcPr>
                  <w:tcW w:w="609" w:type="pct"/>
                  <w:tcBorders>
                    <w:tl2br w:val="nil"/>
                    <w:tr2bl w:val="nil"/>
                  </w:tcBorders>
                  <w:vAlign w:val="center"/>
                </w:tcPr>
                <w:p w14:paraId="34DF810A">
                  <w:pPr>
                    <w:pStyle w:val="21"/>
                    <w:keepNext w:val="0"/>
                    <w:keepLines w:val="0"/>
                    <w:suppressLineNumbers w:val="0"/>
                    <w:spacing w:before="0" w:beforeAutospacing="0" w:after="0" w:afterAutospacing="0"/>
                    <w:ind w:left="0" w:right="0"/>
                    <w:rPr>
                      <w:rFonts w:hint="default"/>
                      <w:b/>
                      <w:bCs/>
                      <w:color w:val="auto"/>
                      <w:highlight w:val="none"/>
                      <w:lang w:val="en-US" w:eastAsia="zh-CN"/>
                    </w:rPr>
                  </w:pPr>
                  <w:r>
                    <w:rPr>
                      <w:rFonts w:hint="eastAsia"/>
                      <w:b/>
                      <w:bCs/>
                      <w:color w:val="auto"/>
                      <w:highlight w:val="none"/>
                      <w:lang w:val="en-US" w:eastAsia="zh-CN"/>
                    </w:rPr>
                    <w:t>频次</w:t>
                  </w:r>
                </w:p>
              </w:tc>
              <w:tc>
                <w:tcPr>
                  <w:tcW w:w="1630" w:type="pct"/>
                  <w:tcBorders>
                    <w:tl2br w:val="nil"/>
                    <w:tr2bl w:val="nil"/>
                  </w:tcBorders>
                  <w:shd w:val="clear" w:color="auto" w:fill="auto"/>
                  <w:vAlign w:val="center"/>
                </w:tcPr>
                <w:p w14:paraId="0782BA52">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b/>
                      <w:bCs/>
                      <w:color w:val="auto"/>
                      <w:sz w:val="21"/>
                      <w:szCs w:val="24"/>
                      <w:highlight w:val="none"/>
                      <w:lang w:val="en-US" w:eastAsia="zh-CN" w:bidi="zh-CN"/>
                    </w:rPr>
                  </w:pPr>
                  <w:r>
                    <w:rPr>
                      <w:rFonts w:hint="eastAsia"/>
                      <w:b/>
                      <w:bCs/>
                      <w:color w:val="auto"/>
                      <w:highlight w:val="none"/>
                      <w:lang w:val="en-US" w:eastAsia="zh-CN"/>
                    </w:rPr>
                    <w:t>消毒方案</w:t>
                  </w:r>
                </w:p>
              </w:tc>
              <w:tc>
                <w:tcPr>
                  <w:tcW w:w="522" w:type="pct"/>
                  <w:tcBorders>
                    <w:tl2br w:val="nil"/>
                    <w:tr2bl w:val="nil"/>
                  </w:tcBorders>
                  <w:shd w:val="clear" w:color="auto" w:fill="auto"/>
                  <w:vAlign w:val="center"/>
                </w:tcPr>
                <w:p w14:paraId="4B795C0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b/>
                      <w:bCs/>
                      <w:color w:val="auto"/>
                      <w:sz w:val="21"/>
                      <w:szCs w:val="24"/>
                      <w:highlight w:val="none"/>
                      <w:lang w:val="en-US" w:eastAsia="zh-CN" w:bidi="zh-CN"/>
                    </w:rPr>
                  </w:pPr>
                  <w:r>
                    <w:rPr>
                      <w:rFonts w:hint="eastAsia"/>
                      <w:b/>
                      <w:bCs/>
                      <w:color w:val="auto"/>
                      <w:highlight w:val="none"/>
                      <w:lang w:val="en-US" w:eastAsia="zh-CN"/>
                    </w:rPr>
                    <w:t>频次</w:t>
                  </w:r>
                </w:p>
              </w:tc>
            </w:tr>
            <w:tr w14:paraId="634355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410" w:type="pct"/>
                  <w:tcBorders>
                    <w:tl2br w:val="nil"/>
                    <w:tr2bl w:val="nil"/>
                  </w:tcBorders>
                  <w:vAlign w:val="center"/>
                </w:tcPr>
                <w:p w14:paraId="2E27CF5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储水罐</w:t>
                  </w:r>
                </w:p>
              </w:tc>
              <w:tc>
                <w:tcPr>
                  <w:tcW w:w="1827" w:type="pct"/>
                  <w:tcBorders>
                    <w:tl2br w:val="nil"/>
                    <w:tr2bl w:val="nil"/>
                  </w:tcBorders>
                  <w:vAlign w:val="center"/>
                </w:tcPr>
                <w:p w14:paraId="785F0A0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default" w:ascii="Times New Roman" w:hAnsi="Times New Roman" w:eastAsia="宋体"/>
                      <w:color w:val="auto"/>
                      <w:highlight w:val="none"/>
                      <w:lang w:val="en-US" w:eastAsia="zh-CN"/>
                    </w:rPr>
                    <w:t>碱洗</w:t>
                  </w:r>
                  <w:r>
                    <w:rPr>
                      <w:rFonts w:hint="eastAsia"/>
                      <w:color w:val="auto"/>
                      <w:highlight w:val="none"/>
                      <w:lang w:val="en-US" w:eastAsia="zh-CN"/>
                    </w:rPr>
                    <w:t>：</w:t>
                  </w:r>
                  <w:r>
                    <w:rPr>
                      <w:rFonts w:hint="default" w:ascii="Times New Roman" w:hAnsi="Times New Roman" w:eastAsia="宋体"/>
                      <w:color w:val="auto"/>
                      <w:highlight w:val="none"/>
                      <w:lang w:val="en-US" w:eastAsia="zh-CN"/>
                    </w:rPr>
                    <w:t>1%氢氧化钠循环清洗30min</w:t>
                  </w:r>
                  <w:r>
                    <w:rPr>
                      <w:rFonts w:hint="eastAsia"/>
                      <w:color w:val="auto"/>
                      <w:highlight w:val="none"/>
                      <w:lang w:val="en-US" w:eastAsia="zh-CN"/>
                    </w:rPr>
                    <w:t>；</w:t>
                  </w:r>
                </w:p>
                <w:p w14:paraId="52F41AE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default" w:ascii="Times New Roman" w:hAnsi="Times New Roman" w:eastAsia="宋体"/>
                      <w:color w:val="auto"/>
                      <w:highlight w:val="none"/>
                      <w:lang w:val="en-US" w:eastAsia="zh-CN"/>
                    </w:rPr>
                    <w:t>酸洗</w:t>
                  </w:r>
                  <w:r>
                    <w:rPr>
                      <w:rFonts w:hint="eastAsia"/>
                      <w:color w:val="auto"/>
                      <w:highlight w:val="none"/>
                      <w:lang w:val="en-US" w:eastAsia="zh-CN"/>
                    </w:rPr>
                    <w:t>：</w:t>
                  </w:r>
                  <w:r>
                    <w:rPr>
                      <w:rFonts w:hint="default" w:ascii="Times New Roman" w:hAnsi="Times New Roman" w:eastAsia="宋体"/>
                      <w:color w:val="auto"/>
                      <w:highlight w:val="none"/>
                      <w:lang w:val="en-US" w:eastAsia="zh-CN"/>
                    </w:rPr>
                    <w:t>1%硝酸循环清洗30min</w:t>
                  </w:r>
                  <w:r>
                    <w:rPr>
                      <w:rFonts w:hint="eastAsia"/>
                      <w:color w:val="auto"/>
                      <w:highlight w:val="none"/>
                      <w:lang w:val="en-US" w:eastAsia="zh-CN"/>
                    </w:rPr>
                    <w:t>。</w:t>
                  </w:r>
                </w:p>
              </w:tc>
              <w:tc>
                <w:tcPr>
                  <w:tcW w:w="609" w:type="pct"/>
                  <w:tcBorders>
                    <w:tl2br w:val="nil"/>
                    <w:tr2bl w:val="nil"/>
                  </w:tcBorders>
                  <w:vAlign w:val="center"/>
                </w:tcPr>
                <w:p w14:paraId="7EA3F629">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每三个月清洗一次</w:t>
                  </w:r>
                </w:p>
              </w:tc>
              <w:tc>
                <w:tcPr>
                  <w:tcW w:w="1630" w:type="pct"/>
                  <w:tcBorders>
                    <w:tl2br w:val="nil"/>
                    <w:tr2bl w:val="nil"/>
                  </w:tcBorders>
                  <w:vAlign w:val="center"/>
                </w:tcPr>
                <w:p w14:paraId="5E9AB7AD">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方案1：50-100ppm次氯酸钠常温循环，不少于30min；</w:t>
                  </w:r>
                </w:p>
                <w:p w14:paraId="7AB7FF5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方案2：热水喷淋不少于30min。</w:t>
                  </w:r>
                </w:p>
              </w:tc>
              <w:tc>
                <w:tcPr>
                  <w:tcW w:w="522" w:type="pct"/>
                  <w:tcBorders>
                    <w:tl2br w:val="nil"/>
                    <w:tr2bl w:val="nil"/>
                  </w:tcBorders>
                  <w:vAlign w:val="center"/>
                </w:tcPr>
                <w:p w14:paraId="3160D0C9">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每月一次，两种方案交替执行</w:t>
                  </w:r>
                </w:p>
              </w:tc>
            </w:tr>
            <w:tr w14:paraId="429112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410" w:type="pct"/>
                  <w:tcBorders>
                    <w:tl2br w:val="nil"/>
                    <w:tr2bl w:val="nil"/>
                  </w:tcBorders>
                  <w:vAlign w:val="center"/>
                </w:tcPr>
                <w:p w14:paraId="7B084ACF">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超滤</w:t>
                  </w:r>
                </w:p>
              </w:tc>
              <w:tc>
                <w:tcPr>
                  <w:tcW w:w="1827" w:type="pct"/>
                  <w:tcBorders>
                    <w:tl2br w:val="nil"/>
                    <w:tr2bl w:val="nil"/>
                  </w:tcBorders>
                  <w:vAlign w:val="center"/>
                </w:tcPr>
                <w:p w14:paraId="2C8FE26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default" w:ascii="Times New Roman" w:hAnsi="Times New Roman" w:eastAsia="宋体"/>
                      <w:color w:val="auto"/>
                      <w:highlight w:val="none"/>
                      <w:lang w:val="en-US" w:eastAsia="zh-CN"/>
                    </w:rPr>
                    <w:t>酸洗</w:t>
                  </w:r>
                  <w:r>
                    <w:rPr>
                      <w:rFonts w:hint="eastAsia"/>
                      <w:color w:val="auto"/>
                      <w:highlight w:val="none"/>
                      <w:lang w:val="en-US" w:eastAsia="zh-CN"/>
                    </w:rPr>
                    <w:t>：</w:t>
                  </w:r>
                  <w:r>
                    <w:rPr>
                      <w:rFonts w:hint="default" w:ascii="Times New Roman" w:hAnsi="Times New Roman" w:eastAsia="宋体"/>
                      <w:color w:val="auto"/>
                      <w:highlight w:val="none"/>
                      <w:lang w:val="en-US" w:eastAsia="zh-CN"/>
                    </w:rPr>
                    <w:t>2%柠檬酸</w:t>
                  </w:r>
                  <w:r>
                    <w:rPr>
                      <w:rFonts w:hint="eastAsia"/>
                      <w:color w:val="auto"/>
                      <w:highlight w:val="none"/>
                      <w:lang w:val="en-US" w:eastAsia="zh-CN"/>
                    </w:rPr>
                    <w:t>，</w:t>
                  </w:r>
                  <w:r>
                    <w:rPr>
                      <w:rFonts w:hint="default" w:ascii="Times New Roman" w:hAnsi="Times New Roman" w:eastAsia="宋体"/>
                      <w:color w:val="auto"/>
                      <w:highlight w:val="none"/>
                      <w:lang w:val="en-US" w:eastAsia="zh-CN"/>
                    </w:rPr>
                    <w:t>循环清洗30min</w:t>
                  </w:r>
                  <w:r>
                    <w:rPr>
                      <w:rFonts w:hint="eastAsia"/>
                      <w:color w:val="auto"/>
                      <w:highlight w:val="none"/>
                      <w:lang w:val="en-US" w:eastAsia="zh-CN"/>
                    </w:rPr>
                    <w:t>；</w:t>
                  </w:r>
                </w:p>
                <w:p w14:paraId="2F3A505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default" w:ascii="Times New Roman" w:hAnsi="Times New Roman" w:eastAsia="宋体"/>
                      <w:color w:val="auto"/>
                      <w:highlight w:val="none"/>
                      <w:lang w:val="en-US" w:eastAsia="zh-CN"/>
                    </w:rPr>
                    <w:t>碱洗</w:t>
                  </w:r>
                  <w:r>
                    <w:rPr>
                      <w:rFonts w:hint="eastAsia"/>
                      <w:color w:val="auto"/>
                      <w:highlight w:val="none"/>
                      <w:lang w:val="en-US" w:eastAsia="zh-CN"/>
                    </w:rPr>
                    <w:t>：</w:t>
                  </w:r>
                  <w:r>
                    <w:rPr>
                      <w:rFonts w:hint="default" w:ascii="Times New Roman" w:hAnsi="Times New Roman" w:eastAsia="宋体"/>
                      <w:color w:val="auto"/>
                      <w:highlight w:val="none"/>
                      <w:lang w:val="en-US" w:eastAsia="zh-CN"/>
                    </w:rPr>
                    <w:t>1%氢氧化钠</w:t>
                  </w:r>
                  <w:r>
                    <w:rPr>
                      <w:rFonts w:hint="eastAsia"/>
                      <w:color w:val="auto"/>
                      <w:highlight w:val="none"/>
                      <w:lang w:val="en-US" w:eastAsia="zh-CN"/>
                    </w:rPr>
                    <w:t>，</w:t>
                  </w:r>
                  <w:r>
                    <w:rPr>
                      <w:rFonts w:hint="default" w:ascii="Times New Roman" w:hAnsi="Times New Roman" w:eastAsia="宋体"/>
                      <w:color w:val="auto"/>
                      <w:highlight w:val="none"/>
                      <w:lang w:val="en-US" w:eastAsia="zh-CN"/>
                    </w:rPr>
                    <w:t>循环清洗30min</w:t>
                  </w:r>
                  <w:r>
                    <w:rPr>
                      <w:rFonts w:hint="eastAsia"/>
                      <w:color w:val="auto"/>
                      <w:highlight w:val="none"/>
                      <w:lang w:val="en-US" w:eastAsia="zh-CN"/>
                    </w:rPr>
                    <w:t>；</w:t>
                  </w:r>
                </w:p>
              </w:tc>
              <w:tc>
                <w:tcPr>
                  <w:tcW w:w="609" w:type="pct"/>
                  <w:tcBorders>
                    <w:tl2br w:val="nil"/>
                    <w:tr2bl w:val="nil"/>
                  </w:tcBorders>
                  <w:vAlign w:val="center"/>
                </w:tcPr>
                <w:p w14:paraId="3BDBB110">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一次/年</w:t>
                  </w:r>
                </w:p>
              </w:tc>
              <w:tc>
                <w:tcPr>
                  <w:tcW w:w="1630" w:type="pct"/>
                  <w:tcBorders>
                    <w:tl2br w:val="nil"/>
                    <w:tr2bl w:val="nil"/>
                  </w:tcBorders>
                  <w:vAlign w:val="center"/>
                </w:tcPr>
                <w:p w14:paraId="2D4283C4">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0.1%氢氧化钠+0.2%次氯酸钠溶液循环浸泡30分钟</w:t>
                  </w:r>
                </w:p>
              </w:tc>
              <w:tc>
                <w:tcPr>
                  <w:tcW w:w="522" w:type="pct"/>
                  <w:tcBorders>
                    <w:tl2br w:val="nil"/>
                    <w:tr2bl w:val="nil"/>
                  </w:tcBorders>
                  <w:vAlign w:val="center"/>
                </w:tcPr>
                <w:p w14:paraId="1BE5B402">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一次/年</w:t>
                  </w:r>
                </w:p>
              </w:tc>
            </w:tr>
            <w:tr w14:paraId="42C9F3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410" w:type="pct"/>
                  <w:tcBorders>
                    <w:tl2br w:val="nil"/>
                    <w:tr2bl w:val="nil"/>
                  </w:tcBorders>
                  <w:vAlign w:val="center"/>
                </w:tcPr>
                <w:p w14:paraId="47B1910D">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炭滤</w:t>
                  </w:r>
                </w:p>
              </w:tc>
              <w:tc>
                <w:tcPr>
                  <w:tcW w:w="1827" w:type="pct"/>
                  <w:tcBorders>
                    <w:tl2br w:val="nil"/>
                    <w:tr2bl w:val="nil"/>
                  </w:tcBorders>
                  <w:vAlign w:val="center"/>
                </w:tcPr>
                <w:p w14:paraId="3F0484F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default" w:ascii="Times New Roman" w:hAnsi="Times New Roman" w:eastAsia="宋体"/>
                      <w:color w:val="auto"/>
                      <w:highlight w:val="none"/>
                      <w:lang w:val="en-US" w:eastAsia="zh-CN"/>
                    </w:rPr>
                    <w:t>清洗过程可通过在线浊度监测系统自动完成</w:t>
                  </w:r>
                </w:p>
              </w:tc>
              <w:tc>
                <w:tcPr>
                  <w:tcW w:w="609" w:type="pct"/>
                  <w:tcBorders>
                    <w:tl2br w:val="nil"/>
                    <w:tr2bl w:val="nil"/>
                  </w:tcBorders>
                  <w:vAlign w:val="center"/>
                </w:tcPr>
                <w:p w14:paraId="1F6B212B">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一次/3天</w:t>
                  </w:r>
                </w:p>
              </w:tc>
              <w:tc>
                <w:tcPr>
                  <w:tcW w:w="1630" w:type="pct"/>
                  <w:tcBorders>
                    <w:tl2br w:val="nil"/>
                    <w:tr2bl w:val="nil"/>
                  </w:tcBorders>
                  <w:vAlign w:val="center"/>
                </w:tcPr>
                <w:p w14:paraId="7841E5CB">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使用90℃热水循环</w:t>
                  </w:r>
                  <w:r>
                    <w:rPr>
                      <w:rFonts w:hint="eastAsia"/>
                      <w:color w:val="auto"/>
                      <w:highlight w:val="none"/>
                      <w:lang w:val="en-US" w:eastAsia="zh-CN"/>
                    </w:rPr>
                    <w:t>3～4小时</w:t>
                  </w:r>
                </w:p>
              </w:tc>
              <w:tc>
                <w:tcPr>
                  <w:tcW w:w="522" w:type="pct"/>
                  <w:tcBorders>
                    <w:tl2br w:val="nil"/>
                    <w:tr2bl w:val="nil"/>
                  </w:tcBorders>
                  <w:vAlign w:val="center"/>
                </w:tcPr>
                <w:p w14:paraId="5F6B19F7">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不定期，预计10次/年</w:t>
                  </w:r>
                </w:p>
              </w:tc>
            </w:tr>
            <w:tr w14:paraId="4C89BD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410" w:type="pct"/>
                  <w:tcBorders>
                    <w:tl2br w:val="nil"/>
                    <w:tr2bl w:val="nil"/>
                  </w:tcBorders>
                  <w:vAlign w:val="center"/>
                </w:tcPr>
                <w:p w14:paraId="41B8F205">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精密过滤器</w:t>
                  </w:r>
                </w:p>
              </w:tc>
              <w:tc>
                <w:tcPr>
                  <w:tcW w:w="1827" w:type="pct"/>
                  <w:tcBorders>
                    <w:tl2br w:val="nil"/>
                    <w:tr2bl w:val="nil"/>
                  </w:tcBorders>
                  <w:vAlign w:val="center"/>
                </w:tcPr>
                <w:p w14:paraId="67E68EC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default" w:ascii="Times New Roman" w:hAnsi="Times New Roman" w:eastAsia="宋体"/>
                      <w:color w:val="auto"/>
                      <w:highlight w:val="none"/>
                      <w:lang w:val="en-US" w:eastAsia="zh-CN"/>
                    </w:rPr>
                    <w:t>更换滤芯或消毒后须充分冲洗</w:t>
                  </w:r>
                </w:p>
              </w:tc>
              <w:tc>
                <w:tcPr>
                  <w:tcW w:w="609" w:type="pct"/>
                  <w:tcBorders>
                    <w:tl2br w:val="nil"/>
                    <w:tr2bl w:val="nil"/>
                  </w:tcBorders>
                  <w:vAlign w:val="center"/>
                </w:tcPr>
                <w:p w14:paraId="2948BDA0">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2次/年</w:t>
                  </w:r>
                </w:p>
              </w:tc>
              <w:tc>
                <w:tcPr>
                  <w:tcW w:w="1630" w:type="pct"/>
                  <w:tcBorders>
                    <w:tl2br w:val="nil"/>
                    <w:tr2bl w:val="nil"/>
                  </w:tcBorders>
                  <w:vAlign w:val="center"/>
                </w:tcPr>
                <w:p w14:paraId="2156C2BE">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每次更换滤芯时，都须检查过滤器内表面，如果发现有</w:t>
                  </w:r>
                  <w:r>
                    <w:rPr>
                      <w:rFonts w:hint="eastAsia"/>
                      <w:color w:val="auto"/>
                      <w:highlight w:val="none"/>
                      <w:lang w:val="en-US" w:eastAsia="zh-CN"/>
                    </w:rPr>
                    <w:t>黏滑</w:t>
                  </w:r>
                  <w:r>
                    <w:rPr>
                      <w:rFonts w:hint="default"/>
                      <w:color w:val="auto"/>
                      <w:highlight w:val="none"/>
                      <w:lang w:val="en-US" w:eastAsia="zh-CN"/>
                    </w:rPr>
                    <w:t>附着物，须进行消毒液擦洗</w:t>
                  </w:r>
                  <w:r>
                    <w:rPr>
                      <w:rFonts w:hint="eastAsia"/>
                      <w:color w:val="auto"/>
                      <w:highlight w:val="none"/>
                      <w:lang w:val="en-US" w:eastAsia="zh-CN"/>
                    </w:rPr>
                    <w:t>。</w:t>
                  </w:r>
                </w:p>
              </w:tc>
              <w:tc>
                <w:tcPr>
                  <w:tcW w:w="522" w:type="pct"/>
                  <w:tcBorders>
                    <w:tl2br w:val="nil"/>
                    <w:tr2bl w:val="nil"/>
                  </w:tcBorders>
                  <w:vAlign w:val="center"/>
                </w:tcPr>
                <w:p w14:paraId="786B11C8">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2次/年</w:t>
                  </w:r>
                </w:p>
              </w:tc>
            </w:tr>
            <w:tr w14:paraId="79C335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410" w:type="pct"/>
                  <w:tcBorders>
                    <w:tl2br w:val="nil"/>
                    <w:tr2bl w:val="nil"/>
                  </w:tcBorders>
                  <w:vAlign w:val="center"/>
                </w:tcPr>
                <w:p w14:paraId="11908DE4">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脱气膜</w:t>
                  </w:r>
                </w:p>
              </w:tc>
              <w:tc>
                <w:tcPr>
                  <w:tcW w:w="1827" w:type="pct"/>
                  <w:tcBorders>
                    <w:tl2br w:val="nil"/>
                    <w:tr2bl w:val="nil"/>
                  </w:tcBorders>
                  <w:vAlign w:val="center"/>
                </w:tcPr>
                <w:p w14:paraId="47057C5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default" w:ascii="Times New Roman" w:hAnsi="Times New Roman" w:eastAsia="宋体"/>
                      <w:color w:val="auto"/>
                      <w:highlight w:val="none"/>
                      <w:lang w:val="en-US" w:eastAsia="zh-CN"/>
                    </w:rPr>
                    <w:t>消毒后须充分冲洗</w:t>
                  </w:r>
                </w:p>
              </w:tc>
              <w:tc>
                <w:tcPr>
                  <w:tcW w:w="609" w:type="pct"/>
                  <w:tcBorders>
                    <w:tl2br w:val="nil"/>
                    <w:tr2bl w:val="nil"/>
                  </w:tcBorders>
                  <w:vAlign w:val="center"/>
                </w:tcPr>
                <w:p w14:paraId="4AA55514">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约1次/年</w:t>
                  </w:r>
                </w:p>
              </w:tc>
              <w:tc>
                <w:tcPr>
                  <w:tcW w:w="1630" w:type="pct"/>
                  <w:tcBorders>
                    <w:tl2br w:val="nil"/>
                    <w:tr2bl w:val="nil"/>
                  </w:tcBorders>
                  <w:vAlign w:val="center"/>
                </w:tcPr>
                <w:p w14:paraId="5127872E">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如出现微生物污染，使用100ppm的次氯酸钠浸泡30分钟</w:t>
                  </w:r>
                </w:p>
              </w:tc>
              <w:tc>
                <w:tcPr>
                  <w:tcW w:w="522" w:type="pct"/>
                  <w:tcBorders>
                    <w:tl2br w:val="nil"/>
                    <w:tr2bl w:val="nil"/>
                  </w:tcBorders>
                  <w:vAlign w:val="center"/>
                </w:tcPr>
                <w:p w14:paraId="07EBA049">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约1次/年</w:t>
                  </w:r>
                </w:p>
              </w:tc>
            </w:tr>
            <w:tr w14:paraId="532B07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410" w:type="pct"/>
                  <w:vMerge w:val="restart"/>
                  <w:tcBorders>
                    <w:tl2br w:val="nil"/>
                    <w:tr2bl w:val="nil"/>
                  </w:tcBorders>
                  <w:vAlign w:val="center"/>
                </w:tcPr>
                <w:p w14:paraId="2FB7CE29">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反渗透膜</w:t>
                  </w:r>
                </w:p>
              </w:tc>
              <w:tc>
                <w:tcPr>
                  <w:tcW w:w="1827" w:type="pct"/>
                  <w:tcBorders>
                    <w:tl2br w:val="nil"/>
                    <w:tr2bl w:val="nil"/>
                  </w:tcBorders>
                  <w:vAlign w:val="center"/>
                </w:tcPr>
                <w:p w14:paraId="66A662F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停机时冲洗：一级反渗透低压冲洗每次不少于5分钟；二级反渗透低压冲洗每次不少于30秒。单只膜管水流量需要保证7—12吨/小时</w:t>
                  </w:r>
                </w:p>
              </w:tc>
              <w:tc>
                <w:tcPr>
                  <w:tcW w:w="609" w:type="pct"/>
                  <w:tcBorders>
                    <w:tl2br w:val="nil"/>
                    <w:tr2bl w:val="nil"/>
                  </w:tcBorders>
                  <w:vAlign w:val="center"/>
                </w:tcPr>
                <w:p w14:paraId="1D4F6A86">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停机后自动运行，约1次/7天</w:t>
                  </w:r>
                </w:p>
              </w:tc>
              <w:tc>
                <w:tcPr>
                  <w:tcW w:w="1630" w:type="pct"/>
                  <w:tcBorders>
                    <w:tl2br w:val="nil"/>
                    <w:tr2bl w:val="nil"/>
                  </w:tcBorders>
                  <w:vAlign w:val="center"/>
                </w:tcPr>
                <w:p w14:paraId="475D8AD1">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w:t>
                  </w:r>
                </w:p>
              </w:tc>
              <w:tc>
                <w:tcPr>
                  <w:tcW w:w="522" w:type="pct"/>
                  <w:tcBorders>
                    <w:tl2br w:val="nil"/>
                    <w:tr2bl w:val="nil"/>
                  </w:tcBorders>
                  <w:vAlign w:val="center"/>
                </w:tcPr>
                <w:p w14:paraId="20CE369B">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w:t>
                  </w:r>
                </w:p>
              </w:tc>
            </w:tr>
            <w:tr w14:paraId="2F23FD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410" w:type="pct"/>
                  <w:vMerge w:val="continue"/>
                  <w:tcBorders>
                    <w:tl2br w:val="nil"/>
                    <w:tr2bl w:val="nil"/>
                  </w:tcBorders>
                  <w:vAlign w:val="center"/>
                </w:tcPr>
                <w:p w14:paraId="62CFF078">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1827" w:type="pct"/>
                  <w:tcBorders>
                    <w:tl2br w:val="nil"/>
                    <w:tr2bl w:val="nil"/>
                  </w:tcBorders>
                  <w:vAlign w:val="center"/>
                </w:tcPr>
                <w:p w14:paraId="7B74C6FE">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化学清洗：</w:t>
                  </w:r>
                </w:p>
                <w:p w14:paraId="6EEF4D8C">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酸洗：2%柠檬酸；碱洗：0.1%氢氧化钠。整个化学清洗在完成CIP药剂配置后可按设定流程自动完成清洗。</w:t>
                  </w:r>
                </w:p>
                <w:p w14:paraId="6BC6A7B3">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膜性能下降时清洗，约1次/年；常规维护：每3至6个月对一级反渗透、进行一次维护性清洗，每6至12个月对二级反渗透进行一次维护性清洗。</w:t>
                  </w:r>
                </w:p>
              </w:tc>
              <w:tc>
                <w:tcPr>
                  <w:tcW w:w="609" w:type="pct"/>
                  <w:tcBorders>
                    <w:tl2br w:val="nil"/>
                    <w:tr2bl w:val="nil"/>
                  </w:tcBorders>
                  <w:vAlign w:val="center"/>
                </w:tcPr>
                <w:p w14:paraId="7290FF43">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一级反渗透膜3~5次/年，二级反渗透膜2～3次/年</w:t>
                  </w:r>
                </w:p>
              </w:tc>
              <w:tc>
                <w:tcPr>
                  <w:tcW w:w="1630" w:type="pct"/>
                  <w:tcBorders>
                    <w:tl2br w:val="nil"/>
                    <w:tr2bl w:val="nil"/>
                  </w:tcBorders>
                  <w:vAlign w:val="center"/>
                </w:tcPr>
                <w:p w14:paraId="2945849E">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w:t>
                  </w:r>
                </w:p>
              </w:tc>
              <w:tc>
                <w:tcPr>
                  <w:tcW w:w="522" w:type="pct"/>
                  <w:tcBorders>
                    <w:tl2br w:val="nil"/>
                    <w:tr2bl w:val="nil"/>
                  </w:tcBorders>
                  <w:vAlign w:val="center"/>
                </w:tcPr>
                <w:p w14:paraId="1DD773CD">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w:t>
                  </w:r>
                </w:p>
              </w:tc>
            </w:tr>
          </w:tbl>
          <w:p w14:paraId="29F2829B">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both"/>
              <w:rPr>
                <w:rFonts w:hint="eastAsia"/>
                <w:color w:val="auto"/>
                <w:highlight w:val="none"/>
                <w:lang w:val="en-US" w:eastAsia="zh-CN"/>
              </w:rPr>
            </w:pPr>
            <w:r>
              <w:rPr>
                <w:rFonts w:hint="eastAsia"/>
                <w:color w:val="auto"/>
                <w:highlight w:val="none"/>
                <w:lang w:val="en-US" w:eastAsia="zh-CN"/>
              </w:rPr>
              <w:t>本项目生产设施清洗消毒过程中产生清洗废水W1，同时硝酸会有少量挥发产生少量废气G5（以氮氧化物计）。</w:t>
            </w:r>
          </w:p>
          <w:p w14:paraId="7CDB930A">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both"/>
              <w:rPr>
                <w:rFonts w:hint="eastAsia"/>
                <w:color w:val="auto"/>
                <w:highlight w:val="none"/>
                <w:lang w:val="en-US" w:eastAsia="zh-CN"/>
              </w:rPr>
            </w:pPr>
            <w:r>
              <w:rPr>
                <w:rFonts w:hint="eastAsia"/>
                <w:color w:val="auto"/>
                <w:highlight w:val="none"/>
                <w:lang w:val="en-US" w:eastAsia="zh-CN"/>
              </w:rPr>
              <w:t>（2）废水处理</w:t>
            </w:r>
          </w:p>
          <w:p w14:paraId="05EEA1E7">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both"/>
              <w:rPr>
                <w:rFonts w:hint="default"/>
                <w:color w:val="auto"/>
                <w:sz w:val="24"/>
                <w:szCs w:val="24"/>
                <w:highlight w:val="none"/>
                <w:vertAlign w:val="baseline"/>
                <w:lang w:val="en-US" w:eastAsia="zh-CN"/>
              </w:rPr>
            </w:pPr>
            <w:r>
              <w:rPr>
                <w:rFonts w:hint="default"/>
                <w:color w:val="auto"/>
                <w:highlight w:val="none"/>
                <w:lang w:val="en-US" w:eastAsia="zh-CN"/>
              </w:rPr>
              <w:t>本项目生活污水、食堂废水、设备清洗废水、地面冲洗废水</w:t>
            </w:r>
            <w:r>
              <w:rPr>
                <w:rFonts w:hint="eastAsia"/>
                <w:color w:val="auto"/>
                <w:highlight w:val="none"/>
                <w:lang w:val="en-US" w:eastAsia="zh-CN"/>
              </w:rPr>
              <w:t>依托南京娃哈哈饮料有限公司现有污水处理站预处理，处理工艺为“</w:t>
            </w:r>
            <w:r>
              <w:rPr>
                <w:rFonts w:hint="default"/>
                <w:color w:val="auto"/>
                <w:highlight w:val="none"/>
                <w:lang w:val="en-US" w:eastAsia="zh-CN"/>
              </w:rPr>
              <w:t>格栅+调节池+A/O池+</w:t>
            </w:r>
            <w:r>
              <w:rPr>
                <w:rFonts w:hint="default"/>
                <w:color w:val="auto"/>
                <w:sz w:val="24"/>
                <w:szCs w:val="24"/>
                <w:highlight w:val="none"/>
                <w:lang w:val="en-US" w:eastAsia="zh-CN"/>
              </w:rPr>
              <w:t>二沉池+除磷池</w:t>
            </w:r>
            <w:r>
              <w:rPr>
                <w:rFonts w:hint="eastAsia"/>
                <w:color w:val="auto"/>
                <w:sz w:val="24"/>
                <w:szCs w:val="24"/>
                <w:highlight w:val="none"/>
                <w:lang w:val="en-US" w:eastAsia="zh-CN"/>
              </w:rPr>
              <w:t>”，纯水制备浓水直接接管到空港污水处理厂集中处理。污水生化处理过程中会产生少量恶臭气体G6</w:t>
            </w:r>
            <w:r>
              <w:rPr>
                <w:rFonts w:hint="eastAsia" w:cs="Times New Roman"/>
                <w:color w:val="auto"/>
                <w:kern w:val="1"/>
                <w:szCs w:val="28"/>
                <w:vertAlign w:val="baseline"/>
                <w:lang w:val="en-US" w:eastAsia="zh-CN"/>
              </w:rPr>
              <w:t>。</w:t>
            </w:r>
          </w:p>
          <w:p w14:paraId="63BC1D3D">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（3）其他产污环节</w:t>
            </w:r>
          </w:p>
          <w:p w14:paraId="5B1D9B85">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其他未说明</w:t>
            </w:r>
            <w:r>
              <w:rPr>
                <w:rFonts w:hint="eastAsia"/>
                <w:color w:val="auto"/>
                <w:highlight w:val="none"/>
                <w:lang w:val="en-US" w:eastAsia="zh-CN"/>
              </w:rPr>
              <w:t>产污</w:t>
            </w:r>
            <w:r>
              <w:rPr>
                <w:rFonts w:hint="eastAsia" w:ascii="Times New Roman" w:hAnsi="Times New Roman" w:eastAsia="宋体"/>
                <w:color w:val="auto"/>
                <w:highlight w:val="none"/>
                <w:lang w:val="en-US"/>
              </w:rPr>
              <w:t>环节主要有</w:t>
            </w:r>
            <w:r>
              <w:rPr>
                <w:rFonts w:hint="eastAsia"/>
                <w:color w:val="auto"/>
                <w:highlight w:val="none"/>
                <w:lang w:val="en-US" w:eastAsia="zh-CN"/>
              </w:rPr>
              <w:t>地面冲洗时产生的地面冲洗废水W3，</w:t>
            </w:r>
            <w:r>
              <w:rPr>
                <w:rFonts w:hint="eastAsia" w:ascii="Times New Roman" w:hAnsi="Times New Roman" w:eastAsia="宋体"/>
                <w:color w:val="auto"/>
                <w:highlight w:val="none"/>
                <w:lang w:val="en-US"/>
              </w:rPr>
              <w:t>原料包装产生的</w:t>
            </w:r>
            <w:r>
              <w:rPr>
                <w:rFonts w:hint="eastAsia"/>
                <w:color w:val="auto"/>
                <w:highlight w:val="none"/>
                <w:lang w:val="en-US" w:eastAsia="zh-CN"/>
              </w:rPr>
              <w:t>废包装袋S10、废油桶S11、废化学品包装桶S12</w:t>
            </w:r>
            <w:r>
              <w:rPr>
                <w:rFonts w:hint="eastAsia" w:ascii="Times New Roman" w:hAnsi="Times New Roman" w:eastAsia="宋体"/>
                <w:color w:val="auto"/>
                <w:highlight w:val="none"/>
                <w:lang w:val="en-US"/>
              </w:rPr>
              <w:t>，</w:t>
            </w:r>
            <w:r>
              <w:rPr>
                <w:rFonts w:hint="eastAsia" w:ascii="Times New Roman" w:hAnsi="Times New Roman" w:eastAsia="宋体"/>
                <w:color w:val="auto"/>
                <w:highlight w:val="none"/>
                <w:lang w:val="en-US" w:eastAsia="zh-CN"/>
              </w:rPr>
              <w:t>设备维护过程中产生的废机油</w:t>
            </w:r>
            <w:r>
              <w:rPr>
                <w:rFonts w:hint="eastAsia"/>
                <w:color w:val="auto"/>
                <w:highlight w:val="none"/>
                <w:lang w:val="en-US" w:eastAsia="zh-CN"/>
              </w:rPr>
              <w:t>S13</w:t>
            </w:r>
            <w:r>
              <w:rPr>
                <w:rFonts w:hint="eastAsia" w:ascii="Times New Roman" w:hAnsi="Times New Roman" w:eastAsia="宋体"/>
                <w:color w:val="auto"/>
                <w:highlight w:val="none"/>
                <w:lang w:val="en-US" w:eastAsia="zh-CN"/>
              </w:rPr>
              <w:t>，</w:t>
            </w:r>
            <w:r>
              <w:rPr>
                <w:rFonts w:hint="eastAsia"/>
                <w:color w:val="auto"/>
                <w:highlight w:val="none"/>
                <w:lang w:val="en-US" w:eastAsia="zh-CN"/>
              </w:rPr>
              <w:t>废气处理过程产生的废活性炭S14，废水处理过程中产生的污泥S15，危废贮存过程中产生的危废贮存废气G7，空压机运行过程中产生的含油废液S16，</w:t>
            </w:r>
            <w:r>
              <w:rPr>
                <w:rFonts w:hint="eastAsia" w:ascii="Times New Roman" w:hAnsi="Times New Roman" w:eastAsia="宋体"/>
                <w:color w:val="auto"/>
                <w:highlight w:val="none"/>
                <w:lang w:val="en-US"/>
              </w:rPr>
              <w:t>员工生活产生的</w:t>
            </w:r>
            <w:r>
              <w:rPr>
                <w:rFonts w:hint="eastAsia"/>
                <w:color w:val="auto"/>
                <w:highlight w:val="none"/>
                <w:lang w:val="en-US" w:eastAsia="zh-CN"/>
              </w:rPr>
              <w:t>食堂油烟G8、</w:t>
            </w:r>
            <w:r>
              <w:rPr>
                <w:rFonts w:hint="eastAsia" w:ascii="Times New Roman" w:hAnsi="Times New Roman" w:eastAsia="宋体"/>
                <w:color w:val="auto"/>
                <w:highlight w:val="none"/>
                <w:lang w:val="en-US"/>
              </w:rPr>
              <w:t>生活污水</w:t>
            </w:r>
            <w:r>
              <w:rPr>
                <w:rFonts w:hint="eastAsia"/>
                <w:color w:val="auto"/>
                <w:highlight w:val="none"/>
                <w:lang w:val="en-US" w:eastAsia="zh-CN"/>
              </w:rPr>
              <w:t>W4</w:t>
            </w:r>
            <w:r>
              <w:rPr>
                <w:rFonts w:hint="eastAsia" w:ascii="Times New Roman" w:hAnsi="Times New Roman" w:eastAsia="宋体"/>
                <w:color w:val="auto"/>
                <w:highlight w:val="none"/>
                <w:lang w:val="en-US"/>
              </w:rPr>
              <w:t>、</w:t>
            </w:r>
            <w:r>
              <w:rPr>
                <w:rFonts w:hint="eastAsia" w:ascii="Times New Roman" w:hAnsi="Times New Roman" w:eastAsia="宋体"/>
                <w:color w:val="auto"/>
                <w:highlight w:val="none"/>
                <w:lang w:val="en-US" w:eastAsia="zh-CN"/>
              </w:rPr>
              <w:t>食堂废水</w:t>
            </w:r>
            <w:r>
              <w:rPr>
                <w:rFonts w:hint="eastAsia"/>
                <w:color w:val="auto"/>
                <w:highlight w:val="none"/>
                <w:lang w:val="en-US" w:eastAsia="zh-CN"/>
              </w:rPr>
              <w:t>W5</w:t>
            </w:r>
            <w:r>
              <w:rPr>
                <w:rFonts w:hint="eastAsia" w:ascii="Times New Roman" w:hAnsi="Times New Roman" w:eastAsia="宋体"/>
                <w:color w:val="auto"/>
                <w:highlight w:val="none"/>
                <w:lang w:val="en-US" w:eastAsia="zh-CN"/>
              </w:rPr>
              <w:t>、</w:t>
            </w:r>
            <w:r>
              <w:rPr>
                <w:rFonts w:hint="eastAsia" w:ascii="Times New Roman" w:hAnsi="Times New Roman" w:eastAsia="宋体"/>
                <w:color w:val="auto"/>
                <w:highlight w:val="none"/>
                <w:lang w:val="en-US"/>
              </w:rPr>
              <w:t>生活垃圾</w:t>
            </w:r>
            <w:r>
              <w:rPr>
                <w:rFonts w:hint="eastAsia"/>
                <w:color w:val="auto"/>
                <w:highlight w:val="none"/>
                <w:lang w:val="en-US" w:eastAsia="zh-CN"/>
              </w:rPr>
              <w:t>S17、食堂垃圾S18</w:t>
            </w:r>
            <w:r>
              <w:rPr>
                <w:rFonts w:hint="eastAsia" w:ascii="Times New Roman" w:hAnsi="Times New Roman" w:eastAsia="宋体"/>
                <w:color w:val="auto"/>
                <w:highlight w:val="none"/>
                <w:lang w:val="en-US" w:eastAsia="zh-CN"/>
              </w:rPr>
              <w:t>等</w:t>
            </w:r>
            <w:r>
              <w:rPr>
                <w:rFonts w:hint="eastAsia" w:ascii="Times New Roman" w:hAnsi="Times New Roman" w:eastAsia="宋体"/>
                <w:color w:val="auto"/>
                <w:highlight w:val="none"/>
                <w:lang w:val="en-US"/>
              </w:rPr>
              <w:t>。</w:t>
            </w:r>
          </w:p>
          <w:p w14:paraId="19E416B5">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3、产污环节</w:t>
            </w:r>
          </w:p>
          <w:p w14:paraId="3996E287">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本项目建成后，营运期产排污情况见下表</w:t>
            </w:r>
            <w:r>
              <w:rPr>
                <w:rFonts w:hint="eastAsia" w:ascii="Times New Roman" w:hAnsi="Times New Roman" w:eastAsia="宋体"/>
                <w:color w:val="auto"/>
                <w:highlight w:val="none"/>
                <w:lang w:val="en-US"/>
              </w:rPr>
              <w:t>：</w:t>
            </w:r>
          </w:p>
          <w:p w14:paraId="7BEDE6CF">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表2-</w:t>
            </w:r>
            <w:r>
              <w:rPr>
                <w:rFonts w:hint="eastAsia"/>
                <w:color w:val="auto"/>
                <w:highlight w:val="none"/>
                <w:lang w:val="en-US" w:eastAsia="zh-CN"/>
              </w:rPr>
              <w:t>8</w:t>
            </w:r>
            <w:r>
              <w:rPr>
                <w:rFonts w:hint="default" w:ascii="Times New Roman" w:hAnsi="Times New Roman" w:eastAsia="宋体"/>
                <w:color w:val="auto"/>
                <w:highlight w:val="none"/>
              </w:rPr>
              <w:t>本项目产污环节汇总表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89"/>
              <w:gridCol w:w="1148"/>
              <w:gridCol w:w="445"/>
              <w:gridCol w:w="1375"/>
              <w:gridCol w:w="1652"/>
              <w:gridCol w:w="1609"/>
              <w:gridCol w:w="1105"/>
            </w:tblGrid>
            <w:tr w14:paraId="07EFC1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tcBorders>
                    <w:tl2br w:val="nil"/>
                    <w:tr2bl w:val="nil"/>
                  </w:tcBorders>
                  <w:vAlign w:val="center"/>
                </w:tcPr>
                <w:p w14:paraId="35206888">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类别</w:t>
                  </w:r>
                </w:p>
              </w:tc>
              <w:tc>
                <w:tcPr>
                  <w:tcW w:w="733" w:type="pct"/>
                  <w:tcBorders>
                    <w:tl2br w:val="nil"/>
                    <w:tr2bl w:val="nil"/>
                  </w:tcBorders>
                  <w:vAlign w:val="center"/>
                </w:tcPr>
                <w:p w14:paraId="4ADFC4B1">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产污环节</w:t>
                  </w:r>
                </w:p>
              </w:tc>
              <w:tc>
                <w:tcPr>
                  <w:tcW w:w="284" w:type="pct"/>
                  <w:tcBorders>
                    <w:tl2br w:val="nil"/>
                    <w:tr2bl w:val="nil"/>
                  </w:tcBorders>
                  <w:vAlign w:val="center"/>
                </w:tcPr>
                <w:p w14:paraId="105068F2">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编号</w:t>
                  </w:r>
                </w:p>
              </w:tc>
              <w:tc>
                <w:tcPr>
                  <w:tcW w:w="878" w:type="pct"/>
                  <w:tcBorders>
                    <w:tl2br w:val="nil"/>
                    <w:tr2bl w:val="nil"/>
                  </w:tcBorders>
                  <w:vAlign w:val="center"/>
                </w:tcPr>
                <w:p w14:paraId="661AD2ED">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名称</w:t>
                  </w:r>
                </w:p>
              </w:tc>
              <w:tc>
                <w:tcPr>
                  <w:tcW w:w="1055" w:type="pct"/>
                  <w:tcBorders>
                    <w:tl2br w:val="nil"/>
                    <w:tr2bl w:val="nil"/>
                  </w:tcBorders>
                  <w:vAlign w:val="center"/>
                </w:tcPr>
                <w:p w14:paraId="6DA4E753">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主要污染物</w:t>
                  </w:r>
                </w:p>
              </w:tc>
              <w:tc>
                <w:tcPr>
                  <w:tcW w:w="1028" w:type="pct"/>
                  <w:tcBorders>
                    <w:tl2br w:val="nil"/>
                    <w:tr2bl w:val="nil"/>
                  </w:tcBorders>
                  <w:vAlign w:val="center"/>
                </w:tcPr>
                <w:p w14:paraId="489EB511">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治理措施</w:t>
                  </w:r>
                </w:p>
              </w:tc>
              <w:tc>
                <w:tcPr>
                  <w:tcW w:w="706" w:type="pct"/>
                  <w:tcBorders>
                    <w:tl2br w:val="nil"/>
                    <w:tr2bl w:val="nil"/>
                  </w:tcBorders>
                  <w:vAlign w:val="center"/>
                </w:tcPr>
                <w:p w14:paraId="0D46682D">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排放方式</w:t>
                  </w:r>
                </w:p>
              </w:tc>
            </w:tr>
            <w:tr w14:paraId="1B1967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restart"/>
                  <w:tcBorders>
                    <w:tl2br w:val="nil"/>
                    <w:tr2bl w:val="nil"/>
                  </w:tcBorders>
                  <w:vAlign w:val="center"/>
                </w:tcPr>
                <w:p w14:paraId="796F1F3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废气</w:t>
                  </w:r>
                </w:p>
              </w:tc>
              <w:tc>
                <w:tcPr>
                  <w:tcW w:w="733" w:type="pct"/>
                  <w:vMerge w:val="restart"/>
                  <w:tcBorders>
                    <w:tl2br w:val="nil"/>
                    <w:tr2bl w:val="nil"/>
                  </w:tcBorders>
                  <w:vAlign w:val="center"/>
                </w:tcPr>
                <w:p w14:paraId="38CE4D1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注塑、压盖</w:t>
                  </w:r>
                </w:p>
              </w:tc>
              <w:tc>
                <w:tcPr>
                  <w:tcW w:w="284" w:type="pct"/>
                  <w:tcBorders>
                    <w:tl2br w:val="nil"/>
                    <w:tr2bl w:val="nil"/>
                  </w:tcBorders>
                  <w:vAlign w:val="center"/>
                </w:tcPr>
                <w:p w14:paraId="437990C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G1</w:t>
                  </w:r>
                </w:p>
              </w:tc>
              <w:tc>
                <w:tcPr>
                  <w:tcW w:w="878" w:type="pct"/>
                  <w:tcBorders>
                    <w:tl2br w:val="nil"/>
                    <w:tr2bl w:val="nil"/>
                  </w:tcBorders>
                  <w:vAlign w:val="center"/>
                </w:tcPr>
                <w:p w14:paraId="4F5BF15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注塑废气</w:t>
                  </w:r>
                </w:p>
              </w:tc>
              <w:tc>
                <w:tcPr>
                  <w:tcW w:w="1055" w:type="pct"/>
                  <w:tcBorders>
                    <w:tl2br w:val="nil"/>
                    <w:tr2bl w:val="nil"/>
                  </w:tcBorders>
                  <w:vAlign w:val="center"/>
                </w:tcPr>
                <w:p w14:paraId="23706AC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yellow"/>
                      <w:lang w:val="en-US" w:eastAsia="zh-CN"/>
                    </w:rPr>
                  </w:pPr>
                  <w:r>
                    <w:rPr>
                      <w:rFonts w:hint="eastAsia"/>
                      <w:color w:val="auto"/>
                      <w:highlight w:val="yellow"/>
                      <w:lang w:val="en-US" w:eastAsia="zh-CN"/>
                    </w:rPr>
                    <w:t>非甲烷总烃、乙醛</w:t>
                  </w:r>
                </w:p>
              </w:tc>
              <w:tc>
                <w:tcPr>
                  <w:tcW w:w="1028" w:type="pct"/>
                  <w:vMerge w:val="restart"/>
                  <w:tcBorders>
                    <w:tl2br w:val="nil"/>
                    <w:tr2bl w:val="nil"/>
                  </w:tcBorders>
                  <w:vAlign w:val="center"/>
                </w:tcPr>
                <w:p w14:paraId="74390FC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注塑、吹瓶废气集气罩收集、压盖废气密闭收集后一起经二级活性炭吸附设施处理</w:t>
                  </w:r>
                </w:p>
              </w:tc>
              <w:tc>
                <w:tcPr>
                  <w:tcW w:w="706" w:type="pct"/>
                  <w:vMerge w:val="restart"/>
                  <w:tcBorders>
                    <w:tl2br w:val="nil"/>
                    <w:tr2bl w:val="nil"/>
                  </w:tcBorders>
                  <w:vAlign w:val="center"/>
                </w:tcPr>
                <w:p w14:paraId="0F2F1461">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DA001排气筒</w:t>
                  </w:r>
                </w:p>
              </w:tc>
            </w:tr>
            <w:tr w14:paraId="140DF5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58DF2A8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vMerge w:val="continue"/>
                  <w:tcBorders>
                    <w:tl2br w:val="nil"/>
                    <w:tr2bl w:val="nil"/>
                  </w:tcBorders>
                  <w:vAlign w:val="center"/>
                </w:tcPr>
                <w:p w14:paraId="095928A2">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284" w:type="pct"/>
                  <w:tcBorders>
                    <w:tl2br w:val="nil"/>
                    <w:tr2bl w:val="nil"/>
                  </w:tcBorders>
                  <w:vAlign w:val="center"/>
                </w:tcPr>
                <w:p w14:paraId="14D98C0B">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G2</w:t>
                  </w:r>
                </w:p>
              </w:tc>
              <w:tc>
                <w:tcPr>
                  <w:tcW w:w="878" w:type="pct"/>
                  <w:tcBorders>
                    <w:tl2br w:val="nil"/>
                    <w:tr2bl w:val="nil"/>
                  </w:tcBorders>
                  <w:vAlign w:val="center"/>
                </w:tcPr>
                <w:p w14:paraId="3E754854">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压盖废气</w:t>
                  </w:r>
                </w:p>
              </w:tc>
              <w:tc>
                <w:tcPr>
                  <w:tcW w:w="1055" w:type="pct"/>
                  <w:tcBorders>
                    <w:tl2br w:val="nil"/>
                    <w:tr2bl w:val="nil"/>
                  </w:tcBorders>
                  <w:vAlign w:val="center"/>
                </w:tcPr>
                <w:p w14:paraId="361361E2">
                  <w:pPr>
                    <w:pStyle w:val="21"/>
                    <w:keepNext w:val="0"/>
                    <w:keepLines w:val="0"/>
                    <w:suppressLineNumbers w:val="0"/>
                    <w:spacing w:before="0" w:beforeAutospacing="0" w:after="0" w:afterAutospacing="0"/>
                    <w:ind w:left="0" w:right="0"/>
                    <w:rPr>
                      <w:rFonts w:hint="default"/>
                      <w:color w:val="auto"/>
                      <w:highlight w:val="yellow"/>
                      <w:lang w:val="en-US" w:eastAsia="zh-CN"/>
                    </w:rPr>
                  </w:pPr>
                  <w:r>
                    <w:rPr>
                      <w:rFonts w:hint="eastAsia"/>
                      <w:color w:val="auto"/>
                      <w:highlight w:val="yellow"/>
                      <w:lang w:val="en-US" w:eastAsia="zh-CN"/>
                    </w:rPr>
                    <w:t>非甲烷总烃、乙醛</w:t>
                  </w:r>
                </w:p>
              </w:tc>
              <w:tc>
                <w:tcPr>
                  <w:tcW w:w="1028" w:type="pct"/>
                  <w:vMerge w:val="continue"/>
                  <w:tcBorders>
                    <w:tl2br w:val="nil"/>
                    <w:tr2bl w:val="nil"/>
                  </w:tcBorders>
                  <w:vAlign w:val="center"/>
                </w:tcPr>
                <w:p w14:paraId="64D6BF7E">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706" w:type="pct"/>
                  <w:vMerge w:val="continue"/>
                  <w:tcBorders>
                    <w:tl2br w:val="nil"/>
                    <w:tr2bl w:val="nil"/>
                  </w:tcBorders>
                  <w:vAlign w:val="center"/>
                </w:tcPr>
                <w:p w14:paraId="074E0401">
                  <w:pPr>
                    <w:pStyle w:val="21"/>
                    <w:keepNext w:val="0"/>
                    <w:keepLines w:val="0"/>
                    <w:suppressLineNumbers w:val="0"/>
                    <w:spacing w:before="0" w:beforeAutospacing="0" w:after="0" w:afterAutospacing="0"/>
                    <w:ind w:left="0" w:right="0" w:firstLine="0" w:firstLineChars="0"/>
                    <w:rPr>
                      <w:rFonts w:hint="eastAsia" w:cs="Times New Roman"/>
                      <w:color w:val="auto"/>
                      <w:sz w:val="21"/>
                      <w:szCs w:val="24"/>
                      <w:highlight w:val="none"/>
                      <w:lang w:val="en-US" w:eastAsia="zh-CN" w:bidi="zh-CN"/>
                    </w:rPr>
                  </w:pPr>
                </w:p>
              </w:tc>
            </w:tr>
            <w:tr w14:paraId="2BC078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6A5A474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tcBorders>
                    <w:tl2br w:val="nil"/>
                    <w:tr2bl w:val="nil"/>
                  </w:tcBorders>
                  <w:shd w:val="clear" w:color="auto" w:fill="auto"/>
                  <w:vAlign w:val="center"/>
                </w:tcPr>
                <w:p w14:paraId="35C3E506">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吹制成瓶</w:t>
                  </w:r>
                </w:p>
              </w:tc>
              <w:tc>
                <w:tcPr>
                  <w:tcW w:w="284" w:type="pct"/>
                  <w:tcBorders>
                    <w:tl2br w:val="nil"/>
                    <w:tr2bl w:val="nil"/>
                  </w:tcBorders>
                  <w:shd w:val="clear" w:color="auto" w:fill="auto"/>
                  <w:vAlign w:val="center"/>
                </w:tcPr>
                <w:p w14:paraId="302497AC">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G3</w:t>
                  </w:r>
                </w:p>
              </w:tc>
              <w:tc>
                <w:tcPr>
                  <w:tcW w:w="878" w:type="pct"/>
                  <w:tcBorders>
                    <w:tl2br w:val="nil"/>
                    <w:tr2bl w:val="nil"/>
                  </w:tcBorders>
                  <w:shd w:val="clear" w:color="auto" w:fill="auto"/>
                  <w:vAlign w:val="center"/>
                </w:tcPr>
                <w:p w14:paraId="6C570E47">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吹瓶废气</w:t>
                  </w:r>
                </w:p>
              </w:tc>
              <w:tc>
                <w:tcPr>
                  <w:tcW w:w="1055" w:type="pct"/>
                  <w:tcBorders>
                    <w:tl2br w:val="nil"/>
                    <w:tr2bl w:val="nil"/>
                  </w:tcBorders>
                  <w:shd w:val="clear" w:color="auto" w:fill="auto"/>
                  <w:vAlign w:val="center"/>
                </w:tcPr>
                <w:p w14:paraId="21378A8C">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yellow"/>
                      <w:lang w:val="en-US" w:eastAsia="zh-CN" w:bidi="zh-CN"/>
                    </w:rPr>
                  </w:pPr>
                  <w:r>
                    <w:rPr>
                      <w:rFonts w:hint="eastAsia" w:cs="Times New Roman"/>
                      <w:color w:val="auto"/>
                      <w:sz w:val="21"/>
                      <w:szCs w:val="24"/>
                      <w:highlight w:val="yellow"/>
                      <w:lang w:val="en-US" w:eastAsia="zh-CN" w:bidi="zh-CN"/>
                    </w:rPr>
                    <w:t>非甲烷总烃</w:t>
                  </w:r>
                  <w:r>
                    <w:rPr>
                      <w:rFonts w:hint="eastAsia"/>
                      <w:color w:val="auto"/>
                      <w:highlight w:val="yellow"/>
                      <w:lang w:val="en-US" w:eastAsia="zh-CN"/>
                    </w:rPr>
                    <w:t>、乙醛</w:t>
                  </w:r>
                </w:p>
              </w:tc>
              <w:tc>
                <w:tcPr>
                  <w:tcW w:w="1028" w:type="pct"/>
                  <w:vMerge w:val="continue"/>
                  <w:tcBorders>
                    <w:tl2br w:val="nil"/>
                    <w:tr2bl w:val="nil"/>
                  </w:tcBorders>
                  <w:vAlign w:val="center"/>
                </w:tcPr>
                <w:p w14:paraId="333547C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c>
                <w:tcPr>
                  <w:tcW w:w="706" w:type="pct"/>
                  <w:vMerge w:val="continue"/>
                  <w:tcBorders>
                    <w:tl2br w:val="nil"/>
                    <w:tr2bl w:val="nil"/>
                  </w:tcBorders>
                  <w:vAlign w:val="center"/>
                </w:tcPr>
                <w:p w14:paraId="6371CDB8">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olor w:val="auto"/>
                      <w:highlight w:val="none"/>
                      <w:lang w:val="en-US" w:eastAsia="zh-CN"/>
                    </w:rPr>
                  </w:pPr>
                </w:p>
              </w:tc>
            </w:tr>
            <w:tr w14:paraId="402043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006052E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tcBorders>
                    <w:tl2br w:val="nil"/>
                    <w:tr2bl w:val="nil"/>
                  </w:tcBorders>
                  <w:vAlign w:val="center"/>
                </w:tcPr>
                <w:p w14:paraId="5E27239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打码</w:t>
                  </w:r>
                </w:p>
              </w:tc>
              <w:tc>
                <w:tcPr>
                  <w:tcW w:w="284" w:type="pct"/>
                  <w:tcBorders>
                    <w:tl2br w:val="nil"/>
                    <w:tr2bl w:val="nil"/>
                  </w:tcBorders>
                  <w:vAlign w:val="center"/>
                </w:tcPr>
                <w:p w14:paraId="631ADF1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G4</w:t>
                  </w:r>
                </w:p>
              </w:tc>
              <w:tc>
                <w:tcPr>
                  <w:tcW w:w="878" w:type="pct"/>
                  <w:tcBorders>
                    <w:tl2br w:val="nil"/>
                    <w:tr2bl w:val="nil"/>
                  </w:tcBorders>
                  <w:vAlign w:val="center"/>
                </w:tcPr>
                <w:p w14:paraId="430AB37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打码废气</w:t>
                  </w:r>
                </w:p>
              </w:tc>
              <w:tc>
                <w:tcPr>
                  <w:tcW w:w="1055" w:type="pct"/>
                  <w:tcBorders>
                    <w:tl2br w:val="nil"/>
                    <w:tr2bl w:val="nil"/>
                  </w:tcBorders>
                  <w:vAlign w:val="center"/>
                </w:tcPr>
                <w:p w14:paraId="1642F1F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非甲烷总烃</w:t>
                  </w:r>
                </w:p>
              </w:tc>
              <w:tc>
                <w:tcPr>
                  <w:tcW w:w="1028" w:type="pct"/>
                  <w:tcBorders>
                    <w:tl2br w:val="nil"/>
                    <w:tr2bl w:val="nil"/>
                  </w:tcBorders>
                  <w:vAlign w:val="center"/>
                </w:tcPr>
                <w:p w14:paraId="0B8CFCA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w:t>
                  </w:r>
                </w:p>
              </w:tc>
              <w:tc>
                <w:tcPr>
                  <w:tcW w:w="706" w:type="pct"/>
                  <w:tcBorders>
                    <w:tl2br w:val="nil"/>
                    <w:tr2bl w:val="nil"/>
                  </w:tcBorders>
                  <w:vAlign w:val="center"/>
                </w:tcPr>
                <w:p w14:paraId="13DA7CD8">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olor w:val="auto"/>
                      <w:highlight w:val="none"/>
                      <w:lang w:val="en-US" w:eastAsia="zh-CN"/>
                    </w:rPr>
                  </w:pPr>
                  <w:r>
                    <w:rPr>
                      <w:rFonts w:hint="eastAsia"/>
                      <w:color w:val="auto"/>
                      <w:highlight w:val="none"/>
                      <w:lang w:val="en-US" w:eastAsia="zh-CN"/>
                    </w:rPr>
                    <w:t>无组织</w:t>
                  </w:r>
                </w:p>
              </w:tc>
            </w:tr>
            <w:tr w14:paraId="0F1CA6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21AAFDA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tcBorders>
                    <w:tl2br w:val="nil"/>
                    <w:tr2bl w:val="nil"/>
                  </w:tcBorders>
                  <w:vAlign w:val="center"/>
                </w:tcPr>
                <w:p w14:paraId="55422507">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设施清洗</w:t>
                  </w:r>
                </w:p>
              </w:tc>
              <w:tc>
                <w:tcPr>
                  <w:tcW w:w="284" w:type="pct"/>
                  <w:tcBorders>
                    <w:tl2br w:val="nil"/>
                    <w:tr2bl w:val="nil"/>
                  </w:tcBorders>
                  <w:vAlign w:val="center"/>
                </w:tcPr>
                <w:p w14:paraId="6A307F7D">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G5</w:t>
                  </w:r>
                </w:p>
              </w:tc>
              <w:tc>
                <w:tcPr>
                  <w:tcW w:w="878" w:type="pct"/>
                  <w:tcBorders>
                    <w:tl2br w:val="nil"/>
                    <w:tr2bl w:val="nil"/>
                  </w:tcBorders>
                  <w:vAlign w:val="center"/>
                </w:tcPr>
                <w:p w14:paraId="2C146BE8">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设备清洗废气</w:t>
                  </w:r>
                </w:p>
              </w:tc>
              <w:tc>
                <w:tcPr>
                  <w:tcW w:w="1055" w:type="pct"/>
                  <w:tcBorders>
                    <w:tl2br w:val="nil"/>
                    <w:tr2bl w:val="nil"/>
                  </w:tcBorders>
                  <w:vAlign w:val="center"/>
                </w:tcPr>
                <w:p w14:paraId="3142A591">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氮氧化物</w:t>
                  </w:r>
                </w:p>
              </w:tc>
              <w:tc>
                <w:tcPr>
                  <w:tcW w:w="1028" w:type="pct"/>
                  <w:tcBorders>
                    <w:tl2br w:val="nil"/>
                    <w:tr2bl w:val="nil"/>
                  </w:tcBorders>
                  <w:vAlign w:val="center"/>
                </w:tcPr>
                <w:p w14:paraId="415F302E">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w:t>
                  </w:r>
                </w:p>
              </w:tc>
              <w:tc>
                <w:tcPr>
                  <w:tcW w:w="706" w:type="pct"/>
                  <w:tcBorders>
                    <w:tl2br w:val="nil"/>
                    <w:tr2bl w:val="nil"/>
                  </w:tcBorders>
                  <w:vAlign w:val="center"/>
                </w:tcPr>
                <w:p w14:paraId="35C2DA92">
                  <w:pPr>
                    <w:pStyle w:val="21"/>
                    <w:keepNext w:val="0"/>
                    <w:keepLines w:val="0"/>
                    <w:suppressLineNumbers w:val="0"/>
                    <w:spacing w:before="0" w:beforeAutospacing="0" w:after="0" w:afterAutospacing="0"/>
                    <w:ind w:left="0" w:right="0" w:firstLine="0" w:firstLineChars="0"/>
                    <w:rPr>
                      <w:rFonts w:hint="default"/>
                      <w:color w:val="auto"/>
                      <w:highlight w:val="none"/>
                      <w:lang w:val="en-US" w:eastAsia="zh-CN"/>
                    </w:rPr>
                  </w:pPr>
                  <w:r>
                    <w:rPr>
                      <w:rFonts w:hint="eastAsia"/>
                      <w:color w:val="auto"/>
                      <w:highlight w:val="none"/>
                      <w:lang w:val="en-US" w:eastAsia="zh-CN"/>
                    </w:rPr>
                    <w:t>无组织</w:t>
                  </w:r>
                </w:p>
              </w:tc>
            </w:tr>
            <w:tr w14:paraId="39A715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01C8912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tcBorders>
                    <w:tl2br w:val="nil"/>
                    <w:tr2bl w:val="nil"/>
                  </w:tcBorders>
                  <w:shd w:val="clear" w:color="auto" w:fill="auto"/>
                  <w:vAlign w:val="center"/>
                </w:tcPr>
                <w:p w14:paraId="3849CDE3">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废水处理</w:t>
                  </w:r>
                </w:p>
              </w:tc>
              <w:tc>
                <w:tcPr>
                  <w:tcW w:w="284" w:type="pct"/>
                  <w:tcBorders>
                    <w:tl2br w:val="nil"/>
                    <w:tr2bl w:val="nil"/>
                  </w:tcBorders>
                  <w:shd w:val="clear" w:color="auto" w:fill="auto"/>
                  <w:vAlign w:val="center"/>
                </w:tcPr>
                <w:p w14:paraId="15CBF91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G6</w:t>
                  </w:r>
                </w:p>
              </w:tc>
              <w:tc>
                <w:tcPr>
                  <w:tcW w:w="878" w:type="pct"/>
                  <w:tcBorders>
                    <w:tl2br w:val="nil"/>
                    <w:tr2bl w:val="nil"/>
                  </w:tcBorders>
                  <w:shd w:val="clear" w:color="auto" w:fill="auto"/>
                  <w:vAlign w:val="center"/>
                </w:tcPr>
                <w:p w14:paraId="2EB622B5">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恶臭废气</w:t>
                  </w:r>
                </w:p>
              </w:tc>
              <w:tc>
                <w:tcPr>
                  <w:tcW w:w="1055" w:type="pct"/>
                  <w:tcBorders>
                    <w:tl2br w:val="nil"/>
                    <w:tr2bl w:val="nil"/>
                  </w:tcBorders>
                  <w:shd w:val="clear" w:color="auto" w:fill="auto"/>
                  <w:vAlign w:val="center"/>
                </w:tcPr>
                <w:p w14:paraId="06D655F9">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氨、硫化氢、臭气浓度</w:t>
                  </w:r>
                </w:p>
              </w:tc>
              <w:tc>
                <w:tcPr>
                  <w:tcW w:w="1028" w:type="pct"/>
                  <w:tcBorders>
                    <w:tl2br w:val="nil"/>
                    <w:tr2bl w:val="nil"/>
                  </w:tcBorders>
                  <w:shd w:val="clear" w:color="auto" w:fill="auto"/>
                  <w:vAlign w:val="center"/>
                </w:tcPr>
                <w:p w14:paraId="5F31BE3B">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w:t>
                  </w:r>
                </w:p>
              </w:tc>
              <w:tc>
                <w:tcPr>
                  <w:tcW w:w="706" w:type="pct"/>
                  <w:tcBorders>
                    <w:tl2br w:val="nil"/>
                    <w:tr2bl w:val="nil"/>
                  </w:tcBorders>
                  <w:shd w:val="clear" w:color="auto" w:fill="auto"/>
                  <w:vAlign w:val="center"/>
                </w:tcPr>
                <w:p w14:paraId="30161602">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无组织排放</w:t>
                  </w:r>
                </w:p>
              </w:tc>
            </w:tr>
            <w:tr w14:paraId="78F270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3ED50F1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tcBorders>
                    <w:tl2br w:val="nil"/>
                    <w:tr2bl w:val="nil"/>
                  </w:tcBorders>
                  <w:shd w:val="clear" w:color="auto" w:fill="auto"/>
                  <w:vAlign w:val="center"/>
                </w:tcPr>
                <w:p w14:paraId="39DFEB25">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危废贮存</w:t>
                  </w:r>
                </w:p>
              </w:tc>
              <w:tc>
                <w:tcPr>
                  <w:tcW w:w="284" w:type="pct"/>
                  <w:tcBorders>
                    <w:tl2br w:val="nil"/>
                    <w:tr2bl w:val="nil"/>
                  </w:tcBorders>
                  <w:shd w:val="clear" w:color="auto" w:fill="auto"/>
                  <w:vAlign w:val="center"/>
                </w:tcPr>
                <w:p w14:paraId="7A294BFD">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G7</w:t>
                  </w:r>
                </w:p>
              </w:tc>
              <w:tc>
                <w:tcPr>
                  <w:tcW w:w="878" w:type="pct"/>
                  <w:tcBorders>
                    <w:tl2br w:val="nil"/>
                    <w:tr2bl w:val="nil"/>
                  </w:tcBorders>
                  <w:shd w:val="clear" w:color="auto" w:fill="auto"/>
                  <w:vAlign w:val="center"/>
                </w:tcPr>
                <w:p w14:paraId="7F58BEF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危废贮存废气</w:t>
                  </w:r>
                </w:p>
              </w:tc>
              <w:tc>
                <w:tcPr>
                  <w:tcW w:w="1055" w:type="pct"/>
                  <w:tcBorders>
                    <w:tl2br w:val="nil"/>
                    <w:tr2bl w:val="nil"/>
                  </w:tcBorders>
                  <w:shd w:val="clear" w:color="auto" w:fill="auto"/>
                  <w:vAlign w:val="center"/>
                </w:tcPr>
                <w:p w14:paraId="7DC98975">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非甲烷总烃</w:t>
                  </w:r>
                </w:p>
              </w:tc>
              <w:tc>
                <w:tcPr>
                  <w:tcW w:w="1028" w:type="pct"/>
                  <w:tcBorders>
                    <w:tl2br w:val="nil"/>
                    <w:tr2bl w:val="nil"/>
                  </w:tcBorders>
                  <w:shd w:val="clear" w:color="auto" w:fill="auto"/>
                  <w:vAlign w:val="center"/>
                </w:tcPr>
                <w:p w14:paraId="70996838">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w:t>
                  </w:r>
                </w:p>
              </w:tc>
              <w:tc>
                <w:tcPr>
                  <w:tcW w:w="706" w:type="pct"/>
                  <w:tcBorders>
                    <w:tl2br w:val="nil"/>
                    <w:tr2bl w:val="nil"/>
                  </w:tcBorders>
                  <w:shd w:val="clear" w:color="auto" w:fill="auto"/>
                  <w:vAlign w:val="center"/>
                </w:tcPr>
                <w:p w14:paraId="7F7C3152">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无组织</w:t>
                  </w:r>
                </w:p>
              </w:tc>
            </w:tr>
            <w:tr w14:paraId="2B3836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04305F1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tcBorders>
                    <w:tl2br w:val="nil"/>
                    <w:tr2bl w:val="nil"/>
                  </w:tcBorders>
                  <w:vAlign w:val="center"/>
                </w:tcPr>
                <w:p w14:paraId="077E5258">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食堂做餐</w:t>
                  </w:r>
                </w:p>
              </w:tc>
              <w:tc>
                <w:tcPr>
                  <w:tcW w:w="284" w:type="pct"/>
                  <w:tcBorders>
                    <w:tl2br w:val="nil"/>
                    <w:tr2bl w:val="nil"/>
                  </w:tcBorders>
                  <w:vAlign w:val="center"/>
                </w:tcPr>
                <w:p w14:paraId="304A212B">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G8</w:t>
                  </w:r>
                </w:p>
              </w:tc>
              <w:tc>
                <w:tcPr>
                  <w:tcW w:w="878" w:type="pct"/>
                  <w:tcBorders>
                    <w:tl2br w:val="nil"/>
                    <w:tr2bl w:val="nil"/>
                  </w:tcBorders>
                  <w:vAlign w:val="center"/>
                </w:tcPr>
                <w:p w14:paraId="4CFEB252">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食堂油烟</w:t>
                  </w:r>
                </w:p>
              </w:tc>
              <w:tc>
                <w:tcPr>
                  <w:tcW w:w="1055" w:type="pct"/>
                  <w:tcBorders>
                    <w:tl2br w:val="nil"/>
                    <w:tr2bl w:val="nil"/>
                  </w:tcBorders>
                  <w:vAlign w:val="center"/>
                </w:tcPr>
                <w:p w14:paraId="36CF34F0">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食堂油烟</w:t>
                  </w:r>
                </w:p>
              </w:tc>
              <w:tc>
                <w:tcPr>
                  <w:tcW w:w="1028" w:type="pct"/>
                  <w:tcBorders>
                    <w:tl2br w:val="nil"/>
                    <w:tr2bl w:val="nil"/>
                  </w:tcBorders>
                  <w:vAlign w:val="center"/>
                </w:tcPr>
                <w:p w14:paraId="7416EC1D">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w:t>
                  </w:r>
                </w:p>
              </w:tc>
              <w:tc>
                <w:tcPr>
                  <w:tcW w:w="706" w:type="pct"/>
                  <w:tcBorders>
                    <w:tl2br w:val="nil"/>
                    <w:tr2bl w:val="nil"/>
                  </w:tcBorders>
                  <w:vAlign w:val="center"/>
                </w:tcPr>
                <w:p w14:paraId="59C70390">
                  <w:pPr>
                    <w:pStyle w:val="21"/>
                    <w:keepNext w:val="0"/>
                    <w:keepLines w:val="0"/>
                    <w:suppressLineNumbers w:val="0"/>
                    <w:spacing w:before="0" w:beforeAutospacing="0" w:after="0" w:afterAutospacing="0"/>
                    <w:ind w:left="0" w:right="0" w:firstLine="0" w:firstLineChars="0"/>
                    <w:rPr>
                      <w:rFonts w:hint="default"/>
                      <w:color w:val="auto"/>
                      <w:highlight w:val="none"/>
                      <w:lang w:val="en-US" w:eastAsia="zh-CN"/>
                    </w:rPr>
                  </w:pPr>
                  <w:r>
                    <w:rPr>
                      <w:rFonts w:hint="eastAsia"/>
                      <w:color w:val="auto"/>
                      <w:highlight w:val="none"/>
                      <w:lang w:val="en-US" w:eastAsia="zh-CN"/>
                    </w:rPr>
                    <w:t>排气筒排放</w:t>
                  </w:r>
                </w:p>
              </w:tc>
            </w:tr>
            <w:tr w14:paraId="66C3BE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restart"/>
                  <w:tcBorders>
                    <w:tl2br w:val="nil"/>
                    <w:tr2bl w:val="nil"/>
                  </w:tcBorders>
                  <w:vAlign w:val="center"/>
                </w:tcPr>
                <w:p w14:paraId="0648028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废水</w:t>
                  </w:r>
                </w:p>
              </w:tc>
              <w:tc>
                <w:tcPr>
                  <w:tcW w:w="733" w:type="pct"/>
                  <w:tcBorders>
                    <w:tl2br w:val="nil"/>
                    <w:tr2bl w:val="nil"/>
                  </w:tcBorders>
                  <w:vAlign w:val="center"/>
                </w:tcPr>
                <w:p w14:paraId="4A1DC03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两级反渗透</w:t>
                  </w:r>
                </w:p>
              </w:tc>
              <w:tc>
                <w:tcPr>
                  <w:tcW w:w="284" w:type="pct"/>
                  <w:tcBorders>
                    <w:tl2br w:val="nil"/>
                    <w:tr2bl w:val="nil"/>
                  </w:tcBorders>
                  <w:vAlign w:val="center"/>
                </w:tcPr>
                <w:p w14:paraId="5E44A9DB">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eastAsia="zh-CN"/>
                    </w:rPr>
                  </w:pPr>
                  <w:r>
                    <w:rPr>
                      <w:rFonts w:hint="eastAsia" w:ascii="Times New Roman" w:hAnsi="Times New Roman" w:eastAsia="宋体"/>
                      <w:color w:val="auto"/>
                      <w:highlight w:val="none"/>
                      <w:lang w:val="en-US"/>
                    </w:rPr>
                    <w:t>W</w:t>
                  </w:r>
                  <w:r>
                    <w:rPr>
                      <w:rFonts w:hint="eastAsia"/>
                      <w:color w:val="auto"/>
                      <w:highlight w:val="none"/>
                      <w:lang w:val="en-US" w:eastAsia="zh-CN"/>
                    </w:rPr>
                    <w:t>2</w:t>
                  </w:r>
                </w:p>
              </w:tc>
              <w:tc>
                <w:tcPr>
                  <w:tcW w:w="878" w:type="pct"/>
                  <w:tcBorders>
                    <w:tl2br w:val="nil"/>
                    <w:tr2bl w:val="nil"/>
                  </w:tcBorders>
                  <w:vAlign w:val="center"/>
                </w:tcPr>
                <w:p w14:paraId="4D8C1CF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反渗透浓水</w:t>
                  </w:r>
                </w:p>
              </w:tc>
              <w:tc>
                <w:tcPr>
                  <w:tcW w:w="1055" w:type="pct"/>
                  <w:tcBorders>
                    <w:tl2br w:val="nil"/>
                    <w:tr2bl w:val="nil"/>
                  </w:tcBorders>
                  <w:vAlign w:val="center"/>
                </w:tcPr>
                <w:p w14:paraId="1B3C677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COD、SS</w:t>
                  </w:r>
                </w:p>
              </w:tc>
              <w:tc>
                <w:tcPr>
                  <w:tcW w:w="1028" w:type="pct"/>
                  <w:tcBorders>
                    <w:tl2br w:val="nil"/>
                    <w:tr2bl w:val="nil"/>
                  </w:tcBorders>
                  <w:vAlign w:val="center"/>
                </w:tcPr>
                <w:p w14:paraId="6D7B2E1A">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706" w:type="pct"/>
                  <w:vMerge w:val="restart"/>
                  <w:tcBorders>
                    <w:tl2br w:val="nil"/>
                    <w:tr2bl w:val="nil"/>
                  </w:tcBorders>
                  <w:vAlign w:val="center"/>
                </w:tcPr>
                <w:p w14:paraId="5B2293B7">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接管到</w:t>
                  </w:r>
                  <w:r>
                    <w:rPr>
                      <w:rFonts w:hint="eastAsia"/>
                      <w:color w:val="auto"/>
                      <w:highlight w:val="none"/>
                      <w:lang w:val="en-US" w:eastAsia="zh-CN"/>
                    </w:rPr>
                    <w:t>空港</w:t>
                  </w:r>
                  <w:r>
                    <w:rPr>
                      <w:rFonts w:hint="eastAsia" w:ascii="Times New Roman" w:hAnsi="Times New Roman" w:eastAsia="宋体"/>
                      <w:color w:val="auto"/>
                      <w:highlight w:val="none"/>
                      <w:lang w:val="en-US"/>
                    </w:rPr>
                    <w:t>污水处理厂</w:t>
                  </w:r>
                </w:p>
              </w:tc>
            </w:tr>
            <w:tr w14:paraId="5FC416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4875DA6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tcBorders>
                    <w:tl2br w:val="nil"/>
                    <w:tr2bl w:val="nil"/>
                  </w:tcBorders>
                  <w:shd w:val="clear" w:color="auto" w:fill="auto"/>
                  <w:vAlign w:val="center"/>
                </w:tcPr>
                <w:p w14:paraId="3DF05A2C">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设备清洗</w:t>
                  </w:r>
                </w:p>
              </w:tc>
              <w:tc>
                <w:tcPr>
                  <w:tcW w:w="284" w:type="pct"/>
                  <w:tcBorders>
                    <w:tl2br w:val="nil"/>
                    <w:tr2bl w:val="nil"/>
                  </w:tcBorders>
                  <w:shd w:val="clear" w:color="auto" w:fill="auto"/>
                  <w:vAlign w:val="center"/>
                </w:tcPr>
                <w:p w14:paraId="3409C998">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W1</w:t>
                  </w:r>
                </w:p>
              </w:tc>
              <w:tc>
                <w:tcPr>
                  <w:tcW w:w="878" w:type="pct"/>
                  <w:tcBorders>
                    <w:tl2br w:val="nil"/>
                    <w:tr2bl w:val="nil"/>
                  </w:tcBorders>
                  <w:shd w:val="clear" w:color="auto" w:fill="auto"/>
                  <w:vAlign w:val="center"/>
                </w:tcPr>
                <w:p w14:paraId="07D8EE89">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设备清洗废水</w:t>
                  </w:r>
                </w:p>
              </w:tc>
              <w:tc>
                <w:tcPr>
                  <w:tcW w:w="1055" w:type="pct"/>
                  <w:tcBorders>
                    <w:tl2br w:val="nil"/>
                    <w:tr2bl w:val="nil"/>
                  </w:tcBorders>
                  <w:shd w:val="clear" w:color="auto" w:fill="auto"/>
                  <w:vAlign w:val="center"/>
                </w:tcPr>
                <w:p w14:paraId="2D4CD629">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pH、</w:t>
                  </w:r>
                  <w:r>
                    <w:rPr>
                      <w:rFonts w:hint="default" w:ascii="Times New Roman" w:hAnsi="Times New Roman" w:eastAsia="宋体"/>
                      <w:color w:val="auto"/>
                      <w:highlight w:val="none"/>
                    </w:rPr>
                    <w:t>COD、</w:t>
                  </w:r>
                  <w:r>
                    <w:rPr>
                      <w:rFonts w:hint="eastAsia"/>
                      <w:color w:val="auto"/>
                      <w:highlight w:val="none"/>
                      <w:lang w:val="en-US" w:eastAsia="zh-CN"/>
                    </w:rPr>
                    <w:t>BOD</w:t>
                  </w:r>
                  <w:r>
                    <w:rPr>
                      <w:rFonts w:hint="eastAsia"/>
                      <w:color w:val="auto"/>
                      <w:highlight w:val="none"/>
                      <w:vertAlign w:val="subscript"/>
                      <w:lang w:val="en-US" w:eastAsia="zh-CN"/>
                    </w:rPr>
                    <w:t>5</w:t>
                  </w:r>
                  <w:r>
                    <w:rPr>
                      <w:rFonts w:hint="eastAsia"/>
                      <w:color w:val="auto"/>
                      <w:highlight w:val="none"/>
                      <w:vertAlign w:val="baseline"/>
                      <w:lang w:val="en-US" w:eastAsia="zh-CN"/>
                    </w:rPr>
                    <w:t>、</w:t>
                  </w:r>
                  <w:r>
                    <w:rPr>
                      <w:rFonts w:hint="default" w:ascii="Times New Roman" w:hAnsi="Times New Roman" w:eastAsia="宋体"/>
                      <w:color w:val="auto"/>
                      <w:highlight w:val="none"/>
                    </w:rPr>
                    <w:t>SS</w:t>
                  </w:r>
                  <w:r>
                    <w:rPr>
                      <w:rFonts w:hint="eastAsia"/>
                      <w:color w:val="auto"/>
                      <w:highlight w:val="none"/>
                      <w:lang w:eastAsia="zh-CN"/>
                    </w:rPr>
                    <w:t>、</w:t>
                  </w:r>
                  <w:r>
                    <w:rPr>
                      <w:rFonts w:hint="eastAsia"/>
                      <w:color w:val="auto"/>
                      <w:highlight w:val="none"/>
                      <w:lang w:val="en-US" w:eastAsia="zh-CN"/>
                    </w:rPr>
                    <w:t>总氮、氨氮、总磷</w:t>
                  </w:r>
                </w:p>
              </w:tc>
              <w:tc>
                <w:tcPr>
                  <w:tcW w:w="1028" w:type="pct"/>
                  <w:vMerge w:val="restart"/>
                  <w:tcBorders>
                    <w:tl2br w:val="nil"/>
                    <w:tr2bl w:val="nil"/>
                  </w:tcBorders>
                  <w:shd w:val="clear" w:color="auto" w:fill="auto"/>
                  <w:vAlign w:val="center"/>
                </w:tcPr>
                <w:p w14:paraId="5B5C9CCA">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厂区污水处理站</w:t>
                  </w:r>
                </w:p>
              </w:tc>
              <w:tc>
                <w:tcPr>
                  <w:tcW w:w="706" w:type="pct"/>
                  <w:vMerge w:val="continue"/>
                  <w:tcBorders>
                    <w:tl2br w:val="nil"/>
                    <w:tr2bl w:val="nil"/>
                  </w:tcBorders>
                  <w:vAlign w:val="center"/>
                </w:tcPr>
                <w:p w14:paraId="01D00C28">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r>
            <w:tr w14:paraId="1073EB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5F7515B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tcBorders>
                    <w:tl2br w:val="nil"/>
                    <w:tr2bl w:val="nil"/>
                  </w:tcBorders>
                  <w:shd w:val="clear" w:color="auto" w:fill="auto"/>
                  <w:vAlign w:val="center"/>
                </w:tcPr>
                <w:p w14:paraId="7C341D6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地面冲洗</w:t>
                  </w:r>
                </w:p>
              </w:tc>
              <w:tc>
                <w:tcPr>
                  <w:tcW w:w="284" w:type="pct"/>
                  <w:tcBorders>
                    <w:tl2br w:val="nil"/>
                    <w:tr2bl w:val="nil"/>
                  </w:tcBorders>
                  <w:shd w:val="clear" w:color="auto" w:fill="auto"/>
                  <w:vAlign w:val="center"/>
                </w:tcPr>
                <w:p w14:paraId="2742C00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W3</w:t>
                  </w:r>
                </w:p>
              </w:tc>
              <w:tc>
                <w:tcPr>
                  <w:tcW w:w="878" w:type="pct"/>
                  <w:tcBorders>
                    <w:tl2br w:val="nil"/>
                    <w:tr2bl w:val="nil"/>
                  </w:tcBorders>
                  <w:shd w:val="clear" w:color="auto" w:fill="auto"/>
                  <w:vAlign w:val="center"/>
                </w:tcPr>
                <w:p w14:paraId="233D7A3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地面冲洗废水</w:t>
                  </w:r>
                </w:p>
              </w:tc>
              <w:tc>
                <w:tcPr>
                  <w:tcW w:w="1055" w:type="pct"/>
                  <w:tcBorders>
                    <w:tl2br w:val="nil"/>
                    <w:tr2bl w:val="nil"/>
                  </w:tcBorders>
                  <w:shd w:val="clear" w:color="auto" w:fill="auto"/>
                  <w:vAlign w:val="center"/>
                </w:tcPr>
                <w:p w14:paraId="54BAE575">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eastAsia"/>
                      <w:color w:val="auto"/>
                      <w:highlight w:val="none"/>
                      <w:lang w:val="en-US" w:eastAsia="zh-CN"/>
                    </w:rPr>
                    <w:t>pH、</w:t>
                  </w:r>
                  <w:r>
                    <w:rPr>
                      <w:rFonts w:hint="default" w:ascii="Times New Roman" w:hAnsi="Times New Roman" w:eastAsia="宋体"/>
                      <w:color w:val="auto"/>
                      <w:highlight w:val="none"/>
                    </w:rPr>
                    <w:t>COD、</w:t>
                  </w:r>
                  <w:r>
                    <w:rPr>
                      <w:rFonts w:hint="eastAsia"/>
                      <w:color w:val="auto"/>
                      <w:highlight w:val="none"/>
                      <w:lang w:val="en-US" w:eastAsia="zh-CN"/>
                    </w:rPr>
                    <w:t>BOD</w:t>
                  </w:r>
                  <w:r>
                    <w:rPr>
                      <w:rFonts w:hint="eastAsia"/>
                      <w:color w:val="auto"/>
                      <w:highlight w:val="none"/>
                      <w:vertAlign w:val="subscript"/>
                      <w:lang w:val="en-US" w:eastAsia="zh-CN"/>
                    </w:rPr>
                    <w:t>5</w:t>
                  </w:r>
                  <w:r>
                    <w:rPr>
                      <w:rFonts w:hint="eastAsia"/>
                      <w:color w:val="auto"/>
                      <w:highlight w:val="none"/>
                      <w:vertAlign w:val="baseline"/>
                      <w:lang w:val="en-US" w:eastAsia="zh-CN"/>
                    </w:rPr>
                    <w:t>、</w:t>
                  </w:r>
                  <w:r>
                    <w:rPr>
                      <w:rFonts w:hint="default" w:ascii="Times New Roman" w:hAnsi="Times New Roman" w:eastAsia="宋体"/>
                      <w:color w:val="auto"/>
                      <w:highlight w:val="none"/>
                    </w:rPr>
                    <w:t>SS</w:t>
                  </w:r>
                  <w:r>
                    <w:rPr>
                      <w:rFonts w:hint="eastAsia"/>
                      <w:color w:val="auto"/>
                      <w:highlight w:val="none"/>
                      <w:lang w:eastAsia="zh-CN"/>
                    </w:rPr>
                    <w:t>、</w:t>
                  </w:r>
                  <w:r>
                    <w:rPr>
                      <w:rFonts w:hint="eastAsia"/>
                      <w:color w:val="auto"/>
                      <w:highlight w:val="none"/>
                      <w:lang w:val="en-US" w:eastAsia="zh-CN"/>
                    </w:rPr>
                    <w:t>总氮、氨氮、总磷</w:t>
                  </w:r>
                </w:p>
              </w:tc>
              <w:tc>
                <w:tcPr>
                  <w:tcW w:w="1028" w:type="pct"/>
                  <w:vMerge w:val="continue"/>
                  <w:tcBorders>
                    <w:tl2br w:val="nil"/>
                    <w:tr2bl w:val="nil"/>
                  </w:tcBorders>
                  <w:shd w:val="clear" w:color="auto" w:fill="auto"/>
                  <w:vAlign w:val="center"/>
                </w:tcPr>
                <w:p w14:paraId="30CB0561">
                  <w:pPr>
                    <w:pStyle w:val="21"/>
                    <w:keepNext w:val="0"/>
                    <w:keepLines w:val="0"/>
                    <w:suppressLineNumbers w:val="0"/>
                    <w:spacing w:before="0" w:beforeAutospacing="0" w:after="0" w:afterAutospacing="0"/>
                    <w:ind w:left="0" w:leftChars="0" w:right="0" w:rightChars="0" w:firstLine="0" w:firstLineChars="0"/>
                    <w:rPr>
                      <w:rFonts w:hint="eastAsia" w:cs="Times New Roman"/>
                      <w:color w:val="auto"/>
                      <w:sz w:val="21"/>
                      <w:szCs w:val="24"/>
                      <w:highlight w:val="none"/>
                      <w:lang w:val="en-US" w:eastAsia="zh-CN" w:bidi="zh-CN"/>
                    </w:rPr>
                  </w:pPr>
                </w:p>
              </w:tc>
              <w:tc>
                <w:tcPr>
                  <w:tcW w:w="706" w:type="pct"/>
                  <w:vMerge w:val="continue"/>
                  <w:tcBorders>
                    <w:tl2br w:val="nil"/>
                    <w:tr2bl w:val="nil"/>
                  </w:tcBorders>
                  <w:vAlign w:val="center"/>
                </w:tcPr>
                <w:p w14:paraId="2E6A6659">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r>
            <w:tr w14:paraId="7E8789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449AE6C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vMerge w:val="restart"/>
                  <w:tcBorders>
                    <w:tl2br w:val="nil"/>
                    <w:tr2bl w:val="nil"/>
                  </w:tcBorders>
                  <w:vAlign w:val="center"/>
                </w:tcPr>
                <w:p w14:paraId="170E65D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员工生活</w:t>
                  </w:r>
                </w:p>
              </w:tc>
              <w:tc>
                <w:tcPr>
                  <w:tcW w:w="284" w:type="pct"/>
                  <w:tcBorders>
                    <w:tl2br w:val="nil"/>
                    <w:tr2bl w:val="nil"/>
                  </w:tcBorders>
                  <w:vAlign w:val="center"/>
                </w:tcPr>
                <w:p w14:paraId="1F6E601A">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color w:val="auto"/>
                      <w:highlight w:val="none"/>
                      <w:lang w:val="en-US" w:eastAsia="zh-CN"/>
                    </w:rPr>
                    <w:t>W4</w:t>
                  </w:r>
                </w:p>
              </w:tc>
              <w:tc>
                <w:tcPr>
                  <w:tcW w:w="878" w:type="pct"/>
                  <w:tcBorders>
                    <w:tl2br w:val="nil"/>
                    <w:tr2bl w:val="nil"/>
                  </w:tcBorders>
                  <w:shd w:val="clear" w:color="auto" w:fill="auto"/>
                  <w:vAlign w:val="center"/>
                </w:tcPr>
                <w:p w14:paraId="5BCA387A">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rPr>
                    <w:t>生活污水</w:t>
                  </w:r>
                </w:p>
              </w:tc>
              <w:tc>
                <w:tcPr>
                  <w:tcW w:w="1055" w:type="pct"/>
                  <w:tcBorders>
                    <w:tl2br w:val="nil"/>
                    <w:tr2bl w:val="nil"/>
                  </w:tcBorders>
                  <w:shd w:val="clear" w:color="auto" w:fill="auto"/>
                  <w:vAlign w:val="center"/>
                </w:tcPr>
                <w:p w14:paraId="051E510C">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zh-CN" w:eastAsia="zh-CN" w:bidi="zh-CN"/>
                    </w:rPr>
                  </w:pPr>
                  <w:r>
                    <w:rPr>
                      <w:rFonts w:hint="default" w:ascii="Times New Roman" w:hAnsi="Times New Roman" w:eastAsia="宋体"/>
                      <w:color w:val="auto"/>
                      <w:highlight w:val="none"/>
                    </w:rPr>
                    <w:t>COD、</w:t>
                  </w:r>
                  <w:r>
                    <w:rPr>
                      <w:rFonts w:hint="eastAsia"/>
                      <w:color w:val="auto"/>
                      <w:highlight w:val="none"/>
                      <w:lang w:val="en-US" w:eastAsia="zh-CN"/>
                    </w:rPr>
                    <w:t>BOD</w:t>
                  </w:r>
                  <w:r>
                    <w:rPr>
                      <w:rFonts w:hint="eastAsia"/>
                      <w:color w:val="auto"/>
                      <w:highlight w:val="none"/>
                      <w:vertAlign w:val="subscript"/>
                      <w:lang w:val="en-US" w:eastAsia="zh-CN"/>
                    </w:rPr>
                    <w:t>5</w:t>
                  </w:r>
                  <w:r>
                    <w:rPr>
                      <w:rFonts w:hint="default" w:ascii="Times New Roman" w:hAnsi="Times New Roman" w:eastAsia="宋体"/>
                      <w:color w:val="auto"/>
                      <w:highlight w:val="none"/>
                    </w:rPr>
                    <w:t>、SS、氨氮、总氮、总磷</w:t>
                  </w:r>
                </w:p>
              </w:tc>
              <w:tc>
                <w:tcPr>
                  <w:tcW w:w="1028" w:type="pct"/>
                  <w:tcBorders>
                    <w:tl2br w:val="nil"/>
                    <w:tr2bl w:val="nil"/>
                  </w:tcBorders>
                  <w:vAlign w:val="center"/>
                </w:tcPr>
                <w:p w14:paraId="1143ED3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化粪池</w:t>
                  </w:r>
                </w:p>
              </w:tc>
              <w:tc>
                <w:tcPr>
                  <w:tcW w:w="706" w:type="pct"/>
                  <w:vMerge w:val="continue"/>
                  <w:tcBorders>
                    <w:tl2br w:val="nil"/>
                    <w:tr2bl w:val="nil"/>
                  </w:tcBorders>
                  <w:vAlign w:val="center"/>
                </w:tcPr>
                <w:p w14:paraId="5955D68E">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r>
            <w:tr w14:paraId="59B0E4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5436F29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vMerge w:val="continue"/>
                  <w:tcBorders>
                    <w:tl2br w:val="nil"/>
                    <w:tr2bl w:val="nil"/>
                  </w:tcBorders>
                  <w:vAlign w:val="center"/>
                </w:tcPr>
                <w:p w14:paraId="3F3BF91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284" w:type="pct"/>
                  <w:tcBorders>
                    <w:tl2br w:val="nil"/>
                    <w:tr2bl w:val="nil"/>
                  </w:tcBorders>
                  <w:vAlign w:val="center"/>
                </w:tcPr>
                <w:p w14:paraId="2C23E813">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eastAsia="zh-CN"/>
                    </w:rPr>
                  </w:pPr>
                  <w:r>
                    <w:rPr>
                      <w:rFonts w:hint="eastAsia"/>
                      <w:color w:val="auto"/>
                      <w:highlight w:val="none"/>
                      <w:lang w:val="en-US" w:eastAsia="zh-CN"/>
                    </w:rPr>
                    <w:t>W5</w:t>
                  </w:r>
                </w:p>
              </w:tc>
              <w:tc>
                <w:tcPr>
                  <w:tcW w:w="878" w:type="pct"/>
                  <w:tcBorders>
                    <w:tl2br w:val="nil"/>
                    <w:tr2bl w:val="nil"/>
                  </w:tcBorders>
                  <w:shd w:val="clear" w:color="auto" w:fill="auto"/>
                  <w:vAlign w:val="center"/>
                </w:tcPr>
                <w:p w14:paraId="7F72B809">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食堂废水</w:t>
                  </w:r>
                </w:p>
              </w:tc>
              <w:tc>
                <w:tcPr>
                  <w:tcW w:w="1055" w:type="pct"/>
                  <w:tcBorders>
                    <w:tl2br w:val="nil"/>
                    <w:tr2bl w:val="nil"/>
                  </w:tcBorders>
                  <w:shd w:val="clear" w:color="auto" w:fill="auto"/>
                  <w:vAlign w:val="center"/>
                </w:tcPr>
                <w:p w14:paraId="4DBF33F6">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rPr>
                    <w:t>COD、</w:t>
                  </w:r>
                  <w:r>
                    <w:rPr>
                      <w:rFonts w:hint="eastAsia"/>
                      <w:color w:val="auto"/>
                      <w:highlight w:val="none"/>
                      <w:lang w:val="en-US" w:eastAsia="zh-CN"/>
                    </w:rPr>
                    <w:t>BOD</w:t>
                  </w:r>
                  <w:r>
                    <w:rPr>
                      <w:rFonts w:hint="eastAsia"/>
                      <w:color w:val="auto"/>
                      <w:highlight w:val="none"/>
                      <w:vertAlign w:val="subscript"/>
                      <w:lang w:val="en-US" w:eastAsia="zh-CN"/>
                    </w:rPr>
                    <w:t>5</w:t>
                  </w:r>
                  <w:r>
                    <w:rPr>
                      <w:rFonts w:hint="default" w:ascii="Times New Roman" w:hAnsi="Times New Roman" w:eastAsia="宋体"/>
                      <w:color w:val="auto"/>
                      <w:highlight w:val="none"/>
                    </w:rPr>
                    <w:t>、SS、氨氮、总氮、总磷</w:t>
                  </w:r>
                  <w:r>
                    <w:rPr>
                      <w:rFonts w:hint="eastAsia" w:ascii="Times New Roman" w:hAnsi="Times New Roman" w:eastAsia="宋体"/>
                      <w:color w:val="auto"/>
                      <w:highlight w:val="none"/>
                      <w:lang w:eastAsia="zh-CN"/>
                    </w:rPr>
                    <w:t>、</w:t>
                  </w:r>
                  <w:r>
                    <w:rPr>
                      <w:rFonts w:hint="eastAsia" w:ascii="Times New Roman" w:hAnsi="Times New Roman" w:eastAsia="宋体"/>
                      <w:color w:val="auto"/>
                      <w:highlight w:val="none"/>
                      <w:lang w:val="en-US" w:eastAsia="zh-CN"/>
                    </w:rPr>
                    <w:t>动植物油</w:t>
                  </w:r>
                </w:p>
              </w:tc>
              <w:tc>
                <w:tcPr>
                  <w:tcW w:w="1028" w:type="pct"/>
                  <w:tcBorders>
                    <w:tl2br w:val="nil"/>
                    <w:tr2bl w:val="nil"/>
                  </w:tcBorders>
                  <w:vAlign w:val="center"/>
                </w:tcPr>
                <w:p w14:paraId="4935D3FB">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隔油池</w:t>
                  </w:r>
                </w:p>
              </w:tc>
              <w:tc>
                <w:tcPr>
                  <w:tcW w:w="706" w:type="pct"/>
                  <w:vMerge w:val="continue"/>
                  <w:tcBorders>
                    <w:tl2br w:val="nil"/>
                    <w:tr2bl w:val="nil"/>
                  </w:tcBorders>
                  <w:vAlign w:val="center"/>
                </w:tcPr>
                <w:p w14:paraId="0938A9E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4B3F22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restart"/>
                  <w:tcBorders>
                    <w:tl2br w:val="nil"/>
                    <w:tr2bl w:val="nil"/>
                  </w:tcBorders>
                  <w:vAlign w:val="center"/>
                </w:tcPr>
                <w:p w14:paraId="4ACF2C8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固废</w:t>
                  </w:r>
                </w:p>
              </w:tc>
              <w:tc>
                <w:tcPr>
                  <w:tcW w:w="733" w:type="pct"/>
                  <w:tcBorders>
                    <w:tl2br w:val="nil"/>
                    <w:tr2bl w:val="nil"/>
                  </w:tcBorders>
                  <w:shd w:val="clear" w:color="auto" w:fill="auto"/>
                  <w:vAlign w:val="center"/>
                </w:tcPr>
                <w:p w14:paraId="446C7D12">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炭虑</w:t>
                  </w:r>
                </w:p>
              </w:tc>
              <w:tc>
                <w:tcPr>
                  <w:tcW w:w="284" w:type="pct"/>
                  <w:tcBorders>
                    <w:tl2br w:val="nil"/>
                    <w:tr2bl w:val="nil"/>
                  </w:tcBorders>
                  <w:shd w:val="clear" w:color="auto" w:fill="auto"/>
                  <w:vAlign w:val="center"/>
                </w:tcPr>
                <w:p w14:paraId="42AD18AF">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S1</w:t>
                  </w:r>
                </w:p>
              </w:tc>
              <w:tc>
                <w:tcPr>
                  <w:tcW w:w="878" w:type="pct"/>
                  <w:tcBorders>
                    <w:tl2br w:val="nil"/>
                    <w:tr2bl w:val="nil"/>
                  </w:tcBorders>
                  <w:shd w:val="clear" w:color="auto" w:fill="auto"/>
                  <w:vAlign w:val="center"/>
                </w:tcPr>
                <w:p w14:paraId="1E51439B">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废活性炭（制纯水）</w:t>
                  </w:r>
                </w:p>
              </w:tc>
              <w:tc>
                <w:tcPr>
                  <w:tcW w:w="1055" w:type="pct"/>
                  <w:tcBorders>
                    <w:tl2br w:val="nil"/>
                    <w:tr2bl w:val="nil"/>
                  </w:tcBorders>
                  <w:shd w:val="clear" w:color="auto" w:fill="auto"/>
                  <w:vAlign w:val="center"/>
                </w:tcPr>
                <w:p w14:paraId="36D154B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活性炭</w:t>
                  </w:r>
                </w:p>
              </w:tc>
              <w:tc>
                <w:tcPr>
                  <w:tcW w:w="1028" w:type="pct"/>
                  <w:vMerge w:val="restart"/>
                  <w:tcBorders>
                    <w:tl2br w:val="nil"/>
                    <w:tr2bl w:val="nil"/>
                  </w:tcBorders>
                  <w:vAlign w:val="center"/>
                </w:tcPr>
                <w:p w14:paraId="64DE7F2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外售综合利用</w:t>
                  </w:r>
                </w:p>
              </w:tc>
              <w:tc>
                <w:tcPr>
                  <w:tcW w:w="706" w:type="pct"/>
                  <w:vMerge w:val="restart"/>
                  <w:tcBorders>
                    <w:tl2br w:val="nil"/>
                    <w:tr2bl w:val="nil"/>
                  </w:tcBorders>
                  <w:vAlign w:val="center"/>
                </w:tcPr>
                <w:p w14:paraId="5C3630C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合理处置，不外排</w:t>
                  </w:r>
                </w:p>
              </w:tc>
            </w:tr>
            <w:tr w14:paraId="4C8AC0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30665F6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tcBorders>
                    <w:tl2br w:val="nil"/>
                    <w:tr2bl w:val="nil"/>
                  </w:tcBorders>
                  <w:vAlign w:val="center"/>
                </w:tcPr>
                <w:p w14:paraId="17F2EEB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两级反渗透</w:t>
                  </w:r>
                </w:p>
              </w:tc>
              <w:tc>
                <w:tcPr>
                  <w:tcW w:w="284" w:type="pct"/>
                  <w:tcBorders>
                    <w:tl2br w:val="nil"/>
                    <w:tr2bl w:val="nil"/>
                  </w:tcBorders>
                  <w:vAlign w:val="center"/>
                </w:tcPr>
                <w:p w14:paraId="3C93F38C">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color w:val="auto"/>
                      <w:highlight w:val="none"/>
                      <w:lang w:val="en-US" w:eastAsia="zh-CN"/>
                    </w:rPr>
                    <w:t>S2</w:t>
                  </w:r>
                </w:p>
              </w:tc>
              <w:tc>
                <w:tcPr>
                  <w:tcW w:w="878" w:type="pct"/>
                  <w:tcBorders>
                    <w:tl2br w:val="nil"/>
                    <w:tr2bl w:val="nil"/>
                  </w:tcBorders>
                  <w:vAlign w:val="center"/>
                </w:tcPr>
                <w:p w14:paraId="14701BF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废反渗透膜</w:t>
                  </w:r>
                </w:p>
              </w:tc>
              <w:tc>
                <w:tcPr>
                  <w:tcW w:w="1055" w:type="pct"/>
                  <w:tcBorders>
                    <w:tl2br w:val="nil"/>
                    <w:tr2bl w:val="nil"/>
                  </w:tcBorders>
                  <w:vAlign w:val="center"/>
                </w:tcPr>
                <w:p w14:paraId="594307A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塑料膜</w:t>
                  </w:r>
                </w:p>
              </w:tc>
              <w:tc>
                <w:tcPr>
                  <w:tcW w:w="1028" w:type="pct"/>
                  <w:vMerge w:val="continue"/>
                  <w:tcBorders>
                    <w:tl2br w:val="nil"/>
                    <w:tr2bl w:val="nil"/>
                  </w:tcBorders>
                  <w:vAlign w:val="center"/>
                </w:tcPr>
                <w:p w14:paraId="7BC3829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c>
                <w:tcPr>
                  <w:tcW w:w="706" w:type="pct"/>
                  <w:vMerge w:val="continue"/>
                  <w:tcBorders>
                    <w:tl2br w:val="nil"/>
                    <w:tr2bl w:val="nil"/>
                  </w:tcBorders>
                  <w:vAlign w:val="center"/>
                </w:tcPr>
                <w:p w14:paraId="3A27D1A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23FD39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46776DB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vMerge w:val="restart"/>
                  <w:tcBorders>
                    <w:tl2br w:val="nil"/>
                    <w:tr2bl w:val="nil"/>
                  </w:tcBorders>
                  <w:vAlign w:val="center"/>
                </w:tcPr>
                <w:p w14:paraId="0D704517">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臭氧制备</w:t>
                  </w:r>
                </w:p>
              </w:tc>
              <w:tc>
                <w:tcPr>
                  <w:tcW w:w="284" w:type="pct"/>
                  <w:tcBorders>
                    <w:tl2br w:val="nil"/>
                    <w:tr2bl w:val="nil"/>
                  </w:tcBorders>
                  <w:vAlign w:val="center"/>
                </w:tcPr>
                <w:p w14:paraId="15BF7FDA">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S3</w:t>
                  </w:r>
                </w:p>
              </w:tc>
              <w:tc>
                <w:tcPr>
                  <w:tcW w:w="878" w:type="pct"/>
                  <w:tcBorders>
                    <w:tl2br w:val="nil"/>
                    <w:tr2bl w:val="nil"/>
                  </w:tcBorders>
                  <w:vAlign w:val="center"/>
                </w:tcPr>
                <w:p w14:paraId="05083E53">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废滤芯</w:t>
                  </w:r>
                </w:p>
              </w:tc>
              <w:tc>
                <w:tcPr>
                  <w:tcW w:w="1055" w:type="pct"/>
                  <w:tcBorders>
                    <w:tl2br w:val="nil"/>
                    <w:tr2bl w:val="nil"/>
                  </w:tcBorders>
                  <w:vAlign w:val="center"/>
                </w:tcPr>
                <w:p w14:paraId="71941C63">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塑料</w:t>
                  </w:r>
                </w:p>
              </w:tc>
              <w:tc>
                <w:tcPr>
                  <w:tcW w:w="1028" w:type="pct"/>
                  <w:vMerge w:val="continue"/>
                  <w:tcBorders>
                    <w:tl2br w:val="nil"/>
                    <w:tr2bl w:val="nil"/>
                  </w:tcBorders>
                  <w:vAlign w:val="center"/>
                </w:tcPr>
                <w:p w14:paraId="7A093F7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c>
                <w:tcPr>
                  <w:tcW w:w="706" w:type="pct"/>
                  <w:vMerge w:val="continue"/>
                  <w:tcBorders>
                    <w:tl2br w:val="nil"/>
                    <w:tr2bl w:val="nil"/>
                  </w:tcBorders>
                  <w:vAlign w:val="center"/>
                </w:tcPr>
                <w:p w14:paraId="751FA8D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4CE5CD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5941007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vMerge w:val="continue"/>
                  <w:tcBorders>
                    <w:tl2br w:val="nil"/>
                    <w:tr2bl w:val="nil"/>
                  </w:tcBorders>
                  <w:vAlign w:val="center"/>
                </w:tcPr>
                <w:p w14:paraId="5911D78F">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284" w:type="pct"/>
                  <w:tcBorders>
                    <w:tl2br w:val="nil"/>
                    <w:tr2bl w:val="nil"/>
                  </w:tcBorders>
                  <w:vAlign w:val="center"/>
                </w:tcPr>
                <w:p w14:paraId="46E7AC7F">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S4</w:t>
                  </w:r>
                </w:p>
              </w:tc>
              <w:tc>
                <w:tcPr>
                  <w:tcW w:w="878" w:type="pct"/>
                  <w:tcBorders>
                    <w:tl2br w:val="nil"/>
                    <w:tr2bl w:val="nil"/>
                  </w:tcBorders>
                  <w:vAlign w:val="center"/>
                </w:tcPr>
                <w:p w14:paraId="599EA459">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废分子筛</w:t>
                  </w:r>
                </w:p>
              </w:tc>
              <w:tc>
                <w:tcPr>
                  <w:tcW w:w="1055" w:type="pct"/>
                  <w:tcBorders>
                    <w:tl2br w:val="nil"/>
                    <w:tr2bl w:val="nil"/>
                  </w:tcBorders>
                  <w:vAlign w:val="center"/>
                </w:tcPr>
                <w:p w14:paraId="4C22ACA4">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碳分子筛</w:t>
                  </w:r>
                </w:p>
              </w:tc>
              <w:tc>
                <w:tcPr>
                  <w:tcW w:w="1028" w:type="pct"/>
                  <w:vMerge w:val="continue"/>
                  <w:tcBorders>
                    <w:tl2br w:val="nil"/>
                    <w:tr2bl w:val="nil"/>
                  </w:tcBorders>
                  <w:vAlign w:val="center"/>
                </w:tcPr>
                <w:p w14:paraId="1A2E502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c>
                <w:tcPr>
                  <w:tcW w:w="706" w:type="pct"/>
                  <w:vMerge w:val="continue"/>
                  <w:tcBorders>
                    <w:tl2br w:val="nil"/>
                    <w:tr2bl w:val="nil"/>
                  </w:tcBorders>
                  <w:vAlign w:val="center"/>
                </w:tcPr>
                <w:p w14:paraId="728597B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010B68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6DD2573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tcBorders>
                    <w:tl2br w:val="nil"/>
                    <w:tr2bl w:val="nil"/>
                  </w:tcBorders>
                  <w:vAlign w:val="center"/>
                </w:tcPr>
                <w:p w14:paraId="217DA01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注塑、吹制成瓶</w:t>
                  </w:r>
                </w:p>
              </w:tc>
              <w:tc>
                <w:tcPr>
                  <w:tcW w:w="284" w:type="pct"/>
                  <w:tcBorders>
                    <w:tl2br w:val="nil"/>
                    <w:tr2bl w:val="nil"/>
                  </w:tcBorders>
                  <w:vAlign w:val="center"/>
                </w:tcPr>
                <w:p w14:paraId="23E2359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S5、S7</w:t>
                  </w:r>
                </w:p>
              </w:tc>
              <w:tc>
                <w:tcPr>
                  <w:tcW w:w="878" w:type="pct"/>
                  <w:tcBorders>
                    <w:tl2br w:val="nil"/>
                    <w:tr2bl w:val="nil"/>
                  </w:tcBorders>
                  <w:vAlign w:val="center"/>
                </w:tcPr>
                <w:p w14:paraId="6863C48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废塑料</w:t>
                  </w:r>
                </w:p>
              </w:tc>
              <w:tc>
                <w:tcPr>
                  <w:tcW w:w="1055" w:type="pct"/>
                  <w:tcBorders>
                    <w:tl2br w:val="nil"/>
                    <w:tr2bl w:val="nil"/>
                  </w:tcBorders>
                  <w:vAlign w:val="center"/>
                </w:tcPr>
                <w:p w14:paraId="41A3456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PET塑料</w:t>
                  </w:r>
                </w:p>
              </w:tc>
              <w:tc>
                <w:tcPr>
                  <w:tcW w:w="1028" w:type="pct"/>
                  <w:vMerge w:val="continue"/>
                  <w:tcBorders>
                    <w:tl2br w:val="nil"/>
                    <w:tr2bl w:val="nil"/>
                  </w:tcBorders>
                  <w:vAlign w:val="center"/>
                </w:tcPr>
                <w:p w14:paraId="12EB12BB">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706" w:type="pct"/>
                  <w:vMerge w:val="continue"/>
                  <w:tcBorders>
                    <w:tl2br w:val="nil"/>
                    <w:tr2bl w:val="nil"/>
                  </w:tcBorders>
                  <w:vAlign w:val="center"/>
                </w:tcPr>
                <w:p w14:paraId="64DB687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382B64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555158B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tcBorders>
                    <w:tl2br w:val="nil"/>
                    <w:tr2bl w:val="nil"/>
                  </w:tcBorders>
                  <w:vAlign w:val="center"/>
                </w:tcPr>
                <w:p w14:paraId="640D01C0">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紫外消毒</w:t>
                  </w:r>
                </w:p>
              </w:tc>
              <w:tc>
                <w:tcPr>
                  <w:tcW w:w="284" w:type="pct"/>
                  <w:tcBorders>
                    <w:tl2br w:val="nil"/>
                    <w:tr2bl w:val="nil"/>
                  </w:tcBorders>
                  <w:vAlign w:val="center"/>
                </w:tcPr>
                <w:p w14:paraId="3F2FA331">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S6</w:t>
                  </w:r>
                </w:p>
              </w:tc>
              <w:tc>
                <w:tcPr>
                  <w:tcW w:w="878" w:type="pct"/>
                  <w:tcBorders>
                    <w:tl2br w:val="nil"/>
                    <w:tr2bl w:val="nil"/>
                  </w:tcBorders>
                  <w:vAlign w:val="center"/>
                </w:tcPr>
                <w:p w14:paraId="2A8A7BE0">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废紫外灯管</w:t>
                  </w:r>
                </w:p>
              </w:tc>
              <w:tc>
                <w:tcPr>
                  <w:tcW w:w="1055" w:type="pct"/>
                  <w:tcBorders>
                    <w:tl2br w:val="nil"/>
                    <w:tr2bl w:val="nil"/>
                  </w:tcBorders>
                  <w:vAlign w:val="center"/>
                </w:tcPr>
                <w:p w14:paraId="662E8884">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含汞灯管</w:t>
                  </w:r>
                </w:p>
              </w:tc>
              <w:tc>
                <w:tcPr>
                  <w:tcW w:w="1028" w:type="pct"/>
                  <w:vMerge w:val="continue"/>
                  <w:tcBorders>
                    <w:tl2br w:val="nil"/>
                    <w:tr2bl w:val="nil"/>
                  </w:tcBorders>
                  <w:vAlign w:val="center"/>
                </w:tcPr>
                <w:p w14:paraId="7517B4F6">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706" w:type="pct"/>
                  <w:vMerge w:val="continue"/>
                  <w:tcBorders>
                    <w:tl2br w:val="nil"/>
                    <w:tr2bl w:val="nil"/>
                  </w:tcBorders>
                  <w:vAlign w:val="center"/>
                </w:tcPr>
                <w:p w14:paraId="5F50D1F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54CB0F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738D4A1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vMerge w:val="restart"/>
                  <w:tcBorders>
                    <w:tl2br w:val="nil"/>
                    <w:tr2bl w:val="nil"/>
                  </w:tcBorders>
                  <w:vAlign w:val="center"/>
                </w:tcPr>
                <w:p w14:paraId="621B703D">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装箱</w:t>
                  </w:r>
                </w:p>
              </w:tc>
              <w:tc>
                <w:tcPr>
                  <w:tcW w:w="284" w:type="pct"/>
                  <w:tcBorders>
                    <w:tl2br w:val="nil"/>
                    <w:tr2bl w:val="nil"/>
                  </w:tcBorders>
                  <w:vAlign w:val="center"/>
                </w:tcPr>
                <w:p w14:paraId="4B3E6DC3">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S8</w:t>
                  </w:r>
                </w:p>
              </w:tc>
              <w:tc>
                <w:tcPr>
                  <w:tcW w:w="878" w:type="pct"/>
                  <w:tcBorders>
                    <w:tl2br w:val="nil"/>
                    <w:tr2bl w:val="nil"/>
                  </w:tcBorders>
                  <w:vAlign w:val="center"/>
                </w:tcPr>
                <w:p w14:paraId="7D3845B3">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废纸箱</w:t>
                  </w:r>
                </w:p>
              </w:tc>
              <w:tc>
                <w:tcPr>
                  <w:tcW w:w="1055" w:type="pct"/>
                  <w:tcBorders>
                    <w:tl2br w:val="nil"/>
                    <w:tr2bl w:val="nil"/>
                  </w:tcBorders>
                  <w:vAlign w:val="center"/>
                </w:tcPr>
                <w:p w14:paraId="42D6CD04">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废纸</w:t>
                  </w:r>
                </w:p>
              </w:tc>
              <w:tc>
                <w:tcPr>
                  <w:tcW w:w="1028" w:type="pct"/>
                  <w:vMerge w:val="continue"/>
                  <w:tcBorders>
                    <w:tl2br w:val="nil"/>
                    <w:tr2bl w:val="nil"/>
                  </w:tcBorders>
                  <w:vAlign w:val="center"/>
                </w:tcPr>
                <w:p w14:paraId="601F54E0">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706" w:type="pct"/>
                  <w:vMerge w:val="continue"/>
                  <w:tcBorders>
                    <w:tl2br w:val="nil"/>
                    <w:tr2bl w:val="nil"/>
                  </w:tcBorders>
                  <w:vAlign w:val="center"/>
                </w:tcPr>
                <w:p w14:paraId="0B2D85F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6915A1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638974F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vMerge w:val="continue"/>
                  <w:tcBorders>
                    <w:tl2br w:val="nil"/>
                    <w:tr2bl w:val="nil"/>
                  </w:tcBorders>
                  <w:vAlign w:val="center"/>
                </w:tcPr>
                <w:p w14:paraId="02C7BFC7">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284" w:type="pct"/>
                  <w:tcBorders>
                    <w:tl2br w:val="nil"/>
                    <w:tr2bl w:val="nil"/>
                  </w:tcBorders>
                  <w:vAlign w:val="center"/>
                </w:tcPr>
                <w:p w14:paraId="2CA70CBD">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S9</w:t>
                  </w:r>
                </w:p>
              </w:tc>
              <w:tc>
                <w:tcPr>
                  <w:tcW w:w="878" w:type="pct"/>
                  <w:tcBorders>
                    <w:tl2br w:val="nil"/>
                    <w:tr2bl w:val="nil"/>
                  </w:tcBorders>
                  <w:vAlign w:val="center"/>
                </w:tcPr>
                <w:p w14:paraId="651900B5">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废塑料膜</w:t>
                  </w:r>
                </w:p>
              </w:tc>
              <w:tc>
                <w:tcPr>
                  <w:tcW w:w="1055" w:type="pct"/>
                  <w:tcBorders>
                    <w:tl2br w:val="nil"/>
                    <w:tr2bl w:val="nil"/>
                  </w:tcBorders>
                  <w:vAlign w:val="center"/>
                </w:tcPr>
                <w:p w14:paraId="5D277B2D">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塑料膜</w:t>
                  </w:r>
                </w:p>
              </w:tc>
              <w:tc>
                <w:tcPr>
                  <w:tcW w:w="1028" w:type="pct"/>
                  <w:vMerge w:val="continue"/>
                  <w:tcBorders>
                    <w:tl2br w:val="nil"/>
                    <w:tr2bl w:val="nil"/>
                  </w:tcBorders>
                  <w:vAlign w:val="center"/>
                </w:tcPr>
                <w:p w14:paraId="308BCD41">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706" w:type="pct"/>
                  <w:vMerge w:val="continue"/>
                  <w:tcBorders>
                    <w:tl2br w:val="nil"/>
                    <w:tr2bl w:val="nil"/>
                  </w:tcBorders>
                  <w:vAlign w:val="center"/>
                </w:tcPr>
                <w:p w14:paraId="10C2B04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79E493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181597E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vMerge w:val="restart"/>
                  <w:tcBorders>
                    <w:tl2br w:val="nil"/>
                    <w:tr2bl w:val="nil"/>
                  </w:tcBorders>
                  <w:vAlign w:val="center"/>
                </w:tcPr>
                <w:p w14:paraId="6839E51C">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原料包装</w:t>
                  </w:r>
                </w:p>
              </w:tc>
              <w:tc>
                <w:tcPr>
                  <w:tcW w:w="284" w:type="pct"/>
                  <w:tcBorders>
                    <w:tl2br w:val="nil"/>
                    <w:tr2bl w:val="nil"/>
                  </w:tcBorders>
                  <w:vAlign w:val="center"/>
                </w:tcPr>
                <w:p w14:paraId="252C4647">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S10</w:t>
                  </w:r>
                </w:p>
              </w:tc>
              <w:tc>
                <w:tcPr>
                  <w:tcW w:w="878" w:type="pct"/>
                  <w:tcBorders>
                    <w:tl2br w:val="nil"/>
                    <w:tr2bl w:val="nil"/>
                  </w:tcBorders>
                  <w:vAlign w:val="center"/>
                </w:tcPr>
                <w:p w14:paraId="414145E1">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废包装袋</w:t>
                  </w:r>
                </w:p>
              </w:tc>
              <w:tc>
                <w:tcPr>
                  <w:tcW w:w="1055" w:type="pct"/>
                  <w:tcBorders>
                    <w:tl2br w:val="nil"/>
                    <w:tr2bl w:val="nil"/>
                  </w:tcBorders>
                  <w:vAlign w:val="center"/>
                </w:tcPr>
                <w:p w14:paraId="08A0BB30">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编织袋</w:t>
                  </w:r>
                </w:p>
              </w:tc>
              <w:tc>
                <w:tcPr>
                  <w:tcW w:w="1028" w:type="pct"/>
                  <w:vMerge w:val="continue"/>
                  <w:tcBorders>
                    <w:tl2br w:val="nil"/>
                    <w:tr2bl w:val="nil"/>
                  </w:tcBorders>
                  <w:vAlign w:val="center"/>
                </w:tcPr>
                <w:p w14:paraId="2DCFDD32">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706" w:type="pct"/>
                  <w:vMerge w:val="continue"/>
                  <w:tcBorders>
                    <w:tl2br w:val="nil"/>
                    <w:tr2bl w:val="nil"/>
                  </w:tcBorders>
                  <w:vAlign w:val="center"/>
                </w:tcPr>
                <w:p w14:paraId="0ABC97B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2E6DF6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7CE3D5D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vMerge w:val="continue"/>
                  <w:tcBorders>
                    <w:tl2br w:val="nil"/>
                    <w:tr2bl w:val="nil"/>
                  </w:tcBorders>
                  <w:vAlign w:val="center"/>
                </w:tcPr>
                <w:p w14:paraId="3A17B47D">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284" w:type="pct"/>
                  <w:tcBorders>
                    <w:tl2br w:val="nil"/>
                    <w:tr2bl w:val="nil"/>
                  </w:tcBorders>
                  <w:vAlign w:val="center"/>
                </w:tcPr>
                <w:p w14:paraId="634D0F54">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S11</w:t>
                  </w:r>
                </w:p>
              </w:tc>
              <w:tc>
                <w:tcPr>
                  <w:tcW w:w="878" w:type="pct"/>
                  <w:tcBorders>
                    <w:tl2br w:val="nil"/>
                    <w:tr2bl w:val="nil"/>
                  </w:tcBorders>
                  <w:vAlign w:val="center"/>
                </w:tcPr>
                <w:p w14:paraId="5ACE4E62">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废机油桶</w:t>
                  </w:r>
                </w:p>
              </w:tc>
              <w:tc>
                <w:tcPr>
                  <w:tcW w:w="1055" w:type="pct"/>
                  <w:tcBorders>
                    <w:tl2br w:val="nil"/>
                    <w:tr2bl w:val="nil"/>
                  </w:tcBorders>
                  <w:vAlign w:val="center"/>
                </w:tcPr>
                <w:p w14:paraId="115AB27A">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铁桶、矿物油</w:t>
                  </w:r>
                </w:p>
              </w:tc>
              <w:tc>
                <w:tcPr>
                  <w:tcW w:w="1028" w:type="pct"/>
                  <w:vMerge w:val="restart"/>
                  <w:tcBorders>
                    <w:tl2br w:val="nil"/>
                    <w:tr2bl w:val="nil"/>
                  </w:tcBorders>
                  <w:vAlign w:val="center"/>
                </w:tcPr>
                <w:p w14:paraId="09D2FE4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委托有资质单位处置</w:t>
                  </w:r>
                </w:p>
              </w:tc>
              <w:tc>
                <w:tcPr>
                  <w:tcW w:w="706" w:type="pct"/>
                  <w:vMerge w:val="continue"/>
                  <w:tcBorders>
                    <w:tl2br w:val="nil"/>
                    <w:tr2bl w:val="nil"/>
                  </w:tcBorders>
                  <w:vAlign w:val="center"/>
                </w:tcPr>
                <w:p w14:paraId="2D2895D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1DD392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028690E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vMerge w:val="continue"/>
                  <w:tcBorders>
                    <w:tl2br w:val="nil"/>
                    <w:tr2bl w:val="nil"/>
                  </w:tcBorders>
                  <w:vAlign w:val="center"/>
                </w:tcPr>
                <w:p w14:paraId="520CBCA3">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284" w:type="pct"/>
                  <w:tcBorders>
                    <w:tl2br w:val="nil"/>
                    <w:tr2bl w:val="nil"/>
                  </w:tcBorders>
                  <w:vAlign w:val="center"/>
                </w:tcPr>
                <w:p w14:paraId="69E87C3B">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S12</w:t>
                  </w:r>
                </w:p>
              </w:tc>
              <w:tc>
                <w:tcPr>
                  <w:tcW w:w="878" w:type="pct"/>
                  <w:tcBorders>
                    <w:tl2br w:val="nil"/>
                    <w:tr2bl w:val="nil"/>
                  </w:tcBorders>
                  <w:vAlign w:val="center"/>
                </w:tcPr>
                <w:p w14:paraId="2F4BC5EC">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废化学品包装桶</w:t>
                  </w:r>
                </w:p>
              </w:tc>
              <w:tc>
                <w:tcPr>
                  <w:tcW w:w="1055" w:type="pct"/>
                  <w:tcBorders>
                    <w:tl2br w:val="nil"/>
                    <w:tr2bl w:val="nil"/>
                  </w:tcBorders>
                  <w:vAlign w:val="center"/>
                </w:tcPr>
                <w:p w14:paraId="0CB7F2A3">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塑料桶、残留化学品</w:t>
                  </w:r>
                </w:p>
              </w:tc>
              <w:tc>
                <w:tcPr>
                  <w:tcW w:w="1028" w:type="pct"/>
                  <w:vMerge w:val="continue"/>
                  <w:tcBorders>
                    <w:tl2br w:val="nil"/>
                    <w:tr2bl w:val="nil"/>
                  </w:tcBorders>
                  <w:vAlign w:val="center"/>
                </w:tcPr>
                <w:p w14:paraId="1E64A3A4">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706" w:type="pct"/>
                  <w:vMerge w:val="continue"/>
                  <w:tcBorders>
                    <w:tl2br w:val="nil"/>
                    <w:tr2bl w:val="nil"/>
                  </w:tcBorders>
                  <w:vAlign w:val="center"/>
                </w:tcPr>
                <w:p w14:paraId="6DFE424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76144B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24C2CC7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tcBorders>
                    <w:tl2br w:val="nil"/>
                    <w:tr2bl w:val="nil"/>
                  </w:tcBorders>
                  <w:vAlign w:val="center"/>
                </w:tcPr>
                <w:p w14:paraId="04E9D6E1">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设备维护</w:t>
                  </w:r>
                </w:p>
              </w:tc>
              <w:tc>
                <w:tcPr>
                  <w:tcW w:w="284" w:type="pct"/>
                  <w:tcBorders>
                    <w:tl2br w:val="nil"/>
                    <w:tr2bl w:val="nil"/>
                  </w:tcBorders>
                  <w:vAlign w:val="center"/>
                </w:tcPr>
                <w:p w14:paraId="010B46FB">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S13</w:t>
                  </w:r>
                </w:p>
              </w:tc>
              <w:tc>
                <w:tcPr>
                  <w:tcW w:w="878" w:type="pct"/>
                  <w:tcBorders>
                    <w:tl2br w:val="nil"/>
                    <w:tr2bl w:val="nil"/>
                  </w:tcBorders>
                  <w:vAlign w:val="center"/>
                </w:tcPr>
                <w:p w14:paraId="40EAB0B5">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废机油</w:t>
                  </w:r>
                </w:p>
              </w:tc>
              <w:tc>
                <w:tcPr>
                  <w:tcW w:w="1055" w:type="pct"/>
                  <w:tcBorders>
                    <w:tl2br w:val="nil"/>
                    <w:tr2bl w:val="nil"/>
                  </w:tcBorders>
                  <w:vAlign w:val="center"/>
                </w:tcPr>
                <w:p w14:paraId="200F3AC7">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矿物油</w:t>
                  </w:r>
                </w:p>
              </w:tc>
              <w:tc>
                <w:tcPr>
                  <w:tcW w:w="1028" w:type="pct"/>
                  <w:vMerge w:val="continue"/>
                  <w:tcBorders>
                    <w:tl2br w:val="nil"/>
                    <w:tr2bl w:val="nil"/>
                  </w:tcBorders>
                  <w:vAlign w:val="center"/>
                </w:tcPr>
                <w:p w14:paraId="7F52596C">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706" w:type="pct"/>
                  <w:vMerge w:val="continue"/>
                  <w:tcBorders>
                    <w:tl2br w:val="nil"/>
                    <w:tr2bl w:val="nil"/>
                  </w:tcBorders>
                  <w:vAlign w:val="center"/>
                </w:tcPr>
                <w:p w14:paraId="0627BC2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46E1B3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5710D72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tcBorders>
                    <w:tl2br w:val="nil"/>
                    <w:tr2bl w:val="nil"/>
                  </w:tcBorders>
                  <w:vAlign w:val="center"/>
                </w:tcPr>
                <w:p w14:paraId="46D08EBA">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废气处理</w:t>
                  </w:r>
                </w:p>
              </w:tc>
              <w:tc>
                <w:tcPr>
                  <w:tcW w:w="284" w:type="pct"/>
                  <w:tcBorders>
                    <w:tl2br w:val="nil"/>
                    <w:tr2bl w:val="nil"/>
                  </w:tcBorders>
                  <w:vAlign w:val="center"/>
                </w:tcPr>
                <w:p w14:paraId="18B6E906">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S14</w:t>
                  </w:r>
                </w:p>
              </w:tc>
              <w:tc>
                <w:tcPr>
                  <w:tcW w:w="878" w:type="pct"/>
                  <w:tcBorders>
                    <w:tl2br w:val="nil"/>
                    <w:tr2bl w:val="nil"/>
                  </w:tcBorders>
                  <w:vAlign w:val="center"/>
                </w:tcPr>
                <w:p w14:paraId="1070CE6F">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废活性炭</w:t>
                  </w:r>
                </w:p>
              </w:tc>
              <w:tc>
                <w:tcPr>
                  <w:tcW w:w="1055" w:type="pct"/>
                  <w:tcBorders>
                    <w:tl2br w:val="nil"/>
                    <w:tr2bl w:val="nil"/>
                  </w:tcBorders>
                  <w:vAlign w:val="center"/>
                </w:tcPr>
                <w:p w14:paraId="03C9F87F">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活性炭、有机废气</w:t>
                  </w:r>
                </w:p>
              </w:tc>
              <w:tc>
                <w:tcPr>
                  <w:tcW w:w="1028" w:type="pct"/>
                  <w:vMerge w:val="continue"/>
                  <w:tcBorders>
                    <w:tl2br w:val="nil"/>
                    <w:tr2bl w:val="nil"/>
                  </w:tcBorders>
                  <w:vAlign w:val="center"/>
                </w:tcPr>
                <w:p w14:paraId="1492AECC">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706" w:type="pct"/>
                  <w:vMerge w:val="continue"/>
                  <w:tcBorders>
                    <w:tl2br w:val="nil"/>
                    <w:tr2bl w:val="nil"/>
                  </w:tcBorders>
                  <w:vAlign w:val="center"/>
                </w:tcPr>
                <w:p w14:paraId="4450BB1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395EDA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02E3307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tcBorders>
                    <w:tl2br w:val="nil"/>
                    <w:tr2bl w:val="nil"/>
                  </w:tcBorders>
                  <w:vAlign w:val="center"/>
                </w:tcPr>
                <w:p w14:paraId="3266AA3C">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废水处理</w:t>
                  </w:r>
                </w:p>
              </w:tc>
              <w:tc>
                <w:tcPr>
                  <w:tcW w:w="284" w:type="pct"/>
                  <w:tcBorders>
                    <w:tl2br w:val="nil"/>
                    <w:tr2bl w:val="nil"/>
                  </w:tcBorders>
                  <w:vAlign w:val="center"/>
                </w:tcPr>
                <w:p w14:paraId="390D4A2A">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S15</w:t>
                  </w:r>
                </w:p>
              </w:tc>
              <w:tc>
                <w:tcPr>
                  <w:tcW w:w="878" w:type="pct"/>
                  <w:tcBorders>
                    <w:tl2br w:val="nil"/>
                    <w:tr2bl w:val="nil"/>
                  </w:tcBorders>
                  <w:vAlign w:val="center"/>
                </w:tcPr>
                <w:p w14:paraId="34733F5F">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污泥</w:t>
                  </w:r>
                </w:p>
              </w:tc>
              <w:tc>
                <w:tcPr>
                  <w:tcW w:w="1055" w:type="pct"/>
                  <w:tcBorders>
                    <w:tl2br w:val="nil"/>
                    <w:tr2bl w:val="nil"/>
                  </w:tcBorders>
                  <w:vAlign w:val="center"/>
                </w:tcPr>
                <w:p w14:paraId="52C94043">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污泥</w:t>
                  </w:r>
                </w:p>
              </w:tc>
              <w:tc>
                <w:tcPr>
                  <w:tcW w:w="1028" w:type="pct"/>
                  <w:vMerge w:val="continue"/>
                  <w:tcBorders>
                    <w:tl2br w:val="nil"/>
                    <w:tr2bl w:val="nil"/>
                  </w:tcBorders>
                  <w:vAlign w:val="center"/>
                </w:tcPr>
                <w:p w14:paraId="0FF24B65">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706" w:type="pct"/>
                  <w:vMerge w:val="continue"/>
                  <w:tcBorders>
                    <w:tl2br w:val="nil"/>
                    <w:tr2bl w:val="nil"/>
                  </w:tcBorders>
                  <w:vAlign w:val="center"/>
                </w:tcPr>
                <w:p w14:paraId="6692389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74F13E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40C528F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tcBorders>
                    <w:tl2br w:val="nil"/>
                    <w:tr2bl w:val="nil"/>
                  </w:tcBorders>
                  <w:vAlign w:val="center"/>
                </w:tcPr>
                <w:p w14:paraId="7CE3FCAA">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空压机运行</w:t>
                  </w:r>
                </w:p>
              </w:tc>
              <w:tc>
                <w:tcPr>
                  <w:tcW w:w="284" w:type="pct"/>
                  <w:tcBorders>
                    <w:tl2br w:val="nil"/>
                    <w:tr2bl w:val="nil"/>
                  </w:tcBorders>
                  <w:vAlign w:val="center"/>
                </w:tcPr>
                <w:p w14:paraId="64843EB1">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S16</w:t>
                  </w:r>
                </w:p>
              </w:tc>
              <w:tc>
                <w:tcPr>
                  <w:tcW w:w="878" w:type="pct"/>
                  <w:tcBorders>
                    <w:tl2br w:val="nil"/>
                    <w:tr2bl w:val="nil"/>
                  </w:tcBorders>
                  <w:vAlign w:val="center"/>
                </w:tcPr>
                <w:p w14:paraId="3311D46F">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含油废液</w:t>
                  </w:r>
                </w:p>
              </w:tc>
              <w:tc>
                <w:tcPr>
                  <w:tcW w:w="1055" w:type="pct"/>
                  <w:tcBorders>
                    <w:tl2br w:val="nil"/>
                    <w:tr2bl w:val="nil"/>
                  </w:tcBorders>
                  <w:vAlign w:val="center"/>
                </w:tcPr>
                <w:p w14:paraId="53BF91EE">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矿物油、水</w:t>
                  </w:r>
                </w:p>
              </w:tc>
              <w:tc>
                <w:tcPr>
                  <w:tcW w:w="1028" w:type="pct"/>
                  <w:vMerge w:val="continue"/>
                  <w:tcBorders>
                    <w:tl2br w:val="nil"/>
                    <w:tr2bl w:val="nil"/>
                  </w:tcBorders>
                  <w:vAlign w:val="center"/>
                </w:tcPr>
                <w:p w14:paraId="4D1229A5">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706" w:type="pct"/>
                  <w:vMerge w:val="continue"/>
                  <w:tcBorders>
                    <w:tl2br w:val="nil"/>
                    <w:tr2bl w:val="nil"/>
                  </w:tcBorders>
                  <w:vAlign w:val="center"/>
                </w:tcPr>
                <w:p w14:paraId="3400FAB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08E3AE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70207CB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vMerge w:val="restart"/>
                  <w:tcBorders>
                    <w:tl2br w:val="nil"/>
                    <w:tr2bl w:val="nil"/>
                  </w:tcBorders>
                  <w:vAlign w:val="center"/>
                </w:tcPr>
                <w:p w14:paraId="2EC0A5E3">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员工生活</w:t>
                  </w:r>
                </w:p>
              </w:tc>
              <w:tc>
                <w:tcPr>
                  <w:tcW w:w="284" w:type="pct"/>
                  <w:tcBorders>
                    <w:tl2br w:val="nil"/>
                    <w:tr2bl w:val="nil"/>
                  </w:tcBorders>
                  <w:vAlign w:val="center"/>
                </w:tcPr>
                <w:p w14:paraId="3CDB2AE0">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S17</w:t>
                  </w:r>
                </w:p>
              </w:tc>
              <w:tc>
                <w:tcPr>
                  <w:tcW w:w="878" w:type="pct"/>
                  <w:tcBorders>
                    <w:tl2br w:val="nil"/>
                    <w:tr2bl w:val="nil"/>
                  </w:tcBorders>
                  <w:vAlign w:val="center"/>
                </w:tcPr>
                <w:p w14:paraId="268F5108">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生活垃圾</w:t>
                  </w:r>
                </w:p>
              </w:tc>
              <w:tc>
                <w:tcPr>
                  <w:tcW w:w="1055" w:type="pct"/>
                  <w:tcBorders>
                    <w:tl2br w:val="nil"/>
                    <w:tr2bl w:val="nil"/>
                  </w:tcBorders>
                  <w:vAlign w:val="center"/>
                </w:tcPr>
                <w:p w14:paraId="3F79367D">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纸屑等</w:t>
                  </w:r>
                </w:p>
              </w:tc>
              <w:tc>
                <w:tcPr>
                  <w:tcW w:w="1028" w:type="pct"/>
                  <w:tcBorders>
                    <w:tl2br w:val="nil"/>
                    <w:tr2bl w:val="nil"/>
                  </w:tcBorders>
                  <w:vAlign w:val="center"/>
                </w:tcPr>
                <w:p w14:paraId="0329742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环卫清运</w:t>
                  </w:r>
                </w:p>
              </w:tc>
              <w:tc>
                <w:tcPr>
                  <w:tcW w:w="706" w:type="pct"/>
                  <w:vMerge w:val="continue"/>
                  <w:tcBorders>
                    <w:tl2br w:val="nil"/>
                    <w:tr2bl w:val="nil"/>
                  </w:tcBorders>
                  <w:vAlign w:val="center"/>
                </w:tcPr>
                <w:p w14:paraId="7B552C9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4E00DB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vMerge w:val="continue"/>
                  <w:tcBorders>
                    <w:tl2br w:val="nil"/>
                    <w:tr2bl w:val="nil"/>
                  </w:tcBorders>
                  <w:vAlign w:val="center"/>
                </w:tcPr>
                <w:p w14:paraId="5266CB4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33" w:type="pct"/>
                  <w:vMerge w:val="continue"/>
                  <w:tcBorders>
                    <w:tl2br w:val="nil"/>
                    <w:tr2bl w:val="nil"/>
                  </w:tcBorders>
                  <w:vAlign w:val="center"/>
                </w:tcPr>
                <w:p w14:paraId="0004848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c>
                <w:tcPr>
                  <w:tcW w:w="284" w:type="pct"/>
                  <w:tcBorders>
                    <w:tl2br w:val="nil"/>
                    <w:tr2bl w:val="nil"/>
                  </w:tcBorders>
                  <w:vAlign w:val="center"/>
                </w:tcPr>
                <w:p w14:paraId="51DBEC7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S18</w:t>
                  </w:r>
                </w:p>
              </w:tc>
              <w:tc>
                <w:tcPr>
                  <w:tcW w:w="878" w:type="pct"/>
                  <w:tcBorders>
                    <w:tl2br w:val="nil"/>
                    <w:tr2bl w:val="nil"/>
                  </w:tcBorders>
                  <w:vAlign w:val="center"/>
                </w:tcPr>
                <w:p w14:paraId="589EB24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食堂垃圾</w:t>
                  </w:r>
                </w:p>
              </w:tc>
              <w:tc>
                <w:tcPr>
                  <w:tcW w:w="1055" w:type="pct"/>
                  <w:tcBorders>
                    <w:tl2br w:val="nil"/>
                    <w:tr2bl w:val="nil"/>
                  </w:tcBorders>
                  <w:vAlign w:val="center"/>
                </w:tcPr>
                <w:p w14:paraId="784E3FD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果皮等</w:t>
                  </w:r>
                </w:p>
              </w:tc>
              <w:tc>
                <w:tcPr>
                  <w:tcW w:w="1028" w:type="pct"/>
                  <w:tcBorders>
                    <w:tl2br w:val="nil"/>
                    <w:tr2bl w:val="nil"/>
                  </w:tcBorders>
                  <w:vAlign w:val="center"/>
                </w:tcPr>
                <w:p w14:paraId="60EF9CE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环卫清运</w:t>
                  </w:r>
                </w:p>
              </w:tc>
              <w:tc>
                <w:tcPr>
                  <w:tcW w:w="706" w:type="pct"/>
                  <w:vMerge w:val="continue"/>
                  <w:tcBorders>
                    <w:tl2br w:val="nil"/>
                    <w:tr2bl w:val="nil"/>
                  </w:tcBorders>
                  <w:vAlign w:val="center"/>
                </w:tcPr>
                <w:p w14:paraId="6AC2036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042515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12" w:type="pct"/>
                  <w:tcBorders>
                    <w:tl2br w:val="nil"/>
                    <w:tr2bl w:val="nil"/>
                  </w:tcBorders>
                  <w:vAlign w:val="center"/>
                </w:tcPr>
                <w:p w14:paraId="537DE6D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噪声</w:t>
                  </w:r>
                </w:p>
              </w:tc>
              <w:tc>
                <w:tcPr>
                  <w:tcW w:w="733" w:type="pct"/>
                  <w:tcBorders>
                    <w:tl2br w:val="nil"/>
                    <w:tr2bl w:val="nil"/>
                  </w:tcBorders>
                  <w:vAlign w:val="center"/>
                </w:tcPr>
                <w:p w14:paraId="7E2DA79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组装</w:t>
                  </w:r>
                </w:p>
              </w:tc>
              <w:tc>
                <w:tcPr>
                  <w:tcW w:w="284" w:type="pct"/>
                  <w:tcBorders>
                    <w:tl2br w:val="nil"/>
                    <w:tr2bl w:val="nil"/>
                  </w:tcBorders>
                  <w:vAlign w:val="center"/>
                </w:tcPr>
                <w:p w14:paraId="39D3CE1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N</w:t>
                  </w:r>
                </w:p>
              </w:tc>
              <w:tc>
                <w:tcPr>
                  <w:tcW w:w="878" w:type="pct"/>
                  <w:tcBorders>
                    <w:tl2br w:val="nil"/>
                    <w:tr2bl w:val="nil"/>
                  </w:tcBorders>
                  <w:vAlign w:val="center"/>
                </w:tcPr>
                <w:p w14:paraId="2BAD6ED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噪声</w:t>
                  </w:r>
                </w:p>
              </w:tc>
              <w:tc>
                <w:tcPr>
                  <w:tcW w:w="1055" w:type="pct"/>
                  <w:tcBorders>
                    <w:tl2br w:val="nil"/>
                    <w:tr2bl w:val="nil"/>
                  </w:tcBorders>
                  <w:vAlign w:val="center"/>
                </w:tcPr>
                <w:p w14:paraId="45D7E18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等效A声级</w:t>
                  </w:r>
                </w:p>
              </w:tc>
              <w:tc>
                <w:tcPr>
                  <w:tcW w:w="1028" w:type="pct"/>
                  <w:tcBorders>
                    <w:tl2br w:val="nil"/>
                    <w:tr2bl w:val="nil"/>
                  </w:tcBorders>
                  <w:vAlign w:val="center"/>
                </w:tcPr>
                <w:p w14:paraId="388E981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default" w:ascii="Times New Roman" w:hAnsi="Times New Roman" w:eastAsia="宋体"/>
                      <w:color w:val="auto"/>
                      <w:highlight w:val="none"/>
                    </w:rPr>
                    <w:t>减振</w:t>
                  </w:r>
                  <w:r>
                    <w:rPr>
                      <w:rFonts w:hint="eastAsia"/>
                      <w:color w:val="auto"/>
                      <w:highlight w:val="none"/>
                      <w:lang w:eastAsia="zh-CN"/>
                    </w:rPr>
                    <w:t>、</w:t>
                  </w:r>
                  <w:r>
                    <w:rPr>
                      <w:rFonts w:hint="default" w:ascii="Times New Roman" w:hAnsi="Times New Roman" w:eastAsia="宋体"/>
                      <w:color w:val="auto"/>
                      <w:highlight w:val="none"/>
                    </w:rPr>
                    <w:t>隔声</w:t>
                  </w:r>
                  <w:r>
                    <w:rPr>
                      <w:rFonts w:hint="eastAsia"/>
                      <w:color w:val="auto"/>
                      <w:highlight w:val="none"/>
                      <w:lang w:eastAsia="zh-CN"/>
                    </w:rPr>
                    <w:t>、</w:t>
                  </w:r>
                  <w:r>
                    <w:rPr>
                      <w:rFonts w:hint="eastAsia" w:ascii="Times New Roman" w:hAnsi="Times New Roman" w:eastAsia="宋体"/>
                      <w:color w:val="auto"/>
                      <w:highlight w:val="none"/>
                      <w:lang w:val="en-US" w:eastAsia="zh-CN"/>
                    </w:rPr>
                    <w:t>消声</w:t>
                  </w:r>
                </w:p>
              </w:tc>
              <w:tc>
                <w:tcPr>
                  <w:tcW w:w="706" w:type="pct"/>
                  <w:tcBorders>
                    <w:tl2br w:val="nil"/>
                    <w:tr2bl w:val="nil"/>
                  </w:tcBorders>
                  <w:vAlign w:val="center"/>
                </w:tcPr>
                <w:p w14:paraId="259703B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w:t>
                  </w:r>
                </w:p>
              </w:tc>
            </w:tr>
          </w:tbl>
          <w:p w14:paraId="09A9CA10">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p>
        </w:tc>
      </w:tr>
      <w:tr w14:paraId="5509EF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286" w:type="dxa"/>
            <w:gridSpan w:val="2"/>
            <w:tcMar>
              <w:top w:w="16" w:type="dxa"/>
              <w:left w:w="16" w:type="dxa"/>
              <w:right w:w="16" w:type="dxa"/>
            </w:tcMar>
            <w:vAlign w:val="center"/>
          </w:tcPr>
          <w:p w14:paraId="1C42D07D">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与项目有关的原有环境污染问题</w:t>
            </w:r>
          </w:p>
        </w:tc>
        <w:tc>
          <w:tcPr>
            <w:tcW w:w="7046" w:type="dxa"/>
            <w:vAlign w:val="center"/>
          </w:tcPr>
          <w:p w14:paraId="2DA3688D">
            <w:pPr>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本项目在</w:t>
            </w:r>
            <w:r>
              <w:rPr>
                <w:rFonts w:hint="eastAsia"/>
                <w:color w:val="auto"/>
                <w:highlight w:val="none"/>
                <w:lang w:val="en-US" w:eastAsia="zh-CN"/>
              </w:rPr>
              <w:t>已建</w:t>
            </w:r>
            <w:r>
              <w:rPr>
                <w:rFonts w:hint="eastAsia" w:ascii="Times New Roman" w:hAnsi="Times New Roman" w:eastAsia="宋体"/>
                <w:color w:val="auto"/>
                <w:highlight w:val="none"/>
                <w:lang w:val="en-US" w:eastAsia="zh-CN"/>
              </w:rPr>
              <w:t>厂房内进行建设，施工期主要为设备的调试，无土建施工阶段，对周围环境影响较小。本次评价不作详细分析。</w:t>
            </w:r>
          </w:p>
        </w:tc>
      </w:tr>
    </w:tbl>
    <w:p w14:paraId="52ACC6F0">
      <w:pPr>
        <w:ind w:firstLine="480"/>
        <w:rPr>
          <w:rFonts w:ascii="Times New Roman" w:hAnsi="Times New Roman" w:eastAsia="宋体"/>
          <w:color w:val="auto"/>
          <w:highlight w:val="none"/>
        </w:rPr>
        <w:sectPr>
          <w:headerReference r:id="rId11" w:type="default"/>
          <w:footerReference r:id="rId12"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pPr>
    </w:p>
    <w:p w14:paraId="29AAF1B4">
      <w:pPr>
        <w:pStyle w:val="2"/>
        <w:spacing w:before="156"/>
        <w:rPr>
          <w:rFonts w:ascii="Times New Roman" w:hAnsi="Times New Roman" w:eastAsia="宋体"/>
          <w:color w:val="auto"/>
          <w:sz w:val="30"/>
          <w:szCs w:val="30"/>
          <w:highlight w:val="none"/>
          <w:lang w:val="en-US"/>
        </w:rPr>
      </w:pPr>
      <w:r>
        <w:rPr>
          <w:rFonts w:hint="eastAsia" w:ascii="Times New Roman" w:hAnsi="Times New Roman" w:eastAsia="宋体"/>
          <w:color w:val="auto"/>
          <w:sz w:val="30"/>
          <w:szCs w:val="30"/>
          <w:highlight w:val="none"/>
          <w:lang w:val="en-US"/>
        </w:rPr>
        <w:t>三、区域环境质量现状、环境保护目标及评价标准</w:t>
      </w:r>
    </w:p>
    <w:tbl>
      <w:tblPr>
        <w:tblStyle w:val="1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454"/>
        <w:gridCol w:w="7878"/>
      </w:tblGrid>
      <w:tr w14:paraId="0C3D75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454" w:type="dxa"/>
            <w:tcMar>
              <w:top w:w="16" w:type="dxa"/>
              <w:left w:w="16" w:type="dxa"/>
              <w:right w:w="16" w:type="dxa"/>
            </w:tcMar>
            <w:vAlign w:val="center"/>
          </w:tcPr>
          <w:p w14:paraId="1E0755E4">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区域环境质量现状</w:t>
            </w:r>
          </w:p>
        </w:tc>
        <w:tc>
          <w:tcPr>
            <w:tcW w:w="7878" w:type="dxa"/>
            <w:vAlign w:val="center"/>
          </w:tcPr>
          <w:p w14:paraId="1A76DAF4">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1、大气环境</w:t>
            </w:r>
          </w:p>
          <w:p w14:paraId="5CBA9549">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（1）达标区判定</w:t>
            </w:r>
          </w:p>
          <w:p w14:paraId="40581C43">
            <w:pPr>
              <w:keepNext w:val="0"/>
              <w:keepLines w:val="0"/>
              <w:suppressLineNumbers w:val="0"/>
              <w:spacing w:before="0" w:beforeAutospacing="0" w:after="0" w:afterAutospacing="0"/>
              <w:ind w:left="0" w:right="0" w:firstLine="480"/>
              <w:rPr>
                <w:rFonts w:hint="default"/>
                <w:color w:val="auto"/>
                <w:highlight w:val="none"/>
                <w:lang w:val="en-US"/>
              </w:rPr>
            </w:pPr>
            <w:r>
              <w:rPr>
                <w:rFonts w:hint="default"/>
                <w:color w:val="auto"/>
                <w:highlight w:val="none"/>
                <w:lang w:val="en-US"/>
              </w:rPr>
              <w:t>根据《202</w:t>
            </w:r>
            <w:r>
              <w:rPr>
                <w:rFonts w:hint="eastAsia"/>
                <w:color w:val="auto"/>
                <w:highlight w:val="none"/>
                <w:lang w:val="en-US" w:eastAsia="zh-CN"/>
              </w:rPr>
              <w:t>4</w:t>
            </w:r>
            <w:r>
              <w:rPr>
                <w:rFonts w:hint="default"/>
                <w:color w:val="auto"/>
                <w:highlight w:val="none"/>
                <w:lang w:val="en-US"/>
              </w:rPr>
              <w:t>年南京市生态环境状况公报》，全市环境空气质量达到二级标准的天数为314天，同比增加15天，达标率为85.8%，同比上升3.9个百分点。其中，达到一级标准天数为112天，同比增加16天；未达到二级标准的天数为52天（轻度污染47天，中度污染5天</w:t>
            </w:r>
            <w:r>
              <w:rPr>
                <w:rFonts w:hint="eastAsia"/>
                <w:color w:val="auto"/>
                <w:highlight w:val="none"/>
                <w:lang w:val="en-US" w:eastAsia="zh-CN"/>
              </w:rPr>
              <w:t>），</w:t>
            </w:r>
            <w:r>
              <w:rPr>
                <w:rFonts w:hint="default"/>
                <w:color w:val="auto"/>
                <w:highlight w:val="none"/>
                <w:lang w:val="en-US"/>
              </w:rPr>
              <w:t>主要污染物为O</w:t>
            </w:r>
            <w:r>
              <w:rPr>
                <w:rFonts w:hint="eastAsia"/>
                <w:color w:val="auto"/>
                <w:highlight w:val="none"/>
                <w:vertAlign w:val="subscript"/>
                <w:lang w:val="en-US" w:eastAsia="zh-CN"/>
              </w:rPr>
              <w:t>3</w:t>
            </w:r>
            <w:r>
              <w:rPr>
                <w:rFonts w:hint="default"/>
                <w:color w:val="auto"/>
                <w:highlight w:val="none"/>
                <w:lang w:val="en-US"/>
              </w:rPr>
              <w:t>和PM</w:t>
            </w:r>
            <w:r>
              <w:rPr>
                <w:rFonts w:hint="eastAsia"/>
                <w:color w:val="auto"/>
                <w:highlight w:val="none"/>
                <w:vertAlign w:val="subscript"/>
                <w:lang w:val="en-US" w:eastAsia="zh-CN"/>
              </w:rPr>
              <w:t>2.5</w:t>
            </w:r>
            <w:r>
              <w:rPr>
                <w:rFonts w:hint="default"/>
                <w:color w:val="auto"/>
                <w:highlight w:val="none"/>
                <w:lang w:val="en-US"/>
              </w:rPr>
              <w:t>。各项污染物指标监测结果：PM</w:t>
            </w:r>
            <w:r>
              <w:rPr>
                <w:rFonts w:hint="default"/>
                <w:color w:val="auto"/>
                <w:highlight w:val="none"/>
                <w:vertAlign w:val="subscript"/>
                <w:lang w:val="en-US"/>
              </w:rPr>
              <w:t>2</w:t>
            </w:r>
            <w:r>
              <w:rPr>
                <w:rFonts w:hint="eastAsia"/>
                <w:color w:val="auto"/>
                <w:highlight w:val="none"/>
                <w:vertAlign w:val="subscript"/>
                <w:lang w:val="en-US" w:eastAsia="zh-CN"/>
              </w:rPr>
              <w:t>.</w:t>
            </w:r>
            <w:r>
              <w:rPr>
                <w:rFonts w:hint="default"/>
                <w:color w:val="auto"/>
                <w:highlight w:val="none"/>
                <w:vertAlign w:val="subscript"/>
                <w:lang w:val="en-US"/>
              </w:rPr>
              <w:t>5</w:t>
            </w:r>
            <w:r>
              <w:rPr>
                <w:rFonts w:hint="default"/>
                <w:color w:val="auto"/>
                <w:highlight w:val="none"/>
                <w:lang w:val="en-US"/>
              </w:rPr>
              <w:t>年均值为28.3μg/m</w:t>
            </w:r>
            <w:r>
              <w:rPr>
                <w:rFonts w:hint="eastAsia"/>
                <w:color w:val="auto"/>
                <w:highlight w:val="none"/>
                <w:vertAlign w:val="superscript"/>
                <w:lang w:val="en-US" w:eastAsia="zh-CN"/>
              </w:rPr>
              <w:t>3，</w:t>
            </w:r>
            <w:r>
              <w:rPr>
                <w:rFonts w:hint="default"/>
                <w:color w:val="auto"/>
                <w:highlight w:val="none"/>
                <w:lang w:val="en-US"/>
              </w:rPr>
              <w:t>达标，同比下降1.0%</w:t>
            </w:r>
            <w:r>
              <w:rPr>
                <w:rFonts w:hint="eastAsia"/>
                <w:color w:val="auto"/>
                <w:highlight w:val="none"/>
                <w:lang w:val="en-US" w:eastAsia="zh-CN"/>
              </w:rPr>
              <w:t>；</w:t>
            </w:r>
            <w:r>
              <w:rPr>
                <w:rFonts w:hint="default"/>
                <w:color w:val="auto"/>
                <w:highlight w:val="none"/>
                <w:lang w:val="en-US"/>
              </w:rPr>
              <w:t>PM</w:t>
            </w:r>
            <w:r>
              <w:rPr>
                <w:rFonts w:hint="default"/>
                <w:color w:val="auto"/>
                <w:highlight w:val="none"/>
                <w:vertAlign w:val="subscript"/>
                <w:lang w:val="en-US"/>
              </w:rPr>
              <w:t>10</w:t>
            </w:r>
            <w:r>
              <w:rPr>
                <w:rFonts w:hint="default"/>
                <w:color w:val="auto"/>
                <w:highlight w:val="none"/>
                <w:lang w:val="en-US"/>
              </w:rPr>
              <w:t>年均值为46μg/m</w:t>
            </w:r>
            <w:r>
              <w:rPr>
                <w:rFonts w:hint="eastAsia"/>
                <w:color w:val="auto"/>
                <w:highlight w:val="none"/>
                <w:vertAlign w:val="superscript"/>
                <w:lang w:val="en-US" w:eastAsia="zh-CN"/>
              </w:rPr>
              <w:t>3，</w:t>
            </w:r>
            <w:r>
              <w:rPr>
                <w:rFonts w:hint="default"/>
                <w:color w:val="auto"/>
                <w:highlight w:val="none"/>
                <w:lang w:val="en-US"/>
              </w:rPr>
              <w:t>达标，同比下降11.5%</w:t>
            </w:r>
            <w:r>
              <w:rPr>
                <w:rFonts w:hint="eastAsia"/>
                <w:color w:val="auto"/>
                <w:highlight w:val="none"/>
                <w:lang w:val="en-US" w:eastAsia="zh-CN"/>
              </w:rPr>
              <w:t>；</w:t>
            </w:r>
            <w:r>
              <w:rPr>
                <w:rFonts w:hint="default"/>
                <w:color w:val="auto"/>
                <w:highlight w:val="none"/>
                <w:lang w:val="en-US"/>
              </w:rPr>
              <w:t>NO</w:t>
            </w:r>
            <w:r>
              <w:rPr>
                <w:rFonts w:hint="eastAsia"/>
                <w:color w:val="auto"/>
                <w:highlight w:val="none"/>
                <w:vertAlign w:val="subscript"/>
                <w:lang w:val="en-US" w:eastAsia="zh-CN"/>
              </w:rPr>
              <w:t>2</w:t>
            </w:r>
            <w:r>
              <w:rPr>
                <w:rFonts w:hint="default"/>
                <w:color w:val="auto"/>
                <w:highlight w:val="none"/>
                <w:lang w:val="en-US"/>
              </w:rPr>
              <w:t>年均值为24μg/m</w:t>
            </w:r>
            <w:r>
              <w:rPr>
                <w:rFonts w:hint="eastAsia"/>
                <w:color w:val="auto"/>
                <w:highlight w:val="none"/>
                <w:vertAlign w:val="superscript"/>
                <w:lang w:val="en-US" w:eastAsia="zh-CN"/>
              </w:rPr>
              <w:t>3</w:t>
            </w:r>
            <w:r>
              <w:rPr>
                <w:rFonts w:hint="eastAsia"/>
                <w:color w:val="auto"/>
                <w:highlight w:val="none"/>
                <w:vertAlign w:val="baseline"/>
                <w:lang w:val="en-US" w:eastAsia="zh-CN"/>
              </w:rPr>
              <w:t>，</w:t>
            </w:r>
            <w:r>
              <w:rPr>
                <w:rFonts w:hint="default"/>
                <w:color w:val="auto"/>
                <w:highlight w:val="none"/>
                <w:lang w:val="en-US"/>
              </w:rPr>
              <w:t>达标，同比下降11.1%</w:t>
            </w:r>
            <w:r>
              <w:rPr>
                <w:rFonts w:hint="eastAsia"/>
                <w:color w:val="auto"/>
                <w:highlight w:val="none"/>
                <w:lang w:val="en-US" w:eastAsia="zh-CN"/>
              </w:rPr>
              <w:t>；</w:t>
            </w:r>
            <w:r>
              <w:rPr>
                <w:rFonts w:hint="default"/>
                <w:color w:val="auto"/>
                <w:highlight w:val="none"/>
                <w:lang w:val="en-US"/>
              </w:rPr>
              <w:t>SO</w:t>
            </w:r>
            <w:r>
              <w:rPr>
                <w:rFonts w:hint="eastAsia"/>
                <w:color w:val="auto"/>
                <w:highlight w:val="none"/>
                <w:vertAlign w:val="subscript"/>
                <w:lang w:val="en-US" w:eastAsia="zh-CN"/>
              </w:rPr>
              <w:t>2</w:t>
            </w:r>
            <w:r>
              <w:rPr>
                <w:rFonts w:hint="default"/>
                <w:color w:val="auto"/>
                <w:highlight w:val="none"/>
                <w:lang w:val="en-US"/>
              </w:rPr>
              <w:t>年均值为6μg/m</w:t>
            </w:r>
            <w:r>
              <w:rPr>
                <w:rFonts w:hint="eastAsia"/>
                <w:color w:val="auto"/>
                <w:highlight w:val="none"/>
                <w:vertAlign w:val="superscript"/>
                <w:lang w:val="en-US" w:eastAsia="zh-CN"/>
              </w:rPr>
              <w:t>3</w:t>
            </w:r>
            <w:r>
              <w:rPr>
                <w:rFonts w:hint="eastAsia"/>
                <w:color w:val="auto"/>
                <w:highlight w:val="none"/>
                <w:vertAlign w:val="baseline"/>
                <w:lang w:val="en-US" w:eastAsia="zh-CN"/>
              </w:rPr>
              <w:t>，</w:t>
            </w:r>
            <w:r>
              <w:rPr>
                <w:rFonts w:hint="default"/>
                <w:color w:val="auto"/>
                <w:highlight w:val="none"/>
                <w:lang w:val="en-US"/>
              </w:rPr>
              <w:t>达标，同比持平；CO日均浓度第95百分位数为0.9mg/m</w:t>
            </w:r>
            <w:r>
              <w:rPr>
                <w:rFonts w:hint="eastAsia"/>
                <w:color w:val="auto"/>
                <w:highlight w:val="none"/>
                <w:vertAlign w:val="superscript"/>
                <w:lang w:val="en-US" w:eastAsia="zh-CN"/>
              </w:rPr>
              <w:t>3</w:t>
            </w:r>
            <w:r>
              <w:rPr>
                <w:rFonts w:hint="eastAsia"/>
                <w:color w:val="auto"/>
                <w:highlight w:val="none"/>
                <w:lang w:val="en-US" w:eastAsia="zh-CN"/>
              </w:rPr>
              <w:t>，</w:t>
            </w:r>
            <w:r>
              <w:rPr>
                <w:rFonts w:hint="default"/>
                <w:color w:val="auto"/>
                <w:highlight w:val="none"/>
                <w:lang w:val="en-US"/>
              </w:rPr>
              <w:t>达标，同比持平</w:t>
            </w:r>
            <w:r>
              <w:rPr>
                <w:rFonts w:hint="eastAsia"/>
                <w:color w:val="auto"/>
                <w:highlight w:val="none"/>
                <w:lang w:val="en-US" w:eastAsia="zh-CN"/>
              </w:rPr>
              <w:t>；</w:t>
            </w:r>
            <w:r>
              <w:rPr>
                <w:rFonts w:hint="default"/>
                <w:color w:val="auto"/>
                <w:highlight w:val="none"/>
                <w:lang w:val="en-US"/>
              </w:rPr>
              <w:t>O</w:t>
            </w:r>
            <w:r>
              <w:rPr>
                <w:rFonts w:hint="eastAsia"/>
                <w:color w:val="auto"/>
                <w:highlight w:val="none"/>
                <w:vertAlign w:val="subscript"/>
                <w:lang w:val="en-US" w:eastAsia="zh-CN"/>
              </w:rPr>
              <w:t>3</w:t>
            </w:r>
            <w:r>
              <w:rPr>
                <w:rFonts w:hint="default"/>
                <w:color w:val="auto"/>
                <w:highlight w:val="none"/>
                <w:lang w:val="en-US"/>
              </w:rPr>
              <w:t>日最大8小时浓度第90百分位数为162μg/m</w:t>
            </w:r>
            <w:r>
              <w:rPr>
                <w:rFonts w:hint="eastAsia"/>
                <w:color w:val="auto"/>
                <w:highlight w:val="none"/>
                <w:vertAlign w:val="superscript"/>
                <w:lang w:val="en-US" w:eastAsia="zh-CN"/>
              </w:rPr>
              <w:t>3</w:t>
            </w:r>
            <w:r>
              <w:rPr>
                <w:rFonts w:hint="eastAsia"/>
                <w:color w:val="auto"/>
                <w:highlight w:val="none"/>
                <w:lang w:val="en-US" w:eastAsia="zh-CN"/>
              </w:rPr>
              <w:t>，</w:t>
            </w:r>
            <w:r>
              <w:rPr>
                <w:rFonts w:hint="default"/>
                <w:color w:val="auto"/>
                <w:highlight w:val="none"/>
                <w:lang w:val="en-US"/>
              </w:rPr>
              <w:t>超标0.01倍</w:t>
            </w:r>
            <w:r>
              <w:rPr>
                <w:rFonts w:hint="eastAsia"/>
                <w:color w:val="auto"/>
                <w:highlight w:val="none"/>
                <w:lang w:val="en-US" w:eastAsia="zh-CN"/>
              </w:rPr>
              <w:t>，</w:t>
            </w:r>
            <w:r>
              <w:rPr>
                <w:rFonts w:hint="default"/>
                <w:color w:val="auto"/>
                <w:highlight w:val="none"/>
                <w:lang w:val="en-US"/>
              </w:rPr>
              <w:t>同比下降4.7%</w:t>
            </w:r>
            <w:r>
              <w:rPr>
                <w:rFonts w:hint="eastAsia"/>
                <w:color w:val="auto"/>
                <w:highlight w:val="none"/>
                <w:lang w:val="en-US" w:eastAsia="zh-CN"/>
              </w:rPr>
              <w:t>，</w:t>
            </w:r>
            <w:r>
              <w:rPr>
                <w:rFonts w:hint="default"/>
                <w:color w:val="auto"/>
                <w:highlight w:val="none"/>
                <w:lang w:val="en-US"/>
              </w:rPr>
              <w:t>超标天数38天，同比减少11天。</w:t>
            </w:r>
          </w:p>
          <w:p w14:paraId="363D82F2">
            <w:pPr>
              <w:pStyle w:val="23"/>
              <w:keepNext w:val="0"/>
              <w:keepLines w:val="0"/>
              <w:suppressLineNumbers w:val="0"/>
              <w:spacing w:before="0" w:beforeAutospacing="0" w:after="0" w:afterAutospacing="0"/>
              <w:ind w:left="0" w:right="0"/>
              <w:rPr>
                <w:rFonts w:hint="default"/>
                <w:color w:val="auto"/>
                <w:highlight w:val="none"/>
              </w:rPr>
            </w:pPr>
            <w:r>
              <w:rPr>
                <w:color w:val="auto"/>
                <w:highlight w:val="none"/>
              </w:rPr>
              <w:t>表3-1达标区判定一览表</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9"/>
              <w:gridCol w:w="1867"/>
              <w:gridCol w:w="1739"/>
              <w:gridCol w:w="1555"/>
              <w:gridCol w:w="1100"/>
              <w:gridCol w:w="890"/>
            </w:tblGrid>
            <w:tr w14:paraId="4356D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1" w:type="pct"/>
                  <w:tcBorders>
                    <w:tl2br w:val="nil"/>
                    <w:tr2bl w:val="nil"/>
                  </w:tcBorders>
                  <w:vAlign w:val="center"/>
                </w:tcPr>
                <w:p w14:paraId="70D54E9C">
                  <w:pPr>
                    <w:pStyle w:val="21"/>
                    <w:keepNext w:val="0"/>
                    <w:keepLines w:val="0"/>
                    <w:suppressLineNumbers w:val="0"/>
                    <w:spacing w:before="0" w:beforeAutospacing="0" w:after="0" w:afterAutospacing="0"/>
                    <w:ind w:left="0" w:right="0"/>
                    <w:rPr>
                      <w:rFonts w:hint="default"/>
                      <w:b/>
                      <w:bCs/>
                      <w:color w:val="auto"/>
                      <w:highlight w:val="none"/>
                    </w:rPr>
                  </w:pPr>
                  <w:r>
                    <w:rPr>
                      <w:rFonts w:hint="eastAsia"/>
                      <w:b/>
                      <w:bCs/>
                      <w:color w:val="auto"/>
                      <w:highlight w:val="none"/>
                    </w:rPr>
                    <w:t>污染物</w:t>
                  </w:r>
                </w:p>
              </w:tc>
              <w:tc>
                <w:tcPr>
                  <w:tcW w:w="1195" w:type="pct"/>
                  <w:tcBorders>
                    <w:tl2br w:val="nil"/>
                    <w:tr2bl w:val="nil"/>
                  </w:tcBorders>
                  <w:vAlign w:val="center"/>
                </w:tcPr>
                <w:p w14:paraId="4235A890">
                  <w:pPr>
                    <w:pStyle w:val="21"/>
                    <w:keepNext w:val="0"/>
                    <w:keepLines w:val="0"/>
                    <w:suppressLineNumbers w:val="0"/>
                    <w:spacing w:before="0" w:beforeAutospacing="0" w:after="0" w:afterAutospacing="0"/>
                    <w:ind w:left="0" w:right="0"/>
                    <w:rPr>
                      <w:rFonts w:hint="default"/>
                      <w:b/>
                      <w:bCs/>
                      <w:color w:val="auto"/>
                      <w:highlight w:val="none"/>
                    </w:rPr>
                  </w:pPr>
                  <w:r>
                    <w:rPr>
                      <w:rFonts w:hint="eastAsia"/>
                      <w:b/>
                      <w:bCs/>
                      <w:color w:val="auto"/>
                      <w:highlight w:val="none"/>
                    </w:rPr>
                    <w:t>评价指标</w:t>
                  </w:r>
                </w:p>
              </w:tc>
              <w:tc>
                <w:tcPr>
                  <w:tcW w:w="1113" w:type="pct"/>
                  <w:tcBorders>
                    <w:tl2br w:val="nil"/>
                    <w:tr2bl w:val="nil"/>
                  </w:tcBorders>
                  <w:vAlign w:val="center"/>
                </w:tcPr>
                <w:p w14:paraId="1F9079C0">
                  <w:pPr>
                    <w:pStyle w:val="21"/>
                    <w:keepNext w:val="0"/>
                    <w:keepLines w:val="0"/>
                    <w:suppressLineNumbers w:val="0"/>
                    <w:spacing w:before="0" w:beforeAutospacing="0" w:after="0" w:afterAutospacing="0"/>
                    <w:ind w:left="0" w:right="0"/>
                    <w:rPr>
                      <w:rFonts w:hint="default"/>
                      <w:b/>
                      <w:bCs/>
                      <w:color w:val="auto"/>
                      <w:highlight w:val="none"/>
                    </w:rPr>
                  </w:pPr>
                  <w:r>
                    <w:rPr>
                      <w:rFonts w:hint="eastAsia"/>
                      <w:b/>
                      <w:bCs/>
                      <w:color w:val="auto"/>
                      <w:highlight w:val="none"/>
                    </w:rPr>
                    <w:t>现状浓度（μg/m</w:t>
                  </w:r>
                  <w:r>
                    <w:rPr>
                      <w:rFonts w:hint="eastAsia"/>
                      <w:b/>
                      <w:bCs/>
                      <w:color w:val="auto"/>
                      <w:highlight w:val="none"/>
                      <w:vertAlign w:val="superscript"/>
                    </w:rPr>
                    <w:t>3</w:t>
                  </w:r>
                  <w:r>
                    <w:rPr>
                      <w:rFonts w:hint="eastAsia"/>
                      <w:b/>
                      <w:bCs/>
                      <w:color w:val="auto"/>
                      <w:highlight w:val="none"/>
                    </w:rPr>
                    <w:t>）</w:t>
                  </w:r>
                </w:p>
              </w:tc>
              <w:tc>
                <w:tcPr>
                  <w:tcW w:w="995" w:type="pct"/>
                  <w:tcBorders>
                    <w:tl2br w:val="nil"/>
                    <w:tr2bl w:val="nil"/>
                  </w:tcBorders>
                  <w:vAlign w:val="center"/>
                </w:tcPr>
                <w:p w14:paraId="049B81A3">
                  <w:pPr>
                    <w:pStyle w:val="21"/>
                    <w:keepNext w:val="0"/>
                    <w:keepLines w:val="0"/>
                    <w:suppressLineNumbers w:val="0"/>
                    <w:spacing w:before="0" w:beforeAutospacing="0" w:after="0" w:afterAutospacing="0"/>
                    <w:ind w:left="0" w:right="0"/>
                    <w:rPr>
                      <w:rFonts w:hint="default"/>
                      <w:b/>
                      <w:bCs/>
                      <w:color w:val="auto"/>
                      <w:highlight w:val="none"/>
                    </w:rPr>
                  </w:pPr>
                  <w:r>
                    <w:rPr>
                      <w:rFonts w:hint="eastAsia"/>
                      <w:b/>
                      <w:bCs/>
                      <w:color w:val="auto"/>
                      <w:highlight w:val="none"/>
                    </w:rPr>
                    <w:t>标准值（μg/m</w:t>
                  </w:r>
                  <w:r>
                    <w:rPr>
                      <w:rFonts w:hint="eastAsia"/>
                      <w:b/>
                      <w:bCs/>
                      <w:color w:val="auto"/>
                      <w:highlight w:val="none"/>
                      <w:vertAlign w:val="superscript"/>
                    </w:rPr>
                    <w:t>3</w:t>
                  </w:r>
                  <w:r>
                    <w:rPr>
                      <w:rFonts w:hint="eastAsia"/>
                      <w:b/>
                      <w:bCs/>
                      <w:color w:val="auto"/>
                      <w:highlight w:val="none"/>
                    </w:rPr>
                    <w:t>）</w:t>
                  </w:r>
                </w:p>
              </w:tc>
              <w:tc>
                <w:tcPr>
                  <w:tcW w:w="704" w:type="pct"/>
                  <w:tcBorders>
                    <w:tl2br w:val="nil"/>
                    <w:tr2bl w:val="nil"/>
                  </w:tcBorders>
                  <w:vAlign w:val="center"/>
                </w:tcPr>
                <w:p w14:paraId="5CC8F73F">
                  <w:pPr>
                    <w:pStyle w:val="21"/>
                    <w:keepNext w:val="0"/>
                    <w:keepLines w:val="0"/>
                    <w:suppressLineNumbers w:val="0"/>
                    <w:spacing w:before="0" w:beforeAutospacing="0" w:after="0" w:afterAutospacing="0"/>
                    <w:ind w:left="0" w:right="0"/>
                    <w:rPr>
                      <w:rFonts w:hint="default"/>
                      <w:b/>
                      <w:bCs/>
                      <w:color w:val="auto"/>
                      <w:highlight w:val="none"/>
                    </w:rPr>
                  </w:pPr>
                  <w:r>
                    <w:rPr>
                      <w:rFonts w:hint="eastAsia"/>
                      <w:b/>
                      <w:bCs/>
                      <w:color w:val="auto"/>
                      <w:highlight w:val="none"/>
                    </w:rPr>
                    <w:t>占标率（%）</w:t>
                  </w:r>
                </w:p>
              </w:tc>
              <w:tc>
                <w:tcPr>
                  <w:tcW w:w="569" w:type="pct"/>
                  <w:tcBorders>
                    <w:tl2br w:val="nil"/>
                    <w:tr2bl w:val="nil"/>
                  </w:tcBorders>
                  <w:vAlign w:val="center"/>
                </w:tcPr>
                <w:p w14:paraId="24C20C19">
                  <w:pPr>
                    <w:pStyle w:val="21"/>
                    <w:keepNext w:val="0"/>
                    <w:keepLines w:val="0"/>
                    <w:suppressLineNumbers w:val="0"/>
                    <w:spacing w:before="0" w:beforeAutospacing="0" w:after="0" w:afterAutospacing="0"/>
                    <w:ind w:left="0" w:right="0"/>
                    <w:rPr>
                      <w:rFonts w:hint="default"/>
                      <w:b/>
                      <w:bCs/>
                      <w:color w:val="auto"/>
                      <w:highlight w:val="none"/>
                    </w:rPr>
                  </w:pPr>
                  <w:r>
                    <w:rPr>
                      <w:rFonts w:hint="eastAsia"/>
                      <w:b/>
                      <w:bCs/>
                      <w:color w:val="auto"/>
                      <w:highlight w:val="none"/>
                    </w:rPr>
                    <w:t>达标情况</w:t>
                  </w:r>
                </w:p>
              </w:tc>
            </w:tr>
            <w:tr w14:paraId="62087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1" w:type="pct"/>
                  <w:vMerge w:val="restart"/>
                  <w:tcBorders>
                    <w:tl2br w:val="nil"/>
                    <w:tr2bl w:val="nil"/>
                  </w:tcBorders>
                  <w:vAlign w:val="center"/>
                </w:tcPr>
                <w:p w14:paraId="758C869E">
                  <w:pPr>
                    <w:pStyle w:val="21"/>
                    <w:keepNext w:val="0"/>
                    <w:keepLines w:val="0"/>
                    <w:suppressLineNumbers w:val="0"/>
                    <w:spacing w:before="0" w:beforeAutospacing="0" w:after="0" w:afterAutospacing="0"/>
                    <w:ind w:left="0" w:right="0"/>
                    <w:rPr>
                      <w:rFonts w:hint="default"/>
                      <w:color w:val="auto"/>
                      <w:highlight w:val="none"/>
                      <w:vertAlign w:val="subscript"/>
                      <w:lang w:val="en-US"/>
                    </w:rPr>
                  </w:pPr>
                  <w:r>
                    <w:rPr>
                      <w:rFonts w:hint="eastAsia"/>
                      <w:color w:val="auto"/>
                      <w:highlight w:val="none"/>
                      <w:lang w:val="en-US"/>
                    </w:rPr>
                    <w:t>PM</w:t>
                  </w:r>
                  <w:r>
                    <w:rPr>
                      <w:rFonts w:hint="eastAsia"/>
                      <w:color w:val="auto"/>
                      <w:highlight w:val="none"/>
                      <w:vertAlign w:val="subscript"/>
                      <w:lang w:val="en-US"/>
                    </w:rPr>
                    <w:t>2.5</w:t>
                  </w:r>
                </w:p>
              </w:tc>
              <w:tc>
                <w:tcPr>
                  <w:tcW w:w="1195" w:type="pct"/>
                  <w:tcBorders>
                    <w:tl2br w:val="nil"/>
                    <w:tr2bl w:val="nil"/>
                  </w:tcBorders>
                  <w:vAlign w:val="center"/>
                </w:tcPr>
                <w:p w14:paraId="2B154978">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年平均质量浓度</w:t>
                  </w:r>
                </w:p>
              </w:tc>
              <w:tc>
                <w:tcPr>
                  <w:tcW w:w="1113" w:type="pct"/>
                  <w:tcBorders>
                    <w:tl2br w:val="nil"/>
                    <w:tr2bl w:val="nil"/>
                  </w:tcBorders>
                  <w:vAlign w:val="center"/>
                </w:tcPr>
                <w:p w14:paraId="6AB053FD">
                  <w:pPr>
                    <w:pStyle w:val="21"/>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28.3</w:t>
                  </w:r>
                </w:p>
              </w:tc>
              <w:tc>
                <w:tcPr>
                  <w:tcW w:w="995" w:type="pct"/>
                  <w:tcBorders>
                    <w:tl2br w:val="nil"/>
                    <w:tr2bl w:val="nil"/>
                  </w:tcBorders>
                  <w:vAlign w:val="center"/>
                </w:tcPr>
                <w:p w14:paraId="0992F11F">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35</w:t>
                  </w:r>
                </w:p>
              </w:tc>
              <w:tc>
                <w:tcPr>
                  <w:tcW w:w="704" w:type="pct"/>
                  <w:tcBorders>
                    <w:tl2br w:val="nil"/>
                    <w:tr2bl w:val="nil"/>
                  </w:tcBorders>
                  <w:vAlign w:val="center"/>
                </w:tcPr>
                <w:p w14:paraId="6538EE6D">
                  <w:pPr>
                    <w:pStyle w:val="21"/>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80.9</w:t>
                  </w:r>
                </w:p>
              </w:tc>
              <w:tc>
                <w:tcPr>
                  <w:tcW w:w="569" w:type="pct"/>
                  <w:tcBorders>
                    <w:tl2br w:val="nil"/>
                    <w:tr2bl w:val="nil"/>
                  </w:tcBorders>
                  <w:vAlign w:val="center"/>
                </w:tcPr>
                <w:p w14:paraId="541FC654">
                  <w:pPr>
                    <w:pStyle w:val="21"/>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val="en-US"/>
                    </w:rPr>
                    <w:t>达标</w:t>
                  </w:r>
                </w:p>
              </w:tc>
            </w:tr>
            <w:tr w14:paraId="6EB38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1" w:type="pct"/>
                  <w:vMerge w:val="continue"/>
                  <w:tcBorders>
                    <w:tl2br w:val="nil"/>
                    <w:tr2bl w:val="nil"/>
                  </w:tcBorders>
                  <w:vAlign w:val="center"/>
                </w:tcPr>
                <w:p w14:paraId="7920B7CF">
                  <w:pPr>
                    <w:pStyle w:val="21"/>
                    <w:keepNext w:val="0"/>
                    <w:keepLines w:val="0"/>
                    <w:suppressLineNumbers w:val="0"/>
                    <w:spacing w:before="0" w:beforeAutospacing="0" w:after="0" w:afterAutospacing="0"/>
                    <w:ind w:left="0" w:right="0"/>
                    <w:rPr>
                      <w:rFonts w:hint="default"/>
                      <w:color w:val="auto"/>
                      <w:highlight w:val="none"/>
                    </w:rPr>
                  </w:pPr>
                </w:p>
              </w:tc>
              <w:tc>
                <w:tcPr>
                  <w:tcW w:w="1195" w:type="pct"/>
                  <w:tcBorders>
                    <w:tl2br w:val="nil"/>
                    <w:tr2bl w:val="nil"/>
                  </w:tcBorders>
                  <w:vAlign w:val="center"/>
                </w:tcPr>
                <w:p w14:paraId="77387FCD">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95百分位日均值</w:t>
                  </w:r>
                </w:p>
              </w:tc>
              <w:tc>
                <w:tcPr>
                  <w:tcW w:w="1113" w:type="pct"/>
                  <w:tcBorders>
                    <w:tl2br w:val="nil"/>
                    <w:tr2bl w:val="nil"/>
                  </w:tcBorders>
                  <w:vAlign w:val="center"/>
                </w:tcPr>
                <w:p w14:paraId="4D8BC233">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w:t>
                  </w:r>
                </w:p>
              </w:tc>
              <w:tc>
                <w:tcPr>
                  <w:tcW w:w="995" w:type="pct"/>
                  <w:tcBorders>
                    <w:tl2br w:val="nil"/>
                    <w:tr2bl w:val="nil"/>
                  </w:tcBorders>
                  <w:vAlign w:val="center"/>
                </w:tcPr>
                <w:p w14:paraId="05A5F992">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75</w:t>
                  </w:r>
                </w:p>
              </w:tc>
              <w:tc>
                <w:tcPr>
                  <w:tcW w:w="704" w:type="pct"/>
                  <w:tcBorders>
                    <w:tl2br w:val="nil"/>
                    <w:tr2bl w:val="nil"/>
                  </w:tcBorders>
                  <w:vAlign w:val="center"/>
                </w:tcPr>
                <w:p w14:paraId="4B63FDC0">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w:t>
                  </w:r>
                </w:p>
              </w:tc>
              <w:tc>
                <w:tcPr>
                  <w:tcW w:w="569" w:type="pct"/>
                  <w:tcBorders>
                    <w:tl2br w:val="nil"/>
                    <w:tr2bl w:val="nil"/>
                  </w:tcBorders>
                  <w:vAlign w:val="center"/>
                </w:tcPr>
                <w:p w14:paraId="560A92EE">
                  <w:pPr>
                    <w:pStyle w:val="21"/>
                    <w:keepNext w:val="0"/>
                    <w:keepLines w:val="0"/>
                    <w:suppressLineNumbers w:val="0"/>
                    <w:spacing w:before="0" w:beforeAutospacing="0" w:after="0" w:afterAutospacing="0"/>
                    <w:ind w:left="0" w:right="0"/>
                    <w:rPr>
                      <w:rFonts w:hint="eastAsia" w:eastAsia="宋体"/>
                      <w:color w:val="auto"/>
                      <w:highlight w:val="none"/>
                      <w:lang w:val="en-US" w:eastAsia="zh-CN"/>
                    </w:rPr>
                  </w:pPr>
                  <w:r>
                    <w:rPr>
                      <w:rFonts w:hint="eastAsia"/>
                      <w:color w:val="auto"/>
                      <w:highlight w:val="none"/>
                      <w:lang w:val="en-US" w:eastAsia="zh-CN"/>
                    </w:rPr>
                    <w:t>/</w:t>
                  </w:r>
                </w:p>
              </w:tc>
            </w:tr>
            <w:tr w14:paraId="24840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1" w:type="pct"/>
                  <w:vMerge w:val="restart"/>
                  <w:tcBorders>
                    <w:tl2br w:val="nil"/>
                    <w:tr2bl w:val="nil"/>
                  </w:tcBorders>
                  <w:vAlign w:val="center"/>
                </w:tcPr>
                <w:p w14:paraId="788F5B57">
                  <w:pPr>
                    <w:pStyle w:val="21"/>
                    <w:keepNext w:val="0"/>
                    <w:keepLines w:val="0"/>
                    <w:suppressLineNumbers w:val="0"/>
                    <w:spacing w:before="0" w:beforeAutospacing="0" w:after="0" w:afterAutospacing="0"/>
                    <w:ind w:left="0" w:right="0"/>
                    <w:rPr>
                      <w:rFonts w:hint="default"/>
                      <w:color w:val="auto"/>
                      <w:highlight w:val="none"/>
                      <w:vertAlign w:val="subscript"/>
                      <w:lang w:val="en-US"/>
                    </w:rPr>
                  </w:pPr>
                  <w:r>
                    <w:rPr>
                      <w:rFonts w:hint="eastAsia"/>
                      <w:color w:val="auto"/>
                      <w:highlight w:val="none"/>
                      <w:lang w:val="en-US"/>
                    </w:rPr>
                    <w:t>PM</w:t>
                  </w:r>
                  <w:r>
                    <w:rPr>
                      <w:rFonts w:hint="eastAsia"/>
                      <w:color w:val="auto"/>
                      <w:highlight w:val="none"/>
                      <w:vertAlign w:val="subscript"/>
                      <w:lang w:val="en-US"/>
                    </w:rPr>
                    <w:t>10</w:t>
                  </w:r>
                </w:p>
              </w:tc>
              <w:tc>
                <w:tcPr>
                  <w:tcW w:w="1195" w:type="pct"/>
                  <w:tcBorders>
                    <w:tl2br w:val="nil"/>
                    <w:tr2bl w:val="nil"/>
                  </w:tcBorders>
                  <w:vAlign w:val="center"/>
                </w:tcPr>
                <w:p w14:paraId="2EB01A9C">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年平均质量浓度</w:t>
                  </w:r>
                </w:p>
              </w:tc>
              <w:tc>
                <w:tcPr>
                  <w:tcW w:w="1113" w:type="pct"/>
                  <w:tcBorders>
                    <w:tl2br w:val="nil"/>
                    <w:tr2bl w:val="nil"/>
                  </w:tcBorders>
                  <w:vAlign w:val="center"/>
                </w:tcPr>
                <w:p w14:paraId="34F98BD8">
                  <w:pPr>
                    <w:pStyle w:val="21"/>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46</w:t>
                  </w:r>
                </w:p>
              </w:tc>
              <w:tc>
                <w:tcPr>
                  <w:tcW w:w="995" w:type="pct"/>
                  <w:tcBorders>
                    <w:tl2br w:val="nil"/>
                    <w:tr2bl w:val="nil"/>
                  </w:tcBorders>
                  <w:vAlign w:val="center"/>
                </w:tcPr>
                <w:p w14:paraId="6476A7A5">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70</w:t>
                  </w:r>
                </w:p>
              </w:tc>
              <w:tc>
                <w:tcPr>
                  <w:tcW w:w="704" w:type="pct"/>
                  <w:tcBorders>
                    <w:tl2br w:val="nil"/>
                    <w:tr2bl w:val="nil"/>
                  </w:tcBorders>
                  <w:vAlign w:val="center"/>
                </w:tcPr>
                <w:p w14:paraId="370A5E67">
                  <w:pPr>
                    <w:pStyle w:val="21"/>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65.7</w:t>
                  </w:r>
                </w:p>
              </w:tc>
              <w:tc>
                <w:tcPr>
                  <w:tcW w:w="569" w:type="pct"/>
                  <w:tcBorders>
                    <w:tl2br w:val="nil"/>
                    <w:tr2bl w:val="nil"/>
                  </w:tcBorders>
                  <w:vAlign w:val="center"/>
                </w:tcPr>
                <w:p w14:paraId="23D459C1">
                  <w:pPr>
                    <w:pStyle w:val="21"/>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val="en-US"/>
                    </w:rPr>
                    <w:t>达标</w:t>
                  </w:r>
                </w:p>
              </w:tc>
            </w:tr>
            <w:tr w14:paraId="16F1A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1" w:type="pct"/>
                  <w:vMerge w:val="continue"/>
                  <w:tcBorders>
                    <w:tl2br w:val="nil"/>
                    <w:tr2bl w:val="nil"/>
                  </w:tcBorders>
                  <w:vAlign w:val="center"/>
                </w:tcPr>
                <w:p w14:paraId="7910EB12">
                  <w:pPr>
                    <w:pStyle w:val="21"/>
                    <w:keepNext w:val="0"/>
                    <w:keepLines w:val="0"/>
                    <w:suppressLineNumbers w:val="0"/>
                    <w:spacing w:before="0" w:beforeAutospacing="0" w:after="0" w:afterAutospacing="0"/>
                    <w:ind w:left="0" w:right="0"/>
                    <w:rPr>
                      <w:rFonts w:hint="default"/>
                      <w:color w:val="auto"/>
                      <w:highlight w:val="none"/>
                    </w:rPr>
                  </w:pPr>
                </w:p>
              </w:tc>
              <w:tc>
                <w:tcPr>
                  <w:tcW w:w="1195" w:type="pct"/>
                  <w:tcBorders>
                    <w:tl2br w:val="nil"/>
                    <w:tr2bl w:val="nil"/>
                  </w:tcBorders>
                  <w:vAlign w:val="center"/>
                </w:tcPr>
                <w:p w14:paraId="19170DB3">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95百分位日均值</w:t>
                  </w:r>
                </w:p>
              </w:tc>
              <w:tc>
                <w:tcPr>
                  <w:tcW w:w="1113" w:type="pct"/>
                  <w:tcBorders>
                    <w:tl2br w:val="nil"/>
                    <w:tr2bl w:val="nil"/>
                  </w:tcBorders>
                  <w:vAlign w:val="center"/>
                </w:tcPr>
                <w:p w14:paraId="24753EC1">
                  <w:pPr>
                    <w:pStyle w:val="21"/>
                    <w:keepNext w:val="0"/>
                    <w:keepLines w:val="0"/>
                    <w:suppressLineNumbers w:val="0"/>
                    <w:spacing w:before="0" w:beforeAutospacing="0" w:after="0" w:afterAutospacing="0"/>
                    <w:ind w:left="0" w:right="0"/>
                    <w:rPr>
                      <w:rFonts w:hint="eastAsia" w:eastAsia="宋体"/>
                      <w:color w:val="auto"/>
                      <w:highlight w:val="none"/>
                      <w:lang w:val="en-US" w:eastAsia="zh-CN"/>
                    </w:rPr>
                  </w:pPr>
                  <w:r>
                    <w:rPr>
                      <w:rFonts w:hint="eastAsia"/>
                      <w:color w:val="auto"/>
                      <w:highlight w:val="none"/>
                      <w:lang w:val="en-US" w:eastAsia="zh-CN"/>
                    </w:rPr>
                    <w:t>/</w:t>
                  </w:r>
                </w:p>
              </w:tc>
              <w:tc>
                <w:tcPr>
                  <w:tcW w:w="995" w:type="pct"/>
                  <w:tcBorders>
                    <w:tl2br w:val="nil"/>
                    <w:tr2bl w:val="nil"/>
                  </w:tcBorders>
                  <w:vAlign w:val="center"/>
                </w:tcPr>
                <w:p w14:paraId="40F54AD4">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150</w:t>
                  </w:r>
                </w:p>
              </w:tc>
              <w:tc>
                <w:tcPr>
                  <w:tcW w:w="704" w:type="pct"/>
                  <w:tcBorders>
                    <w:tl2br w:val="nil"/>
                    <w:tr2bl w:val="nil"/>
                  </w:tcBorders>
                  <w:vAlign w:val="center"/>
                </w:tcPr>
                <w:p w14:paraId="1D448341">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w:t>
                  </w:r>
                </w:p>
              </w:tc>
              <w:tc>
                <w:tcPr>
                  <w:tcW w:w="569" w:type="pct"/>
                  <w:tcBorders>
                    <w:tl2br w:val="nil"/>
                    <w:tr2bl w:val="nil"/>
                  </w:tcBorders>
                  <w:vAlign w:val="center"/>
                </w:tcPr>
                <w:p w14:paraId="686C1F17">
                  <w:pPr>
                    <w:pStyle w:val="21"/>
                    <w:keepNext w:val="0"/>
                    <w:keepLines w:val="0"/>
                    <w:suppressLineNumbers w:val="0"/>
                    <w:spacing w:before="0" w:beforeAutospacing="0" w:after="0" w:afterAutospacing="0"/>
                    <w:ind w:left="0" w:right="0"/>
                    <w:rPr>
                      <w:rFonts w:hint="eastAsia" w:eastAsia="宋体"/>
                      <w:color w:val="auto"/>
                      <w:highlight w:val="none"/>
                      <w:lang w:val="en-US" w:eastAsia="zh-CN"/>
                    </w:rPr>
                  </w:pPr>
                  <w:r>
                    <w:rPr>
                      <w:rFonts w:hint="eastAsia"/>
                      <w:color w:val="auto"/>
                      <w:highlight w:val="none"/>
                      <w:lang w:val="en-US" w:eastAsia="zh-CN"/>
                    </w:rPr>
                    <w:t>/</w:t>
                  </w:r>
                </w:p>
              </w:tc>
            </w:tr>
            <w:tr w14:paraId="1987B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1" w:type="pct"/>
                  <w:vMerge w:val="restart"/>
                  <w:tcBorders>
                    <w:tl2br w:val="nil"/>
                    <w:tr2bl w:val="nil"/>
                  </w:tcBorders>
                  <w:vAlign w:val="center"/>
                </w:tcPr>
                <w:p w14:paraId="4F39DE5E">
                  <w:pPr>
                    <w:pStyle w:val="21"/>
                    <w:keepNext w:val="0"/>
                    <w:keepLines w:val="0"/>
                    <w:suppressLineNumbers w:val="0"/>
                    <w:spacing w:before="0" w:beforeAutospacing="0" w:after="0" w:afterAutospacing="0"/>
                    <w:ind w:left="0" w:right="0"/>
                    <w:rPr>
                      <w:rFonts w:hint="default"/>
                      <w:color w:val="auto"/>
                      <w:highlight w:val="none"/>
                      <w:vertAlign w:val="subscript"/>
                      <w:lang w:val="en-US"/>
                    </w:rPr>
                  </w:pPr>
                  <w:r>
                    <w:rPr>
                      <w:rFonts w:hint="eastAsia"/>
                      <w:color w:val="auto"/>
                      <w:highlight w:val="none"/>
                      <w:lang w:val="en-US"/>
                    </w:rPr>
                    <w:t>NO</w:t>
                  </w:r>
                  <w:r>
                    <w:rPr>
                      <w:rFonts w:hint="eastAsia"/>
                      <w:color w:val="auto"/>
                      <w:highlight w:val="none"/>
                      <w:vertAlign w:val="subscript"/>
                      <w:lang w:val="en-US"/>
                    </w:rPr>
                    <w:t>2</w:t>
                  </w:r>
                </w:p>
              </w:tc>
              <w:tc>
                <w:tcPr>
                  <w:tcW w:w="1195" w:type="pct"/>
                  <w:tcBorders>
                    <w:tl2br w:val="nil"/>
                    <w:tr2bl w:val="nil"/>
                  </w:tcBorders>
                  <w:vAlign w:val="center"/>
                </w:tcPr>
                <w:p w14:paraId="7A148A4C">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年平均质量浓度</w:t>
                  </w:r>
                </w:p>
              </w:tc>
              <w:tc>
                <w:tcPr>
                  <w:tcW w:w="1113" w:type="pct"/>
                  <w:tcBorders>
                    <w:tl2br w:val="nil"/>
                    <w:tr2bl w:val="nil"/>
                  </w:tcBorders>
                  <w:vAlign w:val="center"/>
                </w:tcPr>
                <w:p w14:paraId="010A70C3">
                  <w:pPr>
                    <w:pStyle w:val="21"/>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24</w:t>
                  </w:r>
                </w:p>
              </w:tc>
              <w:tc>
                <w:tcPr>
                  <w:tcW w:w="995" w:type="pct"/>
                  <w:tcBorders>
                    <w:tl2br w:val="nil"/>
                    <w:tr2bl w:val="nil"/>
                  </w:tcBorders>
                  <w:vAlign w:val="center"/>
                </w:tcPr>
                <w:p w14:paraId="089492BA">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40</w:t>
                  </w:r>
                </w:p>
              </w:tc>
              <w:tc>
                <w:tcPr>
                  <w:tcW w:w="704" w:type="pct"/>
                  <w:tcBorders>
                    <w:tl2br w:val="nil"/>
                    <w:tr2bl w:val="nil"/>
                  </w:tcBorders>
                  <w:vAlign w:val="center"/>
                </w:tcPr>
                <w:p w14:paraId="46CDB1A7">
                  <w:pPr>
                    <w:pStyle w:val="21"/>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60.0</w:t>
                  </w:r>
                </w:p>
              </w:tc>
              <w:tc>
                <w:tcPr>
                  <w:tcW w:w="569" w:type="pct"/>
                  <w:tcBorders>
                    <w:tl2br w:val="nil"/>
                    <w:tr2bl w:val="nil"/>
                  </w:tcBorders>
                  <w:vAlign w:val="center"/>
                </w:tcPr>
                <w:p w14:paraId="5C252EF7">
                  <w:pPr>
                    <w:pStyle w:val="21"/>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val="en-US"/>
                    </w:rPr>
                    <w:t>达标</w:t>
                  </w:r>
                </w:p>
              </w:tc>
            </w:tr>
            <w:tr w14:paraId="76B19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1" w:type="pct"/>
                  <w:vMerge w:val="continue"/>
                  <w:tcBorders>
                    <w:tl2br w:val="nil"/>
                    <w:tr2bl w:val="nil"/>
                  </w:tcBorders>
                  <w:vAlign w:val="center"/>
                </w:tcPr>
                <w:p w14:paraId="05FAC2C0">
                  <w:pPr>
                    <w:pStyle w:val="21"/>
                    <w:keepNext w:val="0"/>
                    <w:keepLines w:val="0"/>
                    <w:suppressLineNumbers w:val="0"/>
                    <w:spacing w:before="0" w:beforeAutospacing="0" w:after="0" w:afterAutospacing="0"/>
                    <w:ind w:left="0" w:right="0"/>
                    <w:rPr>
                      <w:rFonts w:hint="default"/>
                      <w:color w:val="auto"/>
                      <w:highlight w:val="none"/>
                    </w:rPr>
                  </w:pPr>
                </w:p>
              </w:tc>
              <w:tc>
                <w:tcPr>
                  <w:tcW w:w="1195" w:type="pct"/>
                  <w:tcBorders>
                    <w:tl2br w:val="nil"/>
                    <w:tr2bl w:val="nil"/>
                  </w:tcBorders>
                  <w:vAlign w:val="center"/>
                </w:tcPr>
                <w:p w14:paraId="000E000B">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98百分位日均值</w:t>
                  </w:r>
                </w:p>
              </w:tc>
              <w:tc>
                <w:tcPr>
                  <w:tcW w:w="1113" w:type="pct"/>
                  <w:tcBorders>
                    <w:tl2br w:val="nil"/>
                    <w:tr2bl w:val="nil"/>
                  </w:tcBorders>
                  <w:vAlign w:val="center"/>
                </w:tcPr>
                <w:p w14:paraId="342453A1">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w:t>
                  </w:r>
                </w:p>
              </w:tc>
              <w:tc>
                <w:tcPr>
                  <w:tcW w:w="995" w:type="pct"/>
                  <w:tcBorders>
                    <w:tl2br w:val="nil"/>
                    <w:tr2bl w:val="nil"/>
                  </w:tcBorders>
                  <w:vAlign w:val="center"/>
                </w:tcPr>
                <w:p w14:paraId="70A912B7">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80</w:t>
                  </w:r>
                </w:p>
              </w:tc>
              <w:tc>
                <w:tcPr>
                  <w:tcW w:w="704" w:type="pct"/>
                  <w:tcBorders>
                    <w:tl2br w:val="nil"/>
                    <w:tr2bl w:val="nil"/>
                  </w:tcBorders>
                  <w:vAlign w:val="center"/>
                </w:tcPr>
                <w:p w14:paraId="213FEC0C">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w:t>
                  </w:r>
                </w:p>
              </w:tc>
              <w:tc>
                <w:tcPr>
                  <w:tcW w:w="569" w:type="pct"/>
                  <w:tcBorders>
                    <w:tl2br w:val="nil"/>
                    <w:tr2bl w:val="nil"/>
                  </w:tcBorders>
                  <w:vAlign w:val="center"/>
                </w:tcPr>
                <w:p w14:paraId="2C4F3BB0">
                  <w:pPr>
                    <w:pStyle w:val="21"/>
                    <w:keepNext w:val="0"/>
                    <w:keepLines w:val="0"/>
                    <w:suppressLineNumbers w:val="0"/>
                    <w:spacing w:before="0" w:beforeAutospacing="0" w:after="0" w:afterAutospacing="0"/>
                    <w:ind w:left="0" w:right="0"/>
                    <w:rPr>
                      <w:rFonts w:hint="eastAsia" w:eastAsia="宋体"/>
                      <w:color w:val="auto"/>
                      <w:highlight w:val="none"/>
                      <w:lang w:val="en-US" w:eastAsia="zh-CN"/>
                    </w:rPr>
                  </w:pPr>
                  <w:r>
                    <w:rPr>
                      <w:rFonts w:hint="eastAsia"/>
                      <w:color w:val="auto"/>
                      <w:highlight w:val="none"/>
                      <w:lang w:val="en-US" w:eastAsia="zh-CN"/>
                    </w:rPr>
                    <w:t>/</w:t>
                  </w:r>
                </w:p>
              </w:tc>
            </w:tr>
            <w:tr w14:paraId="7C0CC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1" w:type="pct"/>
                  <w:vMerge w:val="restart"/>
                  <w:tcBorders>
                    <w:tl2br w:val="nil"/>
                    <w:tr2bl w:val="nil"/>
                  </w:tcBorders>
                  <w:vAlign w:val="center"/>
                </w:tcPr>
                <w:p w14:paraId="1554B21E">
                  <w:pPr>
                    <w:pStyle w:val="21"/>
                    <w:keepNext w:val="0"/>
                    <w:keepLines w:val="0"/>
                    <w:suppressLineNumbers w:val="0"/>
                    <w:spacing w:before="0" w:beforeAutospacing="0" w:after="0" w:afterAutospacing="0"/>
                    <w:ind w:left="0" w:right="0"/>
                    <w:rPr>
                      <w:rFonts w:hint="default"/>
                      <w:color w:val="auto"/>
                      <w:highlight w:val="none"/>
                      <w:vertAlign w:val="subscript"/>
                      <w:lang w:val="en-US"/>
                    </w:rPr>
                  </w:pPr>
                  <w:r>
                    <w:rPr>
                      <w:rFonts w:hint="eastAsia"/>
                      <w:color w:val="auto"/>
                      <w:highlight w:val="none"/>
                      <w:lang w:val="en-US"/>
                    </w:rPr>
                    <w:t>SO</w:t>
                  </w:r>
                  <w:r>
                    <w:rPr>
                      <w:rFonts w:hint="eastAsia"/>
                      <w:color w:val="auto"/>
                      <w:highlight w:val="none"/>
                      <w:vertAlign w:val="subscript"/>
                      <w:lang w:val="en-US"/>
                    </w:rPr>
                    <w:t>2</w:t>
                  </w:r>
                </w:p>
              </w:tc>
              <w:tc>
                <w:tcPr>
                  <w:tcW w:w="1195" w:type="pct"/>
                  <w:tcBorders>
                    <w:tl2br w:val="nil"/>
                    <w:tr2bl w:val="nil"/>
                  </w:tcBorders>
                  <w:vAlign w:val="center"/>
                </w:tcPr>
                <w:p w14:paraId="6D41F672">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年平均质量浓度</w:t>
                  </w:r>
                </w:p>
              </w:tc>
              <w:tc>
                <w:tcPr>
                  <w:tcW w:w="1113" w:type="pct"/>
                  <w:tcBorders>
                    <w:tl2br w:val="nil"/>
                    <w:tr2bl w:val="nil"/>
                  </w:tcBorders>
                  <w:vAlign w:val="center"/>
                </w:tcPr>
                <w:p w14:paraId="1698738B">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6</w:t>
                  </w:r>
                </w:p>
              </w:tc>
              <w:tc>
                <w:tcPr>
                  <w:tcW w:w="995" w:type="pct"/>
                  <w:tcBorders>
                    <w:tl2br w:val="nil"/>
                    <w:tr2bl w:val="nil"/>
                  </w:tcBorders>
                  <w:vAlign w:val="center"/>
                </w:tcPr>
                <w:p w14:paraId="71956659">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60</w:t>
                  </w:r>
                </w:p>
              </w:tc>
              <w:tc>
                <w:tcPr>
                  <w:tcW w:w="704" w:type="pct"/>
                  <w:tcBorders>
                    <w:tl2br w:val="nil"/>
                    <w:tr2bl w:val="nil"/>
                  </w:tcBorders>
                  <w:vAlign w:val="center"/>
                </w:tcPr>
                <w:p w14:paraId="0B844FC8">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10</w:t>
                  </w:r>
                </w:p>
              </w:tc>
              <w:tc>
                <w:tcPr>
                  <w:tcW w:w="569" w:type="pct"/>
                  <w:tcBorders>
                    <w:tl2br w:val="nil"/>
                    <w:tr2bl w:val="nil"/>
                  </w:tcBorders>
                  <w:vAlign w:val="center"/>
                </w:tcPr>
                <w:p w14:paraId="6DF57169">
                  <w:pPr>
                    <w:pStyle w:val="21"/>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val="en-US"/>
                    </w:rPr>
                    <w:t>达标</w:t>
                  </w:r>
                </w:p>
              </w:tc>
            </w:tr>
            <w:tr w14:paraId="33D37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1" w:type="pct"/>
                  <w:vMerge w:val="continue"/>
                  <w:tcBorders>
                    <w:tl2br w:val="nil"/>
                    <w:tr2bl w:val="nil"/>
                  </w:tcBorders>
                  <w:vAlign w:val="center"/>
                </w:tcPr>
                <w:p w14:paraId="1233460B">
                  <w:pPr>
                    <w:pStyle w:val="21"/>
                    <w:keepNext w:val="0"/>
                    <w:keepLines w:val="0"/>
                    <w:suppressLineNumbers w:val="0"/>
                    <w:spacing w:before="0" w:beforeAutospacing="0" w:after="0" w:afterAutospacing="0"/>
                    <w:ind w:left="0" w:right="0"/>
                    <w:rPr>
                      <w:rFonts w:hint="default"/>
                      <w:color w:val="auto"/>
                      <w:highlight w:val="none"/>
                    </w:rPr>
                  </w:pPr>
                </w:p>
              </w:tc>
              <w:tc>
                <w:tcPr>
                  <w:tcW w:w="1195" w:type="pct"/>
                  <w:tcBorders>
                    <w:tl2br w:val="nil"/>
                    <w:tr2bl w:val="nil"/>
                  </w:tcBorders>
                  <w:vAlign w:val="center"/>
                </w:tcPr>
                <w:p w14:paraId="5412D88E">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98百分位日均值</w:t>
                  </w:r>
                </w:p>
              </w:tc>
              <w:tc>
                <w:tcPr>
                  <w:tcW w:w="1113" w:type="pct"/>
                  <w:tcBorders>
                    <w:tl2br w:val="nil"/>
                    <w:tr2bl w:val="nil"/>
                  </w:tcBorders>
                  <w:vAlign w:val="center"/>
                </w:tcPr>
                <w:p w14:paraId="720AA124">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w:t>
                  </w:r>
                </w:p>
              </w:tc>
              <w:tc>
                <w:tcPr>
                  <w:tcW w:w="995" w:type="pct"/>
                  <w:tcBorders>
                    <w:tl2br w:val="nil"/>
                    <w:tr2bl w:val="nil"/>
                  </w:tcBorders>
                  <w:vAlign w:val="center"/>
                </w:tcPr>
                <w:p w14:paraId="1CD4CEF4">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150</w:t>
                  </w:r>
                </w:p>
              </w:tc>
              <w:tc>
                <w:tcPr>
                  <w:tcW w:w="704" w:type="pct"/>
                  <w:tcBorders>
                    <w:tl2br w:val="nil"/>
                    <w:tr2bl w:val="nil"/>
                  </w:tcBorders>
                  <w:vAlign w:val="center"/>
                </w:tcPr>
                <w:p w14:paraId="2B141745">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w:t>
                  </w:r>
                </w:p>
              </w:tc>
              <w:tc>
                <w:tcPr>
                  <w:tcW w:w="569" w:type="pct"/>
                  <w:tcBorders>
                    <w:tl2br w:val="nil"/>
                    <w:tr2bl w:val="nil"/>
                  </w:tcBorders>
                  <w:vAlign w:val="center"/>
                </w:tcPr>
                <w:p w14:paraId="3CCD877C">
                  <w:pPr>
                    <w:pStyle w:val="21"/>
                    <w:keepNext w:val="0"/>
                    <w:keepLines w:val="0"/>
                    <w:suppressLineNumbers w:val="0"/>
                    <w:spacing w:before="0" w:beforeAutospacing="0" w:after="0" w:afterAutospacing="0"/>
                    <w:ind w:left="0" w:right="0"/>
                    <w:rPr>
                      <w:rFonts w:hint="eastAsia" w:eastAsia="宋体"/>
                      <w:color w:val="auto"/>
                      <w:highlight w:val="none"/>
                      <w:lang w:val="en-US" w:eastAsia="zh-CN"/>
                    </w:rPr>
                  </w:pPr>
                  <w:r>
                    <w:rPr>
                      <w:rFonts w:hint="eastAsia"/>
                      <w:color w:val="auto"/>
                      <w:highlight w:val="none"/>
                      <w:lang w:val="en-US" w:eastAsia="zh-CN"/>
                    </w:rPr>
                    <w:t>/</w:t>
                  </w:r>
                </w:p>
              </w:tc>
            </w:tr>
            <w:tr w14:paraId="379A8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1" w:type="pct"/>
                  <w:tcBorders>
                    <w:tl2br w:val="nil"/>
                    <w:tr2bl w:val="nil"/>
                  </w:tcBorders>
                  <w:vAlign w:val="center"/>
                </w:tcPr>
                <w:p w14:paraId="535F467B">
                  <w:pPr>
                    <w:pStyle w:val="21"/>
                    <w:keepNext w:val="0"/>
                    <w:keepLines w:val="0"/>
                    <w:suppressLineNumbers w:val="0"/>
                    <w:spacing w:before="0" w:beforeAutospacing="0" w:after="0" w:afterAutospacing="0"/>
                    <w:ind w:left="0" w:right="0"/>
                    <w:rPr>
                      <w:rFonts w:hint="default"/>
                      <w:color w:val="auto"/>
                      <w:highlight w:val="none"/>
                      <w:vertAlign w:val="subscript"/>
                      <w:lang w:val="en-US"/>
                    </w:rPr>
                  </w:pPr>
                  <w:r>
                    <w:rPr>
                      <w:rFonts w:hint="eastAsia"/>
                      <w:color w:val="auto"/>
                      <w:highlight w:val="none"/>
                      <w:lang w:val="en-US"/>
                    </w:rPr>
                    <w:t>CO</w:t>
                  </w:r>
                </w:p>
              </w:tc>
              <w:tc>
                <w:tcPr>
                  <w:tcW w:w="1195" w:type="pct"/>
                  <w:tcBorders>
                    <w:tl2br w:val="nil"/>
                    <w:tr2bl w:val="nil"/>
                  </w:tcBorders>
                  <w:vAlign w:val="center"/>
                </w:tcPr>
                <w:p w14:paraId="091FBB2C">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95百分位日均值</w:t>
                  </w:r>
                </w:p>
              </w:tc>
              <w:tc>
                <w:tcPr>
                  <w:tcW w:w="1113" w:type="pct"/>
                  <w:tcBorders>
                    <w:tl2br w:val="nil"/>
                    <w:tr2bl w:val="nil"/>
                  </w:tcBorders>
                  <w:vAlign w:val="center"/>
                </w:tcPr>
                <w:p w14:paraId="215C3C56">
                  <w:pPr>
                    <w:pStyle w:val="21"/>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900</w:t>
                  </w:r>
                </w:p>
              </w:tc>
              <w:tc>
                <w:tcPr>
                  <w:tcW w:w="995" w:type="pct"/>
                  <w:tcBorders>
                    <w:tl2br w:val="nil"/>
                    <w:tr2bl w:val="nil"/>
                  </w:tcBorders>
                  <w:vAlign w:val="center"/>
                </w:tcPr>
                <w:p w14:paraId="6A836F4E">
                  <w:pPr>
                    <w:pStyle w:val="21"/>
                    <w:keepNext w:val="0"/>
                    <w:keepLines w:val="0"/>
                    <w:suppressLineNumbers w:val="0"/>
                    <w:spacing w:before="0" w:beforeAutospacing="0" w:after="0" w:afterAutospacing="0"/>
                    <w:ind w:left="0" w:right="0"/>
                    <w:rPr>
                      <w:rFonts w:hint="default" w:eastAsia="宋体"/>
                      <w:color w:val="auto"/>
                      <w:highlight w:val="none"/>
                      <w:vertAlign w:val="superscript"/>
                      <w:lang w:val="en-US" w:eastAsia="zh-CN"/>
                    </w:rPr>
                  </w:pPr>
                  <w:r>
                    <w:rPr>
                      <w:rFonts w:hint="eastAsia"/>
                      <w:color w:val="auto"/>
                      <w:highlight w:val="none"/>
                      <w:lang w:val="en-US" w:eastAsia="zh-CN"/>
                    </w:rPr>
                    <w:t>4000</w:t>
                  </w:r>
                </w:p>
              </w:tc>
              <w:tc>
                <w:tcPr>
                  <w:tcW w:w="704" w:type="pct"/>
                  <w:tcBorders>
                    <w:tl2br w:val="nil"/>
                    <w:tr2bl w:val="nil"/>
                  </w:tcBorders>
                  <w:vAlign w:val="center"/>
                </w:tcPr>
                <w:p w14:paraId="4F51E8CA">
                  <w:pPr>
                    <w:pStyle w:val="21"/>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22.5</w:t>
                  </w:r>
                </w:p>
              </w:tc>
              <w:tc>
                <w:tcPr>
                  <w:tcW w:w="569" w:type="pct"/>
                  <w:tcBorders>
                    <w:tl2br w:val="nil"/>
                    <w:tr2bl w:val="nil"/>
                  </w:tcBorders>
                  <w:vAlign w:val="center"/>
                </w:tcPr>
                <w:p w14:paraId="145C64FA">
                  <w:pPr>
                    <w:pStyle w:val="21"/>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val="en-US"/>
                    </w:rPr>
                    <w:t>达标</w:t>
                  </w:r>
                </w:p>
              </w:tc>
            </w:tr>
            <w:tr w14:paraId="38778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21" w:type="pct"/>
                  <w:tcBorders>
                    <w:tl2br w:val="nil"/>
                    <w:tr2bl w:val="nil"/>
                  </w:tcBorders>
                  <w:vAlign w:val="center"/>
                </w:tcPr>
                <w:p w14:paraId="3EDD44E9">
                  <w:pPr>
                    <w:pStyle w:val="21"/>
                    <w:keepNext w:val="0"/>
                    <w:keepLines w:val="0"/>
                    <w:suppressLineNumbers w:val="0"/>
                    <w:spacing w:before="0" w:beforeAutospacing="0" w:after="0" w:afterAutospacing="0"/>
                    <w:ind w:left="0" w:right="0"/>
                    <w:rPr>
                      <w:rFonts w:hint="default"/>
                      <w:color w:val="auto"/>
                      <w:highlight w:val="none"/>
                      <w:vertAlign w:val="subscript"/>
                      <w:lang w:val="en-US"/>
                    </w:rPr>
                  </w:pPr>
                  <w:r>
                    <w:rPr>
                      <w:rFonts w:hint="eastAsia"/>
                      <w:color w:val="auto"/>
                      <w:highlight w:val="none"/>
                      <w:lang w:val="en-US"/>
                    </w:rPr>
                    <w:t>O</w:t>
                  </w:r>
                  <w:r>
                    <w:rPr>
                      <w:rFonts w:hint="eastAsia"/>
                      <w:color w:val="auto"/>
                      <w:highlight w:val="none"/>
                      <w:vertAlign w:val="subscript"/>
                      <w:lang w:val="en-US"/>
                    </w:rPr>
                    <w:t>3</w:t>
                  </w:r>
                </w:p>
              </w:tc>
              <w:tc>
                <w:tcPr>
                  <w:tcW w:w="1195" w:type="pct"/>
                  <w:tcBorders>
                    <w:tl2br w:val="nil"/>
                    <w:tr2bl w:val="nil"/>
                  </w:tcBorders>
                  <w:vAlign w:val="center"/>
                </w:tcPr>
                <w:p w14:paraId="49A961A1">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日最大8小时值</w:t>
                  </w:r>
                </w:p>
              </w:tc>
              <w:tc>
                <w:tcPr>
                  <w:tcW w:w="1113" w:type="pct"/>
                  <w:tcBorders>
                    <w:tl2br w:val="nil"/>
                    <w:tr2bl w:val="nil"/>
                  </w:tcBorders>
                  <w:vAlign w:val="center"/>
                </w:tcPr>
                <w:p w14:paraId="6D75A52B">
                  <w:pPr>
                    <w:pStyle w:val="21"/>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162</w:t>
                  </w:r>
                </w:p>
              </w:tc>
              <w:tc>
                <w:tcPr>
                  <w:tcW w:w="995" w:type="pct"/>
                  <w:tcBorders>
                    <w:tl2br w:val="nil"/>
                    <w:tr2bl w:val="nil"/>
                  </w:tcBorders>
                  <w:vAlign w:val="center"/>
                </w:tcPr>
                <w:p w14:paraId="2FDFC98F">
                  <w:pPr>
                    <w:pStyle w:val="21"/>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160</w:t>
                  </w:r>
                </w:p>
              </w:tc>
              <w:tc>
                <w:tcPr>
                  <w:tcW w:w="704" w:type="pct"/>
                  <w:tcBorders>
                    <w:tl2br w:val="nil"/>
                    <w:tr2bl w:val="nil"/>
                  </w:tcBorders>
                  <w:vAlign w:val="center"/>
                </w:tcPr>
                <w:p w14:paraId="399B0FC4">
                  <w:pPr>
                    <w:pStyle w:val="21"/>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101.3</w:t>
                  </w:r>
                </w:p>
              </w:tc>
              <w:tc>
                <w:tcPr>
                  <w:tcW w:w="569" w:type="pct"/>
                  <w:tcBorders>
                    <w:tl2br w:val="nil"/>
                    <w:tr2bl w:val="nil"/>
                  </w:tcBorders>
                  <w:vAlign w:val="center"/>
                </w:tcPr>
                <w:p w14:paraId="0213462B">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不达标</w:t>
                  </w:r>
                </w:p>
              </w:tc>
            </w:tr>
          </w:tbl>
          <w:p w14:paraId="70A88D75">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color w:val="auto"/>
                <w:highlight w:val="none"/>
                <w:lang w:val="en-US" w:eastAsia="zh-CN"/>
              </w:rPr>
              <w:t>根据上表可知，</w:t>
            </w:r>
            <w:r>
              <w:rPr>
                <w:rFonts w:hint="default"/>
                <w:color w:val="auto"/>
                <w:highlight w:val="none"/>
                <w:lang w:val="en-US"/>
              </w:rPr>
              <w:t>2023年南京市大气超标因子为O</w:t>
            </w:r>
            <w:r>
              <w:rPr>
                <w:rFonts w:hint="default"/>
                <w:color w:val="auto"/>
                <w:highlight w:val="none"/>
                <w:vertAlign w:val="subscript"/>
                <w:lang w:val="en-US"/>
              </w:rPr>
              <w:t>3</w:t>
            </w:r>
            <w:r>
              <w:rPr>
                <w:rFonts w:hint="default"/>
                <w:color w:val="auto"/>
                <w:highlight w:val="none"/>
                <w:lang w:val="en-US"/>
              </w:rPr>
              <w:t>，故项目所在区域为环境空气质量不达标区。</w:t>
            </w:r>
          </w:p>
          <w:p w14:paraId="0C36543E">
            <w:pPr>
              <w:keepNext w:val="0"/>
              <w:keepLines w:val="0"/>
              <w:suppressLineNumbers w:val="0"/>
              <w:spacing w:before="0" w:beforeAutospacing="0" w:after="0" w:afterAutospacing="0"/>
              <w:ind w:left="0" w:right="0" w:firstLine="480"/>
              <w:rPr>
                <w:rFonts w:hint="default" w:ascii="Times New Roman" w:hAnsi="Times New Roman" w:eastAsia="宋体" w:cs="Times New Roman"/>
                <w:b w:val="0"/>
                <w:bCs w:val="0"/>
                <w:color w:val="auto"/>
                <w:sz w:val="24"/>
                <w:szCs w:val="24"/>
                <w:highlight w:val="none"/>
                <w:lang w:eastAsia="zh-CN"/>
              </w:rPr>
            </w:pPr>
            <w:r>
              <w:rPr>
                <w:rFonts w:hint="default" w:ascii="Times New Roman" w:hAnsi="Times New Roman" w:eastAsia="宋体" w:cs="Times New Roman"/>
                <w:b w:val="0"/>
                <w:bCs w:val="0"/>
                <w:color w:val="auto"/>
                <w:sz w:val="24"/>
                <w:szCs w:val="24"/>
                <w:highlight w:val="none"/>
                <w:lang w:eastAsia="zh-CN"/>
              </w:rPr>
              <w:t>为此，南京市提出了大气污染防治要求，贯彻落实《南京市“十四五”大气污染防治规划》的“以践行“双碳”战略目标为引领，以改善大气环境质量为核心，统筹运用源头预防、过程控制、末端治理等手段，持续推动产业、能源和交通运输结构调整优化。以减污降碳协同增效、VOCs精细化治理为出发点，着力推进多污染物协同减排，实施PM</w:t>
            </w:r>
            <w:r>
              <w:rPr>
                <w:rFonts w:hint="default" w:ascii="Times New Roman" w:hAnsi="Times New Roman" w:eastAsia="宋体" w:cs="Times New Roman"/>
                <w:b w:val="0"/>
                <w:bCs w:val="0"/>
                <w:color w:val="auto"/>
                <w:sz w:val="24"/>
                <w:szCs w:val="24"/>
                <w:highlight w:val="none"/>
                <w:vertAlign w:val="subscript"/>
                <w:lang w:eastAsia="zh-CN"/>
              </w:rPr>
              <w:t>2.5</w:t>
            </w:r>
            <w:r>
              <w:rPr>
                <w:rFonts w:hint="default" w:ascii="Times New Roman" w:hAnsi="Times New Roman" w:eastAsia="宋体" w:cs="Times New Roman"/>
                <w:b w:val="0"/>
                <w:bCs w:val="0"/>
                <w:color w:val="auto"/>
                <w:sz w:val="24"/>
                <w:szCs w:val="24"/>
                <w:highlight w:val="none"/>
                <w:lang w:eastAsia="zh-CN"/>
              </w:rPr>
              <w:t>和O</w:t>
            </w:r>
            <w:r>
              <w:rPr>
                <w:rFonts w:hint="default" w:ascii="Times New Roman" w:hAnsi="Times New Roman" w:eastAsia="宋体" w:cs="Times New Roman"/>
                <w:b w:val="0"/>
                <w:bCs w:val="0"/>
                <w:color w:val="auto"/>
                <w:sz w:val="24"/>
                <w:szCs w:val="24"/>
                <w:highlight w:val="none"/>
                <w:vertAlign w:val="subscript"/>
                <w:lang w:eastAsia="zh-CN"/>
              </w:rPr>
              <w:t>3</w:t>
            </w:r>
            <w:r>
              <w:rPr>
                <w:rFonts w:hint="default" w:ascii="Times New Roman" w:hAnsi="Times New Roman" w:eastAsia="宋体" w:cs="Times New Roman"/>
                <w:b w:val="0"/>
                <w:bCs w:val="0"/>
                <w:color w:val="auto"/>
                <w:sz w:val="24"/>
                <w:szCs w:val="24"/>
                <w:highlight w:val="none"/>
                <w:lang w:eastAsia="zh-CN"/>
              </w:rPr>
              <w:t>污染协同治理，加强VOCs和NOx协同管控，统筹污染物与温室气体协同减排，强化区域协同治理”。</w:t>
            </w:r>
          </w:p>
          <w:p w14:paraId="25A051A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rPr>
              <w:t>（</w:t>
            </w:r>
            <w:r>
              <w:rPr>
                <w:rFonts w:hint="eastAsia" w:ascii="Times New Roman" w:hAnsi="Times New Roman" w:eastAsia="宋体"/>
                <w:color w:val="auto"/>
                <w:highlight w:val="none"/>
                <w:lang w:val="en-US"/>
              </w:rPr>
              <w:t>2</w:t>
            </w:r>
            <w:r>
              <w:rPr>
                <w:rFonts w:hint="eastAsia" w:ascii="Times New Roman" w:hAnsi="Times New Roman" w:eastAsia="宋体"/>
                <w:color w:val="auto"/>
                <w:highlight w:val="none"/>
              </w:rPr>
              <w:t>）</w:t>
            </w:r>
            <w:r>
              <w:rPr>
                <w:rFonts w:hint="eastAsia" w:ascii="Times New Roman" w:hAnsi="Times New Roman" w:eastAsia="宋体"/>
                <w:color w:val="auto"/>
                <w:highlight w:val="none"/>
                <w:lang w:val="en-US"/>
              </w:rPr>
              <w:t>特征污染物</w:t>
            </w:r>
          </w:p>
          <w:p w14:paraId="35704A6B">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rPr>
              <w:t>本项目排放特征污染物为</w:t>
            </w:r>
            <w:r>
              <w:rPr>
                <w:rFonts w:hint="eastAsia"/>
                <w:color w:val="auto"/>
                <w:highlight w:val="none"/>
                <w:lang w:val="en-US" w:eastAsia="zh-CN"/>
              </w:rPr>
              <w:t>非甲烷总烃、氮氧化物、氨、硫化氢、臭气浓度、乙醛。</w:t>
            </w:r>
            <w:r>
              <w:rPr>
                <w:rFonts w:hint="eastAsia"/>
                <w:color w:val="auto"/>
                <w:highlight w:val="none"/>
                <w:lang w:val="en-US"/>
              </w:rPr>
              <w:t>项目所在区域环境空气中</w:t>
            </w:r>
            <w:r>
              <w:rPr>
                <w:rFonts w:hint="eastAsia"/>
                <w:color w:val="auto"/>
                <w:highlight w:val="none"/>
                <w:lang w:val="en-US" w:eastAsia="zh-CN"/>
              </w:rPr>
              <w:t>非甲烷总烃、氮氧化物、氨、硫化氢浓度</w:t>
            </w:r>
            <w:r>
              <w:rPr>
                <w:rFonts w:hint="eastAsia"/>
                <w:color w:val="auto"/>
                <w:highlight w:val="none"/>
                <w:lang w:val="en-US"/>
              </w:rPr>
              <w:t>情况引用</w:t>
            </w:r>
            <w:r>
              <w:rPr>
                <w:rFonts w:hint="eastAsia"/>
                <w:color w:val="auto"/>
                <w:highlight w:val="none"/>
                <w:lang w:val="en-US" w:eastAsia="zh-CN"/>
              </w:rPr>
              <w:t>《南京江宁经济技术开发区环境影响评价区域评估报告（2024年版）》中G6荣盛隽峰监测点（本项目东北约4km处）的监测数据，该数据来源于南京学府环境安全科技有限公司出具的监测报告，报告编号为：[宁学府环境](2024）检字第0846号。</w:t>
            </w:r>
          </w:p>
          <w:p w14:paraId="51DC7C48">
            <w:pPr>
              <w:keepNext w:val="0"/>
              <w:keepLines w:val="0"/>
              <w:suppressLineNumbers w:val="0"/>
              <w:spacing w:before="0" w:beforeAutospacing="0" w:after="0" w:afterAutospacing="0"/>
              <w:ind w:left="0" w:right="0" w:firstLine="480"/>
              <w:rPr>
                <w:rFonts w:hint="default"/>
                <w:color w:val="auto"/>
                <w:highlight w:val="none"/>
                <w:lang w:val="en-US"/>
              </w:rPr>
            </w:pPr>
            <w:r>
              <w:rPr>
                <w:rFonts w:hint="default"/>
                <w:color w:val="auto"/>
                <w:highlight w:val="none"/>
                <w:lang w:val="en-US"/>
              </w:rPr>
              <w:t>项目引用监测点位在周边5km范围内，且监测时间在3年内，因此引用项目现状监测数据是有效的。</w:t>
            </w:r>
          </w:p>
          <w:p w14:paraId="1298A85B">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1）监测布点</w:t>
            </w:r>
          </w:p>
          <w:p w14:paraId="057F6881">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监测点位于本项目</w:t>
            </w:r>
            <w:r>
              <w:rPr>
                <w:rFonts w:hint="eastAsia"/>
                <w:color w:val="auto"/>
                <w:highlight w:val="none"/>
                <w:lang w:val="en-US" w:eastAsia="zh-CN"/>
              </w:rPr>
              <w:t>西北</w:t>
            </w:r>
            <w:r>
              <w:rPr>
                <w:rFonts w:hint="eastAsia" w:ascii="Times New Roman" w:hAnsi="Times New Roman" w:eastAsia="宋体"/>
                <w:color w:val="auto"/>
                <w:highlight w:val="none"/>
                <w:lang w:val="en-US"/>
              </w:rPr>
              <w:t>约</w:t>
            </w:r>
            <w:r>
              <w:rPr>
                <w:rFonts w:hint="eastAsia"/>
                <w:color w:val="auto"/>
                <w:highlight w:val="none"/>
                <w:lang w:val="en-US" w:eastAsia="zh-CN"/>
              </w:rPr>
              <w:t>4km</w:t>
            </w:r>
            <w:r>
              <w:rPr>
                <w:rFonts w:hint="default" w:ascii="Times New Roman" w:hAnsi="Times New Roman" w:eastAsia="宋体"/>
                <w:color w:val="auto"/>
                <w:highlight w:val="none"/>
                <w:lang w:val="en-US"/>
              </w:rPr>
              <w:t>处的</w:t>
            </w:r>
            <w:r>
              <w:rPr>
                <w:rFonts w:hint="eastAsia"/>
                <w:color w:val="auto"/>
                <w:highlight w:val="none"/>
                <w:lang w:val="en-US" w:eastAsia="zh-CN"/>
              </w:rPr>
              <w:t>荣盛隽峰居民点</w:t>
            </w:r>
            <w:r>
              <w:rPr>
                <w:rFonts w:hint="default" w:ascii="Times New Roman" w:hAnsi="Times New Roman" w:eastAsia="宋体"/>
                <w:color w:val="auto"/>
                <w:highlight w:val="none"/>
                <w:lang w:val="en-US"/>
              </w:rPr>
              <w:t>，与本项目位置关系见</w:t>
            </w:r>
            <w:r>
              <w:rPr>
                <w:rFonts w:hint="eastAsia" w:ascii="Times New Roman" w:hAnsi="Times New Roman" w:eastAsia="宋体"/>
                <w:color w:val="auto"/>
                <w:highlight w:val="none"/>
                <w:lang w:val="en-US"/>
              </w:rPr>
              <w:t>下图：</w:t>
            </w:r>
          </w:p>
          <w:p w14:paraId="03D8CE3F">
            <w:pPr>
              <w:keepNext w:val="0"/>
              <w:keepLines w:val="0"/>
              <w:suppressLineNumbers w:val="0"/>
              <w:spacing w:before="0" w:beforeAutospacing="0" w:after="0" w:afterAutospacing="0"/>
              <w:ind w:left="0" w:right="0" w:firstLine="0" w:firstLineChars="0"/>
              <w:jc w:val="center"/>
              <w:rPr>
                <w:rFonts w:hint="eastAsia" w:ascii="Times New Roman" w:hAnsi="Times New Roman" w:eastAsia="宋体"/>
                <w:color w:val="auto"/>
                <w:highlight w:val="none"/>
                <w:lang w:val="en-US" w:eastAsia="zh-CN"/>
              </w:rPr>
            </w:pPr>
            <w:r>
              <w:rPr>
                <w:rFonts w:hint="default" w:ascii="Times New Roman" w:hAnsi="Times New Roman" w:eastAsia="宋体"/>
                <w:color w:val="auto"/>
                <w:sz w:val="24"/>
                <w:highlight w:val="none"/>
              </w:rPr>
              <mc:AlternateContent>
                <mc:Choice Requires="wps">
                  <w:drawing>
                    <wp:anchor distT="0" distB="0" distL="114300" distR="114300" simplePos="0" relativeHeight="251663360" behindDoc="0" locked="0" layoutInCell="1" allowOverlap="1">
                      <wp:simplePos x="0" y="0"/>
                      <wp:positionH relativeFrom="column">
                        <wp:posOffset>848360</wp:posOffset>
                      </wp:positionH>
                      <wp:positionV relativeFrom="paragraph">
                        <wp:posOffset>2825115</wp:posOffset>
                      </wp:positionV>
                      <wp:extent cx="564515" cy="161290"/>
                      <wp:effectExtent l="201930" t="0" r="0" b="0"/>
                      <wp:wrapNone/>
                      <wp:docPr id="3" name="文本框 3"/>
                      <wp:cNvGraphicFramePr/>
                      <a:graphic xmlns:a="http://schemas.openxmlformats.org/drawingml/2006/main">
                        <a:graphicData uri="http://schemas.microsoft.com/office/word/2010/wordprocessingShape">
                          <wps:wsp>
                            <wps:cNvSpPr txBox="1"/>
                            <wps:spPr>
                              <a:xfrm rot="3780000">
                                <a:off x="0" y="0"/>
                                <a:ext cx="564515" cy="161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ECFE06">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eastAsia="宋体"/>
                                      <w:color w:val="FF0000"/>
                                      <w:lang w:val="en-US" w:eastAsia="zh-CN"/>
                                    </w:rPr>
                                  </w:pPr>
                                  <w:r>
                                    <w:rPr>
                                      <w:rFonts w:hint="eastAsia"/>
                                      <w:color w:val="FF0000"/>
                                      <w:lang w:val="en-US" w:eastAsia="zh-CN"/>
                                    </w:rPr>
                                    <w:t>4.8km</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66.8pt;margin-top:222.45pt;height:12.7pt;width:44.45pt;rotation:4128768f;z-index:251663360;mso-width-relative:page;mso-height-relative:page;" filled="f" stroked="f" coordsize="21600,21600" o:gfxdata="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imrqy3AAAAAsBAAAPAAAAAAAAAAEAIAAAACIAAABk&#10;cnMvZG93bnJldi54bWxQSwECFAAUAAAACACHTuJAcvKSOjsCAABjBAAADgAAAAAAAAABACAAAAAr&#10;AQAAZHJzL2Uyb0RvYy54bWxQSwUGAAAAAAYABgBZAQAA2AUAAAAA&#10;">
                      <v:fill on="f" focussize="0,0"/>
                      <v:stroke on="f" weight="0.5pt"/>
                      <v:imagedata o:title=""/>
                      <o:lock v:ext="edit" aspectratio="f"/>
                      <v:textbox inset="0mm,0mm,0mm,0mm">
                        <w:txbxContent>
                          <w:p w14:paraId="37ECFE06">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eastAsia="宋体"/>
                                <w:color w:val="FF0000"/>
                                <w:lang w:val="en-US" w:eastAsia="zh-CN"/>
                              </w:rPr>
                            </w:pPr>
                            <w:r>
                              <w:rPr>
                                <w:rFonts w:hint="eastAsia"/>
                                <w:color w:val="FF0000"/>
                                <w:lang w:val="en-US" w:eastAsia="zh-CN"/>
                              </w:rPr>
                              <w:t>4.8km</w:t>
                            </w:r>
                          </w:p>
                        </w:txbxContent>
                      </v:textbox>
                    </v:shap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664384" behindDoc="0" locked="0" layoutInCell="1" allowOverlap="1">
                      <wp:simplePos x="0" y="0"/>
                      <wp:positionH relativeFrom="column">
                        <wp:posOffset>2300605</wp:posOffset>
                      </wp:positionH>
                      <wp:positionV relativeFrom="paragraph">
                        <wp:posOffset>4067175</wp:posOffset>
                      </wp:positionV>
                      <wp:extent cx="1675130" cy="434340"/>
                      <wp:effectExtent l="475615" t="6350" r="20955" b="16510"/>
                      <wp:wrapNone/>
                      <wp:docPr id="14" name="矩形标注 14"/>
                      <wp:cNvGraphicFramePr/>
                      <a:graphic xmlns:a="http://schemas.openxmlformats.org/drawingml/2006/main">
                        <a:graphicData uri="http://schemas.microsoft.com/office/word/2010/wordprocessingShape">
                          <wps:wsp>
                            <wps:cNvSpPr/>
                            <wps:spPr>
                              <a:xfrm>
                                <a:off x="0" y="0"/>
                                <a:ext cx="1675130" cy="434340"/>
                              </a:xfrm>
                              <a:prstGeom prst="wedgeRectCallout">
                                <a:avLst>
                                  <a:gd name="adj1" fmla="val -75398"/>
                                  <a:gd name="adj2" fmla="val 7602"/>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F098454">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color w:val="FF0000"/>
                                      <w:sz w:val="32"/>
                                      <w:szCs w:val="32"/>
                                      <w:lang w:val="en-US" w:eastAsia="zh-CN"/>
                                    </w:rPr>
                                  </w:pPr>
                                  <w:r>
                                    <w:rPr>
                                      <w:rFonts w:hint="eastAsia"/>
                                      <w:color w:val="FF0000"/>
                                      <w:sz w:val="32"/>
                                      <w:szCs w:val="32"/>
                                      <w:lang w:val="en-US" w:eastAsia="zh-CN"/>
                                    </w:rPr>
                                    <w:t>项目所在地</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61" type="#_x0000_t61" style="position:absolute;left:0pt;margin-left:181.15pt;margin-top:320.25pt;height:34.2pt;width:131.9pt;z-index:251664384;v-text-anchor:middle;mso-width-relative:page;mso-height-relative:page;" filled="f" stroked="t" coordsize="21600,21600" o:gfxdata="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" adj="-5486,12442">
                      <v:fill on="f" focussize="0,0"/>
                      <v:stroke weight="1pt" color="#FF0000 [2404]" miterlimit="8" joinstyle="miter"/>
                      <v:imagedata o:title=""/>
                      <o:lock v:ext="edit" aspectratio="f"/>
                      <v:textbox inset="0mm,0mm,0mm,0mm">
                        <w:txbxContent>
                          <w:p w14:paraId="4F098454">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color w:val="FF0000"/>
                                <w:sz w:val="32"/>
                                <w:szCs w:val="32"/>
                                <w:lang w:val="en-US" w:eastAsia="zh-CN"/>
                              </w:rPr>
                            </w:pPr>
                            <w:r>
                              <w:rPr>
                                <w:rFonts w:hint="eastAsia"/>
                                <w:color w:val="FF0000"/>
                                <w:sz w:val="32"/>
                                <w:szCs w:val="32"/>
                                <w:lang w:val="en-US" w:eastAsia="zh-CN"/>
                              </w:rPr>
                              <w:t>项目所在地</w:t>
                            </w:r>
                          </w:p>
                        </w:txbxContent>
                      </v:textbox>
                    </v:shap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665408" behindDoc="0" locked="0" layoutInCell="1" allowOverlap="1">
                      <wp:simplePos x="0" y="0"/>
                      <wp:positionH relativeFrom="column">
                        <wp:posOffset>917575</wp:posOffset>
                      </wp:positionH>
                      <wp:positionV relativeFrom="paragraph">
                        <wp:posOffset>1714500</wp:posOffset>
                      </wp:positionV>
                      <wp:extent cx="1675130" cy="434340"/>
                      <wp:effectExtent l="671830" t="184785" r="15240" b="9525"/>
                      <wp:wrapNone/>
                      <wp:docPr id="15" name="矩形标注 15"/>
                      <wp:cNvGraphicFramePr/>
                      <a:graphic xmlns:a="http://schemas.openxmlformats.org/drawingml/2006/main">
                        <a:graphicData uri="http://schemas.microsoft.com/office/word/2010/wordprocessingShape">
                          <wps:wsp>
                            <wps:cNvSpPr/>
                            <wps:spPr>
                              <a:xfrm>
                                <a:off x="0" y="0"/>
                                <a:ext cx="1675130" cy="434340"/>
                              </a:xfrm>
                              <a:prstGeom prst="wedgeRectCallout">
                                <a:avLst>
                                  <a:gd name="adj1" fmla="val -87073"/>
                                  <a:gd name="adj2" fmla="val -89619"/>
                                </a:avLst>
                              </a:prstGeom>
                              <a:noFill/>
                              <a:ln>
                                <a:solidFill>
                                  <a:srgbClr val="0000FF"/>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8EEE121">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color w:val="FF0000"/>
                                      <w:sz w:val="32"/>
                                      <w:szCs w:val="32"/>
                                      <w:lang w:val="en-US" w:eastAsia="zh-CN"/>
                                    </w:rPr>
                                  </w:pPr>
                                  <w:r>
                                    <w:rPr>
                                      <w:rFonts w:hint="eastAsia"/>
                                      <w:color w:val="0000FF"/>
                                      <w:sz w:val="32"/>
                                      <w:szCs w:val="32"/>
                                      <w:lang w:val="en-US" w:eastAsia="zh-CN"/>
                                    </w:rPr>
                                    <w:t>环境空气监测点</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61" type="#_x0000_t61" style="position:absolute;left:0pt;margin-left:72.25pt;margin-top:135pt;height:34.2pt;width:131.9pt;z-index:251665408;v-text-anchor:middle;mso-width-relative:page;mso-height-relative:page;" filled="f" stroked="t" coordsize="21600,21600" o:gfxdata="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CT5JB3aAAAACwEAAA8AAAAAAAAAAQAgAAAAIgAAAGRycy9kb3ducmV2LnhtbFBL&#10;AQIUABQAAAAIAIdO4kD3ihxXnwIAAC0FAAAOAAAAAAAAAAEAIAAAACkBAABkcnMvZTJvRG9jLnht&#10;bFBLBQYAAAAABgAGAFkBAAA6BgAAAAA=&#10;" adj="-8008,-8558">
                      <v:fill on="f" focussize="0,0"/>
                      <v:stroke weight="1pt" color="#0000FF [2404]" miterlimit="8" joinstyle="miter"/>
                      <v:imagedata o:title=""/>
                      <o:lock v:ext="edit" aspectratio="f"/>
                      <v:textbox inset="0mm,0mm,0mm,0mm">
                        <w:txbxContent>
                          <w:p w14:paraId="78EEE121">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color w:val="FF0000"/>
                                <w:sz w:val="32"/>
                                <w:szCs w:val="32"/>
                                <w:lang w:val="en-US" w:eastAsia="zh-CN"/>
                              </w:rPr>
                            </w:pPr>
                            <w:r>
                              <w:rPr>
                                <w:rFonts w:hint="eastAsia"/>
                                <w:color w:val="0000FF"/>
                                <w:sz w:val="32"/>
                                <w:szCs w:val="32"/>
                                <w:lang w:val="en-US" w:eastAsia="zh-CN"/>
                              </w:rPr>
                              <w:t>环境空气监测点</w:t>
                            </w:r>
                          </w:p>
                        </w:txbxContent>
                      </v:textbox>
                    </v:shap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660288" behindDoc="0" locked="0" layoutInCell="1" allowOverlap="1">
                      <wp:simplePos x="0" y="0"/>
                      <wp:positionH relativeFrom="column">
                        <wp:posOffset>325755</wp:posOffset>
                      </wp:positionH>
                      <wp:positionV relativeFrom="paragraph">
                        <wp:posOffset>1590675</wp:posOffset>
                      </wp:positionV>
                      <wp:extent cx="1320165" cy="2581275"/>
                      <wp:effectExtent l="5715" t="0" r="7620" b="9525"/>
                      <wp:wrapNone/>
                      <wp:docPr id="7" name="直接箭头连接符 7"/>
                      <wp:cNvGraphicFramePr/>
                      <a:graphic xmlns:a="http://schemas.openxmlformats.org/drawingml/2006/main">
                        <a:graphicData uri="http://schemas.microsoft.com/office/word/2010/wordprocessingShape">
                          <wps:wsp>
                            <wps:cNvCnPr>
                              <a:endCxn id="5" idx="5"/>
                            </wps:cNvCnPr>
                            <wps:spPr>
                              <a:xfrm flipH="1" flipV="1">
                                <a:off x="0" y="0"/>
                                <a:ext cx="1320165" cy="2581275"/>
                              </a:xfrm>
                              <a:prstGeom prst="straightConnector1">
                                <a:avLst/>
                              </a:prstGeom>
                              <a:ln>
                                <a:solidFill>
                                  <a:srgbClr val="FF0000"/>
                                </a:solidFill>
                                <a:headEnd type="arrow"/>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25.65pt;margin-top:125.25pt;height:203.25pt;width:103.95pt;z-index:251660288;mso-width-relative:page;mso-height-relative:page;" filled="f" stroked="t" coordsize="21600,21600" o:gfxdata="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pXMse2AAAAAoBAAAPAAAAAAAAAAEAIAAAACIAAABkcnMvZG93bnJldi54bWxQ&#10;SwECFAAUAAAACACHTuJAO/1auzACAAA5BAAADgAAAAAAAAABACAAAAAnAQAAZHJzL2Uyb0RvYy54&#10;bWxQSwUGAAAAAAYABgBZAQAAyQUAAAAA&#10;">
                      <v:fill on="f" focussize="0,0"/>
                      <v:stroke weight="1pt" color="#FF0000 [3204]" miterlimit="8" joinstyle="miter" startarrow="open" endarrow="open"/>
                      <v:imagedata o:title=""/>
                      <o:lock v:ext="edit" aspectratio="f"/>
                    </v:shap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661312" behindDoc="0" locked="0" layoutInCell="1" allowOverlap="1">
                      <wp:simplePos x="0" y="0"/>
                      <wp:positionH relativeFrom="column">
                        <wp:posOffset>205105</wp:posOffset>
                      </wp:positionH>
                      <wp:positionV relativeFrom="paragraph">
                        <wp:posOffset>1461135</wp:posOffset>
                      </wp:positionV>
                      <wp:extent cx="141605" cy="151765"/>
                      <wp:effectExtent l="6350" t="6350" r="23495" b="13335"/>
                      <wp:wrapNone/>
                      <wp:docPr id="5" name="椭圆 5"/>
                      <wp:cNvGraphicFramePr/>
                      <a:graphic xmlns:a="http://schemas.openxmlformats.org/drawingml/2006/main">
                        <a:graphicData uri="http://schemas.microsoft.com/office/word/2010/wordprocessingShape">
                          <wps:wsp>
                            <wps:cNvSpPr/>
                            <wps:spPr>
                              <a:xfrm>
                                <a:off x="0" y="0"/>
                                <a:ext cx="141605" cy="151765"/>
                              </a:xfrm>
                              <a:prstGeom prst="ellipse">
                                <a:avLst/>
                              </a:prstGeom>
                              <a:solidFill>
                                <a:srgbClr val="0000FF"/>
                              </a:solidFill>
                              <a:ln>
                                <a:solidFill>
                                  <a:srgbClr val="0000FF"/>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6.15pt;margin-top:115.05pt;height:11.95pt;width:11.15pt;z-index:251661312;v-text-anchor:middle;mso-width-relative:page;mso-height-relative:page;" fillcolor="#0000FF" filled="t" stroked="t" coordsize="21600,21600" o:gfxdata="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BerTnR2gAAAAkBAAAPAAAAAAAAAAEAIAAAACIAAABkcnMvZG93&#10;bnJldi54bWxQSwECFAAUAAAACACHTuJAy4wL3XACAAD2BAAADgAAAAAAAAABACAAAAApAQAAZHJz&#10;L2Uyb0RvYy54bWxQSwUGAAAAAAYABgBZAQAACwYAAAAA&#10;">
                      <v:fill on="t" focussize="0,0"/>
                      <v:stroke weight="1pt" color="#0000FF [2404]" miterlimit="8" joinstyle="miter"/>
                      <v:imagedata o:title=""/>
                      <o:lock v:ext="edit" aspectratio="f"/>
                    </v:shap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51662336" behindDoc="0" locked="0" layoutInCell="1" allowOverlap="1">
                      <wp:simplePos x="0" y="0"/>
                      <wp:positionH relativeFrom="column">
                        <wp:posOffset>264160</wp:posOffset>
                      </wp:positionH>
                      <wp:positionV relativeFrom="paragraph">
                        <wp:posOffset>4876800</wp:posOffset>
                      </wp:positionV>
                      <wp:extent cx="141605" cy="151765"/>
                      <wp:effectExtent l="6350" t="6350" r="23495" b="13335"/>
                      <wp:wrapNone/>
                      <wp:docPr id="9" name="椭圆 9"/>
                      <wp:cNvGraphicFramePr/>
                      <a:graphic xmlns:a="http://schemas.openxmlformats.org/drawingml/2006/main">
                        <a:graphicData uri="http://schemas.microsoft.com/office/word/2010/wordprocessingShape">
                          <wps:wsp>
                            <wps:cNvSpPr/>
                            <wps:spPr>
                              <a:xfrm>
                                <a:off x="0" y="0"/>
                                <a:ext cx="141605" cy="151765"/>
                              </a:xfrm>
                              <a:prstGeom prst="ellipse">
                                <a:avLst/>
                              </a:prstGeom>
                              <a:solidFill>
                                <a:srgbClr val="0000FF"/>
                              </a:solidFill>
                              <a:ln>
                                <a:solidFill>
                                  <a:srgbClr val="0000FF"/>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0.8pt;margin-top:384pt;height:11.95pt;width:11.15pt;z-index:251662336;v-text-anchor:middle;mso-width-relative:page;mso-height-relative:page;" fillcolor="#0000FF" filled="t" stroked="t" coordsize="21600,21600" o:gfxdata="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DxbjjS2gAAAAkBAAAPAAAAAAAAAAEAIAAAACIAAABkcnMvZG93&#10;bnJldi54bWxQSwECFAAUAAAACACHTuJAHZpLd3ACAAD2BAAADgAAAAAAAAABACAAAAApAQAAZHJz&#10;L2Uyb0RvYy54bWxQSwUGAAAAAAYABgBZAQAACwYAAAAA&#10;">
                      <v:fill on="t" focussize="0,0"/>
                      <v:stroke weight="1pt" color="#0000FF [2404]" miterlimit="8" joinstyle="miter"/>
                      <v:imagedata o:title=""/>
                      <o:lock v:ext="edit" aspectratio="f"/>
                    </v:shape>
                  </w:pict>
                </mc:Fallback>
              </mc:AlternateContent>
            </w:r>
            <w:r>
              <w:rPr>
                <w:rFonts w:hint="eastAsia" w:ascii="Times New Roman" w:hAnsi="Times New Roman" w:eastAsia="宋体"/>
                <w:color w:val="auto"/>
                <w:highlight w:val="none"/>
                <w:lang w:val="en-US" w:eastAsia="zh-CN"/>
              </w:rPr>
              <w:drawing>
                <wp:inline distT="0" distB="0" distL="114300" distR="114300">
                  <wp:extent cx="4959985" cy="5641975"/>
                  <wp:effectExtent l="0" t="0" r="12065" b="15875"/>
                  <wp:docPr id="4" name="图片 4" descr="监测点位-区域评估G5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监测点位-区域评估G5_00"/>
                          <pic:cNvPicPr>
                            <a:picLocks noChangeAspect="1"/>
                          </pic:cNvPicPr>
                        </pic:nvPicPr>
                        <pic:blipFill>
                          <a:blip r:embed="rId20"/>
                          <a:stretch>
                            <a:fillRect/>
                          </a:stretch>
                        </pic:blipFill>
                        <pic:spPr>
                          <a:xfrm>
                            <a:off x="0" y="0"/>
                            <a:ext cx="4959985" cy="5641975"/>
                          </a:xfrm>
                          <a:prstGeom prst="rect">
                            <a:avLst/>
                          </a:prstGeom>
                        </pic:spPr>
                      </pic:pic>
                    </a:graphicData>
                  </a:graphic>
                </wp:inline>
              </w:drawing>
            </w:r>
          </w:p>
          <w:p w14:paraId="2F6CEEE6">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ascii="Times New Roman" w:hAnsi="Times New Roman" w:eastAsia="宋体"/>
                <w:color w:val="auto"/>
                <w:highlight w:val="none"/>
              </w:rPr>
              <w:t>图3-1</w:t>
            </w:r>
            <w:r>
              <w:rPr>
                <w:rFonts w:hint="eastAsia" w:ascii="Times New Roman" w:hAnsi="Times New Roman" w:eastAsia="宋体"/>
                <w:color w:val="auto"/>
                <w:highlight w:val="none"/>
                <w:lang w:val="en-US" w:eastAsia="zh-CN"/>
              </w:rPr>
              <w:t>环境质量现状</w:t>
            </w:r>
            <w:r>
              <w:rPr>
                <w:rFonts w:hint="eastAsia"/>
                <w:color w:val="auto"/>
                <w:highlight w:val="none"/>
                <w:lang w:val="en-US" w:eastAsia="zh-CN"/>
              </w:rPr>
              <w:t>引用数据</w:t>
            </w:r>
            <w:r>
              <w:rPr>
                <w:rFonts w:hint="eastAsia" w:ascii="Times New Roman" w:hAnsi="Times New Roman" w:eastAsia="宋体"/>
                <w:color w:val="auto"/>
                <w:highlight w:val="none"/>
                <w:lang w:val="en-US" w:eastAsia="zh-CN"/>
              </w:rPr>
              <w:t>监测</w:t>
            </w:r>
            <w:r>
              <w:rPr>
                <w:rFonts w:ascii="Times New Roman" w:hAnsi="Times New Roman" w:eastAsia="宋体"/>
                <w:color w:val="auto"/>
                <w:highlight w:val="none"/>
              </w:rPr>
              <w:t>点位图</w:t>
            </w:r>
          </w:p>
          <w:p w14:paraId="0115C73F">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2）监测时间及频次</w:t>
            </w:r>
          </w:p>
          <w:p w14:paraId="3B897F9F">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监测时间：</w:t>
            </w:r>
            <w:r>
              <w:rPr>
                <w:rFonts w:hint="eastAsia"/>
                <w:color w:val="auto"/>
                <w:highlight w:val="none"/>
                <w:lang w:val="en-US" w:eastAsia="zh-CN"/>
              </w:rPr>
              <w:t>2024年8月5日至2024年8月11日</w:t>
            </w:r>
            <w:r>
              <w:rPr>
                <w:rFonts w:hint="default" w:ascii="Times New Roman" w:hAnsi="Times New Roman" w:eastAsia="宋体"/>
                <w:color w:val="auto"/>
                <w:highlight w:val="none"/>
                <w:lang w:val="en-US"/>
              </w:rPr>
              <w:t>，连续监测</w:t>
            </w:r>
            <w:r>
              <w:rPr>
                <w:rFonts w:hint="eastAsia"/>
                <w:color w:val="auto"/>
                <w:highlight w:val="none"/>
                <w:lang w:val="en-US" w:eastAsia="zh-CN"/>
              </w:rPr>
              <w:t>7</w:t>
            </w:r>
            <w:r>
              <w:rPr>
                <w:rFonts w:hint="default" w:ascii="Times New Roman" w:hAnsi="Times New Roman" w:eastAsia="宋体"/>
                <w:color w:val="auto"/>
                <w:highlight w:val="none"/>
                <w:lang w:val="en-US"/>
              </w:rPr>
              <w:t>天</w:t>
            </w:r>
            <w:r>
              <w:rPr>
                <w:rFonts w:hint="eastAsia"/>
                <w:color w:val="auto"/>
                <w:highlight w:val="none"/>
                <w:lang w:val="en-US" w:eastAsia="zh-CN"/>
              </w:rPr>
              <w:t>，每天监测4次</w:t>
            </w:r>
            <w:r>
              <w:rPr>
                <w:rFonts w:hint="default" w:ascii="Times New Roman" w:hAnsi="Times New Roman" w:eastAsia="宋体"/>
                <w:color w:val="auto"/>
                <w:highlight w:val="none"/>
                <w:lang w:val="en-US"/>
              </w:rPr>
              <w:t>。</w:t>
            </w:r>
          </w:p>
          <w:p w14:paraId="51EBD8A1">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eastAsia="zh-CN"/>
              </w:rPr>
              <w:t>3</w:t>
            </w:r>
            <w:r>
              <w:rPr>
                <w:rFonts w:hint="default" w:ascii="Times New Roman" w:hAnsi="Times New Roman" w:eastAsia="宋体"/>
                <w:color w:val="auto"/>
                <w:highlight w:val="none"/>
                <w:lang w:val="en-US"/>
              </w:rPr>
              <w:t>）监测结果</w:t>
            </w:r>
          </w:p>
          <w:p w14:paraId="5FE27D1E">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项目区域评价因子现状如下表所示。</w:t>
            </w:r>
          </w:p>
          <w:p w14:paraId="0EE6BF91">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ascii="Times New Roman" w:hAnsi="Times New Roman" w:eastAsia="宋体"/>
                <w:color w:val="auto"/>
                <w:highlight w:val="none"/>
              </w:rPr>
              <w:t>表3-</w:t>
            </w:r>
            <w:r>
              <w:rPr>
                <w:rFonts w:hint="eastAsia"/>
                <w:color w:val="auto"/>
                <w:highlight w:val="none"/>
                <w:lang w:val="en-US" w:eastAsia="zh-CN"/>
              </w:rPr>
              <w:t>2</w:t>
            </w:r>
            <w:r>
              <w:rPr>
                <w:rFonts w:ascii="Times New Roman" w:hAnsi="Times New Roman" w:eastAsia="宋体"/>
                <w:color w:val="auto"/>
                <w:highlight w:val="none"/>
              </w:rPr>
              <w:t>环境空气监测现状</w:t>
            </w:r>
          </w:p>
          <w:tbl>
            <w:tblPr>
              <w:tblStyle w:val="16"/>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736"/>
              <w:gridCol w:w="1766"/>
              <w:gridCol w:w="1732"/>
              <w:gridCol w:w="2587"/>
            </w:tblGrid>
            <w:tr w14:paraId="172488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09" w:type="pct"/>
                  <w:tcBorders>
                    <w:tl2br w:val="nil"/>
                    <w:tr2bl w:val="nil"/>
                  </w:tcBorders>
                  <w:vAlign w:val="center"/>
                </w:tcPr>
                <w:p w14:paraId="454FE515">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监测点位</w:t>
                  </w:r>
                </w:p>
              </w:tc>
              <w:tc>
                <w:tcPr>
                  <w:tcW w:w="1129" w:type="pct"/>
                  <w:tcBorders>
                    <w:tl2br w:val="nil"/>
                    <w:tr2bl w:val="nil"/>
                  </w:tcBorders>
                  <w:vAlign w:val="center"/>
                </w:tcPr>
                <w:p w14:paraId="25143471">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污染物</w:t>
                  </w:r>
                </w:p>
              </w:tc>
              <w:tc>
                <w:tcPr>
                  <w:tcW w:w="1107" w:type="pct"/>
                  <w:tcBorders>
                    <w:tl2br w:val="nil"/>
                    <w:tr2bl w:val="nil"/>
                  </w:tcBorders>
                  <w:vAlign w:val="center"/>
                </w:tcPr>
                <w:p w14:paraId="132C966A">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b/>
                      <w:bCs/>
                      <w:color w:val="auto"/>
                      <w:highlight w:val="none"/>
                      <w:lang w:val="en-US" w:eastAsia="zh-CN"/>
                    </w:rPr>
                    <w:t>平均</w:t>
                  </w:r>
                  <w:r>
                    <w:rPr>
                      <w:rFonts w:hint="default" w:ascii="Times New Roman" w:hAnsi="Times New Roman" w:eastAsia="宋体"/>
                      <w:b/>
                      <w:bCs/>
                      <w:color w:val="auto"/>
                      <w:highlight w:val="none"/>
                    </w:rPr>
                    <w:t>时间</w:t>
                  </w:r>
                </w:p>
              </w:tc>
              <w:tc>
                <w:tcPr>
                  <w:tcW w:w="1653" w:type="pct"/>
                  <w:tcBorders>
                    <w:tl2br w:val="nil"/>
                    <w:tr2bl w:val="nil"/>
                  </w:tcBorders>
                  <w:vAlign w:val="center"/>
                </w:tcPr>
                <w:p w14:paraId="30931F4D">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监测浓度范围（mg/m</w:t>
                  </w:r>
                  <w:r>
                    <w:rPr>
                      <w:rFonts w:hint="default" w:ascii="Times New Roman" w:hAnsi="Times New Roman" w:eastAsia="宋体"/>
                      <w:b/>
                      <w:bCs/>
                      <w:color w:val="auto"/>
                      <w:highlight w:val="none"/>
                      <w:vertAlign w:val="superscript"/>
                    </w:rPr>
                    <w:t>3</w:t>
                  </w:r>
                  <w:r>
                    <w:rPr>
                      <w:rFonts w:hint="default" w:ascii="Times New Roman" w:hAnsi="Times New Roman" w:eastAsia="宋体"/>
                      <w:b/>
                      <w:bCs/>
                      <w:color w:val="auto"/>
                      <w:highlight w:val="none"/>
                    </w:rPr>
                    <w:t>）</w:t>
                  </w:r>
                </w:p>
              </w:tc>
            </w:tr>
            <w:tr w14:paraId="23DF5D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09" w:type="pct"/>
                  <w:vMerge w:val="restart"/>
                  <w:tcBorders>
                    <w:tl2br w:val="nil"/>
                    <w:tr2bl w:val="nil"/>
                  </w:tcBorders>
                  <w:vAlign w:val="center"/>
                </w:tcPr>
                <w:p w14:paraId="6F9CBF39">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eastAsia="zh-CN"/>
                    </w:rPr>
                  </w:pPr>
                  <w:r>
                    <w:rPr>
                      <w:rFonts w:hint="eastAsia"/>
                      <w:color w:val="auto"/>
                      <w:highlight w:val="none"/>
                      <w:lang w:val="en-US" w:eastAsia="zh-CN"/>
                    </w:rPr>
                    <w:t>G6荣盛隽峰</w:t>
                  </w:r>
                </w:p>
              </w:tc>
              <w:tc>
                <w:tcPr>
                  <w:tcW w:w="1129" w:type="pct"/>
                  <w:tcBorders>
                    <w:tl2br w:val="nil"/>
                    <w:tr2bl w:val="nil"/>
                  </w:tcBorders>
                  <w:vAlign w:val="center"/>
                </w:tcPr>
                <w:p w14:paraId="6B60CE23">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color w:val="auto"/>
                      <w:highlight w:val="none"/>
                      <w:lang w:val="en-US" w:eastAsia="zh-CN"/>
                    </w:rPr>
                    <w:t>非甲烷总烃</w:t>
                  </w:r>
                </w:p>
              </w:tc>
              <w:tc>
                <w:tcPr>
                  <w:tcW w:w="1107" w:type="pct"/>
                  <w:tcBorders>
                    <w:tl2br w:val="nil"/>
                    <w:tr2bl w:val="nil"/>
                  </w:tcBorders>
                  <w:vAlign w:val="center"/>
                </w:tcPr>
                <w:p w14:paraId="7BD10C3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1小时</w:t>
                  </w:r>
                </w:p>
              </w:tc>
              <w:tc>
                <w:tcPr>
                  <w:tcW w:w="1653" w:type="pct"/>
                  <w:tcBorders>
                    <w:tl2br w:val="nil"/>
                    <w:tr2bl w:val="nil"/>
                  </w:tcBorders>
                  <w:vAlign w:val="center"/>
                </w:tcPr>
                <w:p w14:paraId="1DCEDC1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ascii="Times New Roman" w:hAnsi="Times New Roman" w:eastAsia="宋体" w:cs="Times New Roman"/>
                      <w:color w:val="auto"/>
                      <w:sz w:val="21"/>
                      <w:szCs w:val="21"/>
                      <w:highlight w:val="none"/>
                      <w:lang w:val="en-US" w:eastAsia="zh-CN"/>
                    </w:rPr>
                    <w:t>0.50~0.66</w:t>
                  </w:r>
                </w:p>
              </w:tc>
            </w:tr>
            <w:tr w14:paraId="118AA4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09" w:type="pct"/>
                  <w:vMerge w:val="continue"/>
                  <w:tcBorders>
                    <w:tl2br w:val="nil"/>
                    <w:tr2bl w:val="nil"/>
                  </w:tcBorders>
                  <w:vAlign w:val="center"/>
                </w:tcPr>
                <w:p w14:paraId="6C44DA80">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1129" w:type="pct"/>
                  <w:tcBorders>
                    <w:tl2br w:val="nil"/>
                    <w:tr2bl w:val="nil"/>
                  </w:tcBorders>
                  <w:vAlign w:val="center"/>
                </w:tcPr>
                <w:p w14:paraId="580A1975">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氮氧化物</w:t>
                  </w:r>
                </w:p>
              </w:tc>
              <w:tc>
                <w:tcPr>
                  <w:tcW w:w="1107" w:type="pct"/>
                  <w:tcBorders>
                    <w:tl2br w:val="nil"/>
                    <w:tr2bl w:val="nil"/>
                  </w:tcBorders>
                  <w:vAlign w:val="center"/>
                </w:tcPr>
                <w:p w14:paraId="2E16EBC6">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1小时</w:t>
                  </w:r>
                </w:p>
              </w:tc>
              <w:tc>
                <w:tcPr>
                  <w:tcW w:w="1653" w:type="pct"/>
                  <w:tcBorders>
                    <w:tl2br w:val="nil"/>
                    <w:tr2bl w:val="nil"/>
                  </w:tcBorders>
                  <w:vAlign w:val="center"/>
                </w:tcPr>
                <w:p w14:paraId="181EC1F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0.011</w:t>
                  </w:r>
                  <w:r>
                    <w:rPr>
                      <w:rFonts w:hint="eastAsia" w:ascii="Times New Roman" w:hAnsi="Times New Roman" w:eastAsia="宋体" w:cs="Times New Roman"/>
                      <w:color w:val="auto"/>
                      <w:sz w:val="21"/>
                      <w:szCs w:val="21"/>
                      <w:highlight w:val="none"/>
                      <w:lang w:val="en-US" w:eastAsia="zh-CN"/>
                    </w:rPr>
                    <w:t>~</w:t>
                  </w:r>
                  <w:r>
                    <w:rPr>
                      <w:rFonts w:hint="eastAsia"/>
                      <w:color w:val="auto"/>
                      <w:highlight w:val="none"/>
                      <w:lang w:val="en-US" w:eastAsia="zh-CN"/>
                    </w:rPr>
                    <w:t>0.019</w:t>
                  </w:r>
                </w:p>
              </w:tc>
            </w:tr>
            <w:tr w14:paraId="01111C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09" w:type="pct"/>
                  <w:vMerge w:val="continue"/>
                  <w:tcBorders>
                    <w:tl2br w:val="nil"/>
                    <w:tr2bl w:val="nil"/>
                  </w:tcBorders>
                  <w:vAlign w:val="center"/>
                </w:tcPr>
                <w:p w14:paraId="62DB3F35">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1129" w:type="pct"/>
                  <w:tcBorders>
                    <w:tl2br w:val="nil"/>
                    <w:tr2bl w:val="nil"/>
                  </w:tcBorders>
                  <w:vAlign w:val="center"/>
                </w:tcPr>
                <w:p w14:paraId="43C1B32E">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ascii="Times New Roman" w:hAnsi="Times New Roman" w:eastAsia="宋体" w:cs="Times New Roman"/>
                      <w:color w:val="auto"/>
                      <w:sz w:val="21"/>
                      <w:szCs w:val="21"/>
                      <w:highlight w:val="none"/>
                      <w:lang w:val="en-US" w:eastAsia="zh-CN"/>
                    </w:rPr>
                    <w:t>氨</w:t>
                  </w:r>
                </w:p>
              </w:tc>
              <w:tc>
                <w:tcPr>
                  <w:tcW w:w="1107" w:type="pct"/>
                  <w:tcBorders>
                    <w:tl2br w:val="nil"/>
                    <w:tr2bl w:val="nil"/>
                  </w:tcBorders>
                  <w:vAlign w:val="center"/>
                </w:tcPr>
                <w:p w14:paraId="60B0C36A">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1小时</w:t>
                  </w:r>
                </w:p>
              </w:tc>
              <w:tc>
                <w:tcPr>
                  <w:tcW w:w="1653" w:type="pct"/>
                  <w:tcBorders>
                    <w:tl2br w:val="nil"/>
                    <w:tr2bl w:val="nil"/>
                  </w:tcBorders>
                  <w:vAlign w:val="center"/>
                </w:tcPr>
                <w:p w14:paraId="58D12763">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0.03</w:t>
                  </w:r>
                  <w:r>
                    <w:rPr>
                      <w:rFonts w:hint="eastAsia" w:ascii="Times New Roman" w:hAnsi="Times New Roman" w:eastAsia="宋体" w:cs="Times New Roman"/>
                      <w:color w:val="auto"/>
                      <w:sz w:val="21"/>
                      <w:szCs w:val="21"/>
                      <w:highlight w:val="none"/>
                      <w:lang w:val="en-US" w:eastAsia="zh-CN"/>
                    </w:rPr>
                    <w:t>~</w:t>
                  </w:r>
                  <w:r>
                    <w:rPr>
                      <w:rFonts w:hint="eastAsia"/>
                      <w:color w:val="auto"/>
                      <w:highlight w:val="none"/>
                      <w:lang w:val="en-US" w:eastAsia="zh-CN"/>
                    </w:rPr>
                    <w:t>0.08</w:t>
                  </w:r>
                </w:p>
              </w:tc>
            </w:tr>
            <w:tr w14:paraId="5CE081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09" w:type="pct"/>
                  <w:vMerge w:val="continue"/>
                  <w:tcBorders>
                    <w:tl2br w:val="nil"/>
                    <w:tr2bl w:val="nil"/>
                  </w:tcBorders>
                  <w:vAlign w:val="center"/>
                </w:tcPr>
                <w:p w14:paraId="384C12B1">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1129" w:type="pct"/>
                  <w:tcBorders>
                    <w:tl2br w:val="nil"/>
                    <w:tr2bl w:val="nil"/>
                  </w:tcBorders>
                  <w:vAlign w:val="center"/>
                </w:tcPr>
                <w:p w14:paraId="6FA6573C">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硫化氢</w:t>
                  </w:r>
                </w:p>
              </w:tc>
              <w:tc>
                <w:tcPr>
                  <w:tcW w:w="1107" w:type="pct"/>
                  <w:tcBorders>
                    <w:tl2br w:val="nil"/>
                    <w:tr2bl w:val="nil"/>
                  </w:tcBorders>
                  <w:vAlign w:val="center"/>
                </w:tcPr>
                <w:p w14:paraId="0AE5B394">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1小时</w:t>
                  </w:r>
                </w:p>
              </w:tc>
              <w:tc>
                <w:tcPr>
                  <w:tcW w:w="1653" w:type="pct"/>
                  <w:tcBorders>
                    <w:tl2br w:val="nil"/>
                    <w:tr2bl w:val="nil"/>
                  </w:tcBorders>
                  <w:vAlign w:val="center"/>
                </w:tcPr>
                <w:p w14:paraId="5225BD0A">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ascii="Times New Roman" w:hAnsi="Times New Roman" w:eastAsia="宋体" w:cs="Times New Roman"/>
                      <w:color w:val="auto"/>
                      <w:sz w:val="21"/>
                      <w:szCs w:val="21"/>
                      <w:highlight w:val="none"/>
                      <w:lang w:val="en-US" w:eastAsia="zh-CN"/>
                    </w:rPr>
                    <w:t>ND</w:t>
                  </w:r>
                </w:p>
              </w:tc>
            </w:tr>
          </w:tbl>
          <w:p w14:paraId="6E69A43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5）评价方法</w:t>
            </w:r>
          </w:p>
          <w:p w14:paraId="65CD3B46">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采用单项污染指数法对区域环境空气质量现状进行评价，单项评价指数定义为：</w:t>
            </w:r>
          </w:p>
          <w:p w14:paraId="0D67EB49">
            <w:pPr>
              <w:keepNext w:val="0"/>
              <w:keepLines w:val="0"/>
              <w:suppressLineNumbers w:val="0"/>
              <w:spacing w:before="0" w:beforeAutospacing="0" w:after="0" w:afterAutospacing="0"/>
              <w:ind w:left="0" w:right="0" w:firstLine="480"/>
              <w:jc w:val="center"/>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P</w:t>
            </w:r>
            <w:r>
              <w:rPr>
                <w:rFonts w:hint="default" w:ascii="Times New Roman" w:hAnsi="Times New Roman" w:eastAsia="宋体"/>
                <w:color w:val="auto"/>
                <w:highlight w:val="none"/>
                <w:vertAlign w:val="subscript"/>
                <w:lang w:val="en-US"/>
              </w:rPr>
              <w:t>i</w:t>
            </w:r>
            <w:r>
              <w:rPr>
                <w:rFonts w:hint="default" w:ascii="Times New Roman" w:hAnsi="Times New Roman" w:eastAsia="宋体"/>
                <w:color w:val="auto"/>
                <w:highlight w:val="none"/>
                <w:lang w:val="en-US"/>
              </w:rPr>
              <w:t>=C</w:t>
            </w:r>
            <w:r>
              <w:rPr>
                <w:rFonts w:hint="default" w:ascii="Times New Roman" w:hAnsi="Times New Roman" w:eastAsia="宋体"/>
                <w:color w:val="auto"/>
                <w:highlight w:val="none"/>
                <w:vertAlign w:val="subscript"/>
                <w:lang w:val="en-US"/>
              </w:rPr>
              <w:t>i</w:t>
            </w:r>
            <w:r>
              <w:rPr>
                <w:rFonts w:hint="default" w:ascii="Times New Roman" w:hAnsi="Times New Roman" w:eastAsia="宋体"/>
                <w:color w:val="auto"/>
                <w:highlight w:val="none"/>
                <w:lang w:val="en-US"/>
              </w:rPr>
              <w:t>/C</w:t>
            </w:r>
            <w:r>
              <w:rPr>
                <w:rFonts w:hint="default" w:ascii="Times New Roman" w:hAnsi="Times New Roman" w:eastAsia="宋体"/>
                <w:color w:val="auto"/>
                <w:highlight w:val="none"/>
                <w:vertAlign w:val="subscript"/>
                <w:lang w:val="en-US"/>
              </w:rPr>
              <w:t>0i</w:t>
            </w:r>
          </w:p>
          <w:p w14:paraId="66BA16D9">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式中：C</w:t>
            </w:r>
            <w:r>
              <w:rPr>
                <w:rFonts w:hint="default" w:ascii="Times New Roman" w:hAnsi="Times New Roman" w:eastAsia="宋体"/>
                <w:color w:val="auto"/>
                <w:highlight w:val="none"/>
                <w:vertAlign w:val="subscript"/>
                <w:lang w:val="en-US"/>
              </w:rPr>
              <w:t>i</w:t>
            </w:r>
            <w:r>
              <w:rPr>
                <w:rFonts w:hint="default" w:ascii="Times New Roman" w:hAnsi="Times New Roman" w:eastAsia="宋体"/>
                <w:color w:val="auto"/>
                <w:highlight w:val="none"/>
                <w:lang w:val="en-US"/>
              </w:rPr>
              <w:t>——评价因子监测浓度值，（mg/m</w:t>
            </w:r>
            <w:r>
              <w:rPr>
                <w:rFonts w:hint="default" w:ascii="Times New Roman" w:hAnsi="Times New Roman" w:eastAsia="宋体"/>
                <w:color w:val="auto"/>
                <w:highlight w:val="none"/>
                <w:vertAlign w:val="superscript"/>
                <w:lang w:val="en-US"/>
              </w:rPr>
              <w:t>3</w:t>
            </w:r>
            <w:r>
              <w:rPr>
                <w:rFonts w:hint="default" w:ascii="Times New Roman" w:hAnsi="Times New Roman" w:eastAsia="宋体"/>
                <w:color w:val="auto"/>
                <w:highlight w:val="none"/>
                <w:lang w:val="en-US"/>
              </w:rPr>
              <w:t>）；</w:t>
            </w:r>
          </w:p>
          <w:p w14:paraId="0C0B800A">
            <w:pPr>
              <w:keepNext w:val="0"/>
              <w:keepLines w:val="0"/>
              <w:suppressLineNumbers w:val="0"/>
              <w:spacing w:before="0" w:beforeAutospacing="0" w:after="0" w:afterAutospacing="0"/>
              <w:ind w:left="720" w:leftChars="30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C</w:t>
            </w:r>
            <w:r>
              <w:rPr>
                <w:rFonts w:hint="default" w:ascii="Times New Roman" w:hAnsi="Times New Roman" w:eastAsia="宋体"/>
                <w:color w:val="auto"/>
                <w:highlight w:val="none"/>
                <w:vertAlign w:val="subscript"/>
                <w:lang w:val="en-US"/>
              </w:rPr>
              <w:t>0i</w:t>
            </w:r>
            <w:r>
              <w:rPr>
                <w:rFonts w:hint="default" w:ascii="Times New Roman" w:hAnsi="Times New Roman" w:eastAsia="宋体"/>
                <w:color w:val="auto"/>
                <w:highlight w:val="none"/>
                <w:lang w:val="en-US"/>
              </w:rPr>
              <w:t>——评价因子在国标中的标准浓度值，（mg/m</w:t>
            </w:r>
            <w:r>
              <w:rPr>
                <w:rFonts w:hint="default" w:ascii="Times New Roman" w:hAnsi="Times New Roman" w:eastAsia="宋体"/>
                <w:color w:val="auto"/>
                <w:highlight w:val="none"/>
                <w:vertAlign w:val="superscript"/>
                <w:lang w:val="en-US"/>
              </w:rPr>
              <w:t>3</w:t>
            </w:r>
            <w:r>
              <w:rPr>
                <w:rFonts w:hint="default" w:ascii="Times New Roman" w:hAnsi="Times New Roman" w:eastAsia="宋体"/>
                <w:color w:val="auto"/>
                <w:highlight w:val="none"/>
                <w:lang w:val="en-US"/>
              </w:rPr>
              <w:t>）。</w:t>
            </w:r>
          </w:p>
          <w:p w14:paraId="303BC71E">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6）评价结论</w:t>
            </w:r>
          </w:p>
          <w:p w14:paraId="00528851">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表3-</w:t>
            </w:r>
            <w:r>
              <w:rPr>
                <w:rFonts w:hint="eastAsia"/>
                <w:color w:val="auto"/>
                <w:highlight w:val="none"/>
                <w:lang w:val="en-US" w:eastAsia="zh-CN"/>
              </w:rPr>
              <w:t>3</w:t>
            </w:r>
            <w:r>
              <w:rPr>
                <w:rFonts w:hint="default" w:ascii="Times New Roman" w:hAnsi="Times New Roman" w:eastAsia="宋体"/>
                <w:color w:val="auto"/>
                <w:highlight w:val="none"/>
              </w:rPr>
              <w:t>单项污染指数表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75"/>
              <w:gridCol w:w="1125"/>
              <w:gridCol w:w="708"/>
              <w:gridCol w:w="945"/>
              <w:gridCol w:w="1125"/>
              <w:gridCol w:w="1106"/>
              <w:gridCol w:w="1106"/>
              <w:gridCol w:w="732"/>
            </w:tblGrid>
            <w:tr w14:paraId="354FDF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23" w:type="pct"/>
                  <w:tcBorders>
                    <w:tl2br w:val="nil"/>
                    <w:tr2bl w:val="nil"/>
                  </w:tcBorders>
                  <w:vAlign w:val="center"/>
                </w:tcPr>
                <w:p w14:paraId="79444AA9">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eastAsia="zh-CN"/>
                    </w:rPr>
                  </w:pPr>
                  <w:r>
                    <w:rPr>
                      <w:rFonts w:hint="eastAsia"/>
                      <w:b/>
                      <w:bCs/>
                      <w:color w:val="auto"/>
                      <w:highlight w:val="none"/>
                      <w:lang w:val="en-US" w:eastAsia="zh-CN"/>
                    </w:rPr>
                    <w:t>监测点位</w:t>
                  </w:r>
                </w:p>
              </w:tc>
              <w:tc>
                <w:tcPr>
                  <w:tcW w:w="719" w:type="pct"/>
                  <w:tcBorders>
                    <w:tl2br w:val="nil"/>
                    <w:tr2bl w:val="nil"/>
                  </w:tcBorders>
                  <w:vAlign w:val="center"/>
                </w:tcPr>
                <w:p w14:paraId="4BF14149">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监测项目</w:t>
                  </w:r>
                </w:p>
              </w:tc>
              <w:tc>
                <w:tcPr>
                  <w:tcW w:w="452" w:type="pct"/>
                  <w:tcBorders>
                    <w:tl2br w:val="nil"/>
                    <w:tr2bl w:val="nil"/>
                  </w:tcBorders>
                  <w:vAlign w:val="center"/>
                </w:tcPr>
                <w:p w14:paraId="01627A8B">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eastAsia" w:ascii="Times New Roman" w:hAnsi="Times New Roman" w:eastAsia="宋体"/>
                      <w:b/>
                      <w:bCs/>
                      <w:color w:val="auto"/>
                      <w:highlight w:val="none"/>
                      <w:lang w:val="en-US"/>
                    </w:rPr>
                    <w:t>平均时间</w:t>
                  </w:r>
                </w:p>
              </w:tc>
              <w:tc>
                <w:tcPr>
                  <w:tcW w:w="604" w:type="pct"/>
                  <w:tcBorders>
                    <w:tl2br w:val="nil"/>
                    <w:tr2bl w:val="nil"/>
                  </w:tcBorders>
                  <w:vAlign w:val="center"/>
                </w:tcPr>
                <w:p w14:paraId="3A03E4FD">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eastAsia="zh-CN"/>
                    </w:rPr>
                  </w:pPr>
                  <w:r>
                    <w:rPr>
                      <w:rFonts w:hint="eastAsia"/>
                      <w:b/>
                      <w:bCs/>
                      <w:color w:val="auto"/>
                      <w:highlight w:val="none"/>
                      <w:lang w:val="en-US" w:eastAsia="zh-CN"/>
                    </w:rPr>
                    <w:t>评价标准</w:t>
                  </w:r>
                  <w:r>
                    <w:rPr>
                      <w:rFonts w:hint="default" w:ascii="Times New Roman" w:hAnsi="Times New Roman" w:eastAsia="宋体"/>
                      <w:b/>
                      <w:bCs/>
                      <w:color w:val="auto"/>
                      <w:highlight w:val="none"/>
                    </w:rPr>
                    <w:t>（mg/m</w:t>
                  </w:r>
                  <w:r>
                    <w:rPr>
                      <w:rFonts w:hint="default" w:ascii="Times New Roman" w:hAnsi="Times New Roman" w:eastAsia="宋体"/>
                      <w:b/>
                      <w:bCs/>
                      <w:color w:val="auto"/>
                      <w:highlight w:val="none"/>
                      <w:vertAlign w:val="superscript"/>
                    </w:rPr>
                    <w:t>3</w:t>
                  </w:r>
                  <w:r>
                    <w:rPr>
                      <w:rFonts w:hint="default" w:ascii="Times New Roman" w:hAnsi="Times New Roman" w:eastAsia="宋体"/>
                      <w:b/>
                      <w:bCs/>
                      <w:color w:val="auto"/>
                      <w:highlight w:val="none"/>
                    </w:rPr>
                    <w:t>）</w:t>
                  </w:r>
                </w:p>
              </w:tc>
              <w:tc>
                <w:tcPr>
                  <w:tcW w:w="719" w:type="pct"/>
                  <w:tcBorders>
                    <w:tl2br w:val="nil"/>
                    <w:tr2bl w:val="nil"/>
                  </w:tcBorders>
                  <w:shd w:val="clear" w:color="auto" w:fill="auto"/>
                  <w:vAlign w:val="center"/>
                </w:tcPr>
                <w:p w14:paraId="31ACA387">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b/>
                      <w:bCs/>
                      <w:color w:val="auto"/>
                      <w:sz w:val="21"/>
                      <w:szCs w:val="24"/>
                      <w:highlight w:val="none"/>
                      <w:lang w:val="zh-CN" w:eastAsia="zh-CN" w:bidi="zh-CN"/>
                    </w:rPr>
                  </w:pPr>
                  <w:r>
                    <w:rPr>
                      <w:rFonts w:hint="default" w:ascii="Times New Roman" w:hAnsi="Times New Roman" w:eastAsia="宋体"/>
                      <w:b/>
                      <w:bCs/>
                      <w:color w:val="auto"/>
                      <w:highlight w:val="none"/>
                    </w:rPr>
                    <w:t>监测</w:t>
                  </w:r>
                  <w:r>
                    <w:rPr>
                      <w:rFonts w:hint="eastAsia"/>
                      <w:b/>
                      <w:bCs/>
                      <w:color w:val="auto"/>
                      <w:highlight w:val="none"/>
                      <w:lang w:val="en-US" w:eastAsia="zh-CN"/>
                    </w:rPr>
                    <w:t>浓度</w:t>
                  </w:r>
                  <w:r>
                    <w:rPr>
                      <w:rFonts w:hint="default" w:ascii="Times New Roman" w:hAnsi="Times New Roman" w:eastAsia="宋体"/>
                      <w:b/>
                      <w:bCs/>
                      <w:color w:val="auto"/>
                      <w:highlight w:val="none"/>
                    </w:rPr>
                    <w:t>范围（mg/m</w:t>
                  </w:r>
                  <w:r>
                    <w:rPr>
                      <w:rFonts w:hint="default" w:ascii="Times New Roman" w:hAnsi="Times New Roman" w:eastAsia="宋体"/>
                      <w:b/>
                      <w:bCs/>
                      <w:color w:val="auto"/>
                      <w:highlight w:val="none"/>
                      <w:vertAlign w:val="superscript"/>
                    </w:rPr>
                    <w:t>3</w:t>
                  </w:r>
                  <w:r>
                    <w:rPr>
                      <w:rFonts w:hint="default" w:ascii="Times New Roman" w:hAnsi="Times New Roman" w:eastAsia="宋体"/>
                      <w:b/>
                      <w:bCs/>
                      <w:color w:val="auto"/>
                      <w:highlight w:val="none"/>
                    </w:rPr>
                    <w:t>）</w:t>
                  </w:r>
                </w:p>
              </w:tc>
              <w:tc>
                <w:tcPr>
                  <w:tcW w:w="706" w:type="pct"/>
                  <w:tcBorders>
                    <w:tl2br w:val="nil"/>
                    <w:tr2bl w:val="nil"/>
                  </w:tcBorders>
                  <w:vAlign w:val="center"/>
                </w:tcPr>
                <w:p w14:paraId="4274841F">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eastAsia="zh-CN"/>
                    </w:rPr>
                  </w:pPr>
                  <w:r>
                    <w:rPr>
                      <w:rFonts w:hint="eastAsia"/>
                      <w:b/>
                      <w:bCs/>
                      <w:color w:val="auto"/>
                      <w:highlight w:val="none"/>
                      <w:lang w:val="en-US" w:eastAsia="zh-CN"/>
                    </w:rPr>
                    <w:t>最大浓度占标率%</w:t>
                  </w:r>
                </w:p>
              </w:tc>
              <w:tc>
                <w:tcPr>
                  <w:tcW w:w="706" w:type="pct"/>
                  <w:tcBorders>
                    <w:tl2br w:val="nil"/>
                    <w:tr2bl w:val="nil"/>
                  </w:tcBorders>
                  <w:vAlign w:val="center"/>
                </w:tcPr>
                <w:p w14:paraId="729EFCEC">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eastAsia="zh-CN"/>
                    </w:rPr>
                  </w:pPr>
                  <w:r>
                    <w:rPr>
                      <w:rFonts w:hint="eastAsia"/>
                      <w:b/>
                      <w:bCs/>
                      <w:color w:val="auto"/>
                      <w:highlight w:val="none"/>
                      <w:lang w:val="en-US" w:eastAsia="zh-CN"/>
                    </w:rPr>
                    <w:t>超标率%</w:t>
                  </w:r>
                </w:p>
              </w:tc>
              <w:tc>
                <w:tcPr>
                  <w:tcW w:w="467" w:type="pct"/>
                  <w:tcBorders>
                    <w:tl2br w:val="nil"/>
                    <w:tr2bl w:val="nil"/>
                  </w:tcBorders>
                  <w:vAlign w:val="center"/>
                </w:tcPr>
                <w:p w14:paraId="0AFD5FC6">
                  <w:pPr>
                    <w:pStyle w:val="21"/>
                    <w:keepNext w:val="0"/>
                    <w:keepLines w:val="0"/>
                    <w:suppressLineNumbers w:val="0"/>
                    <w:spacing w:before="0" w:beforeAutospacing="0" w:after="0" w:afterAutospacing="0"/>
                    <w:ind w:left="0" w:right="0"/>
                    <w:rPr>
                      <w:rFonts w:hint="eastAsia" w:ascii="Times New Roman" w:hAnsi="Times New Roman" w:eastAsia="宋体"/>
                      <w:b/>
                      <w:bCs/>
                      <w:color w:val="auto"/>
                      <w:highlight w:val="none"/>
                      <w:lang w:eastAsia="zh-CN"/>
                    </w:rPr>
                  </w:pPr>
                  <w:r>
                    <w:rPr>
                      <w:rFonts w:hint="eastAsia"/>
                      <w:b/>
                      <w:bCs/>
                      <w:color w:val="auto"/>
                      <w:highlight w:val="none"/>
                      <w:lang w:val="en-US" w:eastAsia="zh-CN"/>
                    </w:rPr>
                    <w:t>达标情况</w:t>
                  </w:r>
                </w:p>
              </w:tc>
            </w:tr>
            <w:tr w14:paraId="4CF87F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23" w:type="pct"/>
                  <w:vMerge w:val="restart"/>
                  <w:tcBorders>
                    <w:tl2br w:val="nil"/>
                    <w:tr2bl w:val="nil"/>
                  </w:tcBorders>
                  <w:shd w:val="clear" w:color="auto" w:fill="auto"/>
                  <w:vAlign w:val="center"/>
                </w:tcPr>
                <w:p w14:paraId="543D667F">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G6荣盛隽峰</w:t>
                  </w:r>
                </w:p>
              </w:tc>
              <w:tc>
                <w:tcPr>
                  <w:tcW w:w="719" w:type="pct"/>
                  <w:tcBorders>
                    <w:tl2br w:val="nil"/>
                    <w:tr2bl w:val="nil"/>
                  </w:tcBorders>
                  <w:shd w:val="clear" w:color="auto" w:fill="auto"/>
                  <w:vAlign w:val="center"/>
                </w:tcPr>
                <w:p w14:paraId="5291F6CB">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非甲烷总烃</w:t>
                  </w:r>
                </w:p>
              </w:tc>
              <w:tc>
                <w:tcPr>
                  <w:tcW w:w="452" w:type="pct"/>
                  <w:tcBorders>
                    <w:tl2br w:val="nil"/>
                    <w:tr2bl w:val="nil"/>
                  </w:tcBorders>
                  <w:shd w:val="clear" w:color="auto" w:fill="auto"/>
                  <w:vAlign w:val="center"/>
                </w:tcPr>
                <w:p w14:paraId="44B5AFB9">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1小时</w:t>
                  </w:r>
                </w:p>
              </w:tc>
              <w:tc>
                <w:tcPr>
                  <w:tcW w:w="604" w:type="pct"/>
                  <w:tcBorders>
                    <w:tl2br w:val="nil"/>
                    <w:tr2bl w:val="nil"/>
                  </w:tcBorders>
                  <w:shd w:val="clear" w:color="auto" w:fill="auto"/>
                  <w:vAlign w:val="center"/>
                </w:tcPr>
                <w:p w14:paraId="09232E38">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w:t>
                  </w:r>
                </w:p>
              </w:tc>
              <w:tc>
                <w:tcPr>
                  <w:tcW w:w="719" w:type="pct"/>
                  <w:tcBorders>
                    <w:tl2br w:val="nil"/>
                    <w:tr2bl w:val="nil"/>
                  </w:tcBorders>
                  <w:shd w:val="clear" w:color="auto" w:fill="auto"/>
                  <w:vAlign w:val="center"/>
                </w:tcPr>
                <w:p w14:paraId="228039F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s="Times New Roman"/>
                      <w:color w:val="auto"/>
                      <w:sz w:val="21"/>
                      <w:szCs w:val="21"/>
                      <w:highlight w:val="none"/>
                      <w:lang w:val="en-US" w:eastAsia="zh-CN"/>
                    </w:rPr>
                    <w:t>0.50~0.66</w:t>
                  </w:r>
                </w:p>
              </w:tc>
              <w:tc>
                <w:tcPr>
                  <w:tcW w:w="706" w:type="pct"/>
                  <w:tcBorders>
                    <w:tl2br w:val="nil"/>
                    <w:tr2bl w:val="nil"/>
                  </w:tcBorders>
                  <w:vAlign w:val="center"/>
                </w:tcPr>
                <w:p w14:paraId="25B0BDF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33</w:t>
                  </w:r>
                </w:p>
              </w:tc>
              <w:tc>
                <w:tcPr>
                  <w:tcW w:w="706" w:type="pct"/>
                  <w:tcBorders>
                    <w:tl2br w:val="nil"/>
                    <w:tr2bl w:val="nil"/>
                  </w:tcBorders>
                  <w:vAlign w:val="center"/>
                </w:tcPr>
                <w:p w14:paraId="321313B1">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0</w:t>
                  </w:r>
                </w:p>
              </w:tc>
              <w:tc>
                <w:tcPr>
                  <w:tcW w:w="467" w:type="pct"/>
                  <w:tcBorders>
                    <w:tl2br w:val="nil"/>
                    <w:tr2bl w:val="nil"/>
                  </w:tcBorders>
                  <w:vAlign w:val="center"/>
                </w:tcPr>
                <w:p w14:paraId="08735E6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达标</w:t>
                  </w:r>
                </w:p>
              </w:tc>
            </w:tr>
            <w:tr w14:paraId="1310D1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23" w:type="pct"/>
                  <w:vMerge w:val="continue"/>
                  <w:tcBorders>
                    <w:tl2br w:val="nil"/>
                    <w:tr2bl w:val="nil"/>
                  </w:tcBorders>
                  <w:shd w:val="clear" w:color="auto" w:fill="auto"/>
                  <w:vAlign w:val="center"/>
                </w:tcPr>
                <w:p w14:paraId="2320EE84">
                  <w:pPr>
                    <w:pStyle w:val="21"/>
                    <w:keepNext w:val="0"/>
                    <w:keepLines w:val="0"/>
                    <w:suppressLineNumbers w:val="0"/>
                    <w:spacing w:before="0" w:beforeAutospacing="0" w:after="0" w:afterAutospacing="0"/>
                    <w:ind w:left="0" w:right="0" w:firstLine="0" w:firstLineChars="0"/>
                    <w:rPr>
                      <w:rFonts w:hint="eastAsia"/>
                      <w:color w:val="auto"/>
                      <w:highlight w:val="none"/>
                      <w:lang w:val="en-US" w:eastAsia="zh-CN"/>
                    </w:rPr>
                  </w:pPr>
                </w:p>
              </w:tc>
              <w:tc>
                <w:tcPr>
                  <w:tcW w:w="719" w:type="pct"/>
                  <w:tcBorders>
                    <w:tl2br w:val="nil"/>
                    <w:tr2bl w:val="nil"/>
                  </w:tcBorders>
                  <w:shd w:val="clear" w:color="auto" w:fill="auto"/>
                  <w:vAlign w:val="center"/>
                </w:tcPr>
                <w:p w14:paraId="16503CE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氮氧化物</w:t>
                  </w:r>
                </w:p>
              </w:tc>
              <w:tc>
                <w:tcPr>
                  <w:tcW w:w="452" w:type="pct"/>
                  <w:tcBorders>
                    <w:tl2br w:val="nil"/>
                    <w:tr2bl w:val="nil"/>
                  </w:tcBorders>
                  <w:shd w:val="clear" w:color="auto" w:fill="auto"/>
                  <w:vAlign w:val="center"/>
                </w:tcPr>
                <w:p w14:paraId="1B2F082D">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1小时</w:t>
                  </w:r>
                </w:p>
              </w:tc>
              <w:tc>
                <w:tcPr>
                  <w:tcW w:w="604" w:type="pct"/>
                  <w:tcBorders>
                    <w:tl2br w:val="nil"/>
                    <w:tr2bl w:val="nil"/>
                  </w:tcBorders>
                  <w:shd w:val="clear" w:color="auto" w:fill="auto"/>
                  <w:vAlign w:val="center"/>
                </w:tcPr>
                <w:p w14:paraId="40F7844B">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0.25</w:t>
                  </w:r>
                </w:p>
              </w:tc>
              <w:tc>
                <w:tcPr>
                  <w:tcW w:w="719" w:type="pct"/>
                  <w:tcBorders>
                    <w:tl2br w:val="nil"/>
                    <w:tr2bl w:val="nil"/>
                  </w:tcBorders>
                  <w:shd w:val="clear" w:color="auto" w:fill="auto"/>
                  <w:vAlign w:val="center"/>
                </w:tcPr>
                <w:p w14:paraId="7E7FDC5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0.011</w:t>
                  </w:r>
                  <w:r>
                    <w:rPr>
                      <w:rFonts w:hint="eastAsia" w:ascii="Times New Roman" w:hAnsi="Times New Roman" w:eastAsia="宋体" w:cs="Times New Roman"/>
                      <w:color w:val="auto"/>
                      <w:sz w:val="21"/>
                      <w:szCs w:val="21"/>
                      <w:highlight w:val="none"/>
                      <w:lang w:val="en-US" w:eastAsia="zh-CN"/>
                    </w:rPr>
                    <w:t>~</w:t>
                  </w:r>
                  <w:r>
                    <w:rPr>
                      <w:rFonts w:hint="eastAsia"/>
                      <w:color w:val="auto"/>
                      <w:highlight w:val="none"/>
                      <w:lang w:val="en-US" w:eastAsia="zh-CN"/>
                    </w:rPr>
                    <w:t>0.019</w:t>
                  </w:r>
                </w:p>
              </w:tc>
              <w:tc>
                <w:tcPr>
                  <w:tcW w:w="706" w:type="pct"/>
                  <w:tcBorders>
                    <w:tl2br w:val="nil"/>
                    <w:tr2bl w:val="nil"/>
                  </w:tcBorders>
                  <w:vAlign w:val="center"/>
                </w:tcPr>
                <w:p w14:paraId="2E3B19CB">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7.6</w:t>
                  </w:r>
                </w:p>
              </w:tc>
              <w:tc>
                <w:tcPr>
                  <w:tcW w:w="706" w:type="pct"/>
                  <w:tcBorders>
                    <w:tl2br w:val="nil"/>
                    <w:tr2bl w:val="nil"/>
                  </w:tcBorders>
                  <w:vAlign w:val="center"/>
                </w:tcPr>
                <w:p w14:paraId="39C306E4">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0</w:t>
                  </w:r>
                </w:p>
              </w:tc>
              <w:tc>
                <w:tcPr>
                  <w:tcW w:w="467" w:type="pct"/>
                  <w:tcBorders>
                    <w:tl2br w:val="nil"/>
                    <w:tr2bl w:val="nil"/>
                  </w:tcBorders>
                  <w:vAlign w:val="center"/>
                </w:tcPr>
                <w:p w14:paraId="5232C870">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达标</w:t>
                  </w:r>
                </w:p>
              </w:tc>
            </w:tr>
            <w:tr w14:paraId="55BD63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23" w:type="pct"/>
                  <w:vMerge w:val="continue"/>
                  <w:tcBorders>
                    <w:tl2br w:val="nil"/>
                    <w:tr2bl w:val="nil"/>
                  </w:tcBorders>
                  <w:shd w:val="clear" w:color="auto" w:fill="auto"/>
                  <w:vAlign w:val="center"/>
                </w:tcPr>
                <w:p w14:paraId="62458BEF">
                  <w:pPr>
                    <w:pStyle w:val="21"/>
                    <w:keepNext w:val="0"/>
                    <w:keepLines w:val="0"/>
                    <w:suppressLineNumbers w:val="0"/>
                    <w:spacing w:before="0" w:beforeAutospacing="0" w:after="0" w:afterAutospacing="0"/>
                    <w:ind w:left="0" w:right="0" w:firstLine="0" w:firstLineChars="0"/>
                    <w:rPr>
                      <w:rFonts w:hint="eastAsia"/>
                      <w:color w:val="auto"/>
                      <w:highlight w:val="none"/>
                      <w:lang w:val="en-US" w:eastAsia="zh-CN"/>
                    </w:rPr>
                  </w:pPr>
                </w:p>
              </w:tc>
              <w:tc>
                <w:tcPr>
                  <w:tcW w:w="719" w:type="pct"/>
                  <w:tcBorders>
                    <w:tl2br w:val="nil"/>
                    <w:tr2bl w:val="nil"/>
                  </w:tcBorders>
                  <w:shd w:val="clear" w:color="auto" w:fill="auto"/>
                  <w:vAlign w:val="center"/>
                </w:tcPr>
                <w:p w14:paraId="08C916B5">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s="Times New Roman"/>
                      <w:color w:val="auto"/>
                      <w:sz w:val="21"/>
                      <w:szCs w:val="21"/>
                      <w:highlight w:val="none"/>
                      <w:lang w:val="en-US" w:eastAsia="zh-CN"/>
                    </w:rPr>
                    <w:t>氨</w:t>
                  </w:r>
                </w:p>
              </w:tc>
              <w:tc>
                <w:tcPr>
                  <w:tcW w:w="452" w:type="pct"/>
                  <w:tcBorders>
                    <w:tl2br w:val="nil"/>
                    <w:tr2bl w:val="nil"/>
                  </w:tcBorders>
                  <w:shd w:val="clear" w:color="auto" w:fill="auto"/>
                  <w:vAlign w:val="center"/>
                </w:tcPr>
                <w:p w14:paraId="76C6CDA5">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1小时</w:t>
                  </w:r>
                </w:p>
              </w:tc>
              <w:tc>
                <w:tcPr>
                  <w:tcW w:w="604" w:type="pct"/>
                  <w:tcBorders>
                    <w:tl2br w:val="nil"/>
                    <w:tr2bl w:val="nil"/>
                  </w:tcBorders>
                  <w:shd w:val="clear" w:color="auto" w:fill="auto"/>
                  <w:vAlign w:val="center"/>
                </w:tcPr>
                <w:p w14:paraId="137A30CD">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0.2</w:t>
                  </w:r>
                </w:p>
              </w:tc>
              <w:tc>
                <w:tcPr>
                  <w:tcW w:w="719" w:type="pct"/>
                  <w:tcBorders>
                    <w:tl2br w:val="nil"/>
                    <w:tr2bl w:val="nil"/>
                  </w:tcBorders>
                  <w:shd w:val="clear" w:color="auto" w:fill="auto"/>
                  <w:vAlign w:val="center"/>
                </w:tcPr>
                <w:p w14:paraId="03B01F1D">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0.03</w:t>
                  </w:r>
                  <w:r>
                    <w:rPr>
                      <w:rFonts w:hint="eastAsia" w:ascii="Times New Roman" w:hAnsi="Times New Roman" w:eastAsia="宋体" w:cs="Times New Roman"/>
                      <w:color w:val="auto"/>
                      <w:sz w:val="21"/>
                      <w:szCs w:val="21"/>
                      <w:highlight w:val="none"/>
                      <w:lang w:val="en-US" w:eastAsia="zh-CN"/>
                    </w:rPr>
                    <w:t>~</w:t>
                  </w:r>
                  <w:r>
                    <w:rPr>
                      <w:rFonts w:hint="eastAsia"/>
                      <w:color w:val="auto"/>
                      <w:highlight w:val="none"/>
                      <w:lang w:val="en-US" w:eastAsia="zh-CN"/>
                    </w:rPr>
                    <w:t>0.08</w:t>
                  </w:r>
                </w:p>
              </w:tc>
              <w:tc>
                <w:tcPr>
                  <w:tcW w:w="706" w:type="pct"/>
                  <w:tcBorders>
                    <w:tl2br w:val="nil"/>
                    <w:tr2bl w:val="nil"/>
                  </w:tcBorders>
                  <w:vAlign w:val="center"/>
                </w:tcPr>
                <w:p w14:paraId="61186F83">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40</w:t>
                  </w:r>
                </w:p>
              </w:tc>
              <w:tc>
                <w:tcPr>
                  <w:tcW w:w="706" w:type="pct"/>
                  <w:tcBorders>
                    <w:tl2br w:val="nil"/>
                    <w:tr2bl w:val="nil"/>
                  </w:tcBorders>
                  <w:vAlign w:val="center"/>
                </w:tcPr>
                <w:p w14:paraId="3D238C85">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0</w:t>
                  </w:r>
                </w:p>
              </w:tc>
              <w:tc>
                <w:tcPr>
                  <w:tcW w:w="467" w:type="pct"/>
                  <w:tcBorders>
                    <w:tl2br w:val="nil"/>
                    <w:tr2bl w:val="nil"/>
                  </w:tcBorders>
                  <w:vAlign w:val="center"/>
                </w:tcPr>
                <w:p w14:paraId="63882761">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达标</w:t>
                  </w:r>
                </w:p>
              </w:tc>
            </w:tr>
            <w:tr w14:paraId="50A784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23" w:type="pct"/>
                  <w:vMerge w:val="continue"/>
                  <w:tcBorders>
                    <w:tl2br w:val="nil"/>
                    <w:tr2bl w:val="nil"/>
                  </w:tcBorders>
                  <w:shd w:val="clear" w:color="auto" w:fill="auto"/>
                  <w:vAlign w:val="center"/>
                </w:tcPr>
                <w:p w14:paraId="5ABC81FF">
                  <w:pPr>
                    <w:pStyle w:val="21"/>
                    <w:keepNext w:val="0"/>
                    <w:keepLines w:val="0"/>
                    <w:suppressLineNumbers w:val="0"/>
                    <w:spacing w:before="0" w:beforeAutospacing="0" w:after="0" w:afterAutospacing="0"/>
                    <w:ind w:left="0" w:right="0" w:firstLine="0" w:firstLineChars="0"/>
                    <w:rPr>
                      <w:rFonts w:hint="eastAsia"/>
                      <w:color w:val="auto"/>
                      <w:highlight w:val="none"/>
                      <w:lang w:val="en-US" w:eastAsia="zh-CN"/>
                    </w:rPr>
                  </w:pPr>
                </w:p>
              </w:tc>
              <w:tc>
                <w:tcPr>
                  <w:tcW w:w="719" w:type="pct"/>
                  <w:tcBorders>
                    <w:tl2br w:val="nil"/>
                    <w:tr2bl w:val="nil"/>
                  </w:tcBorders>
                  <w:shd w:val="clear" w:color="auto" w:fill="auto"/>
                  <w:vAlign w:val="center"/>
                </w:tcPr>
                <w:p w14:paraId="7161973B">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硫化氢</w:t>
                  </w:r>
                </w:p>
              </w:tc>
              <w:tc>
                <w:tcPr>
                  <w:tcW w:w="452" w:type="pct"/>
                  <w:tcBorders>
                    <w:tl2br w:val="nil"/>
                    <w:tr2bl w:val="nil"/>
                  </w:tcBorders>
                  <w:shd w:val="clear" w:color="auto" w:fill="auto"/>
                  <w:vAlign w:val="center"/>
                </w:tcPr>
                <w:p w14:paraId="3F1B6D90">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1小时</w:t>
                  </w:r>
                </w:p>
              </w:tc>
              <w:tc>
                <w:tcPr>
                  <w:tcW w:w="604" w:type="pct"/>
                  <w:tcBorders>
                    <w:tl2br w:val="nil"/>
                    <w:tr2bl w:val="nil"/>
                  </w:tcBorders>
                  <w:shd w:val="clear" w:color="auto" w:fill="auto"/>
                  <w:vAlign w:val="center"/>
                </w:tcPr>
                <w:p w14:paraId="16331A6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0.01</w:t>
                  </w:r>
                </w:p>
              </w:tc>
              <w:tc>
                <w:tcPr>
                  <w:tcW w:w="719" w:type="pct"/>
                  <w:tcBorders>
                    <w:tl2br w:val="nil"/>
                    <w:tr2bl w:val="nil"/>
                  </w:tcBorders>
                  <w:shd w:val="clear" w:color="auto" w:fill="auto"/>
                  <w:vAlign w:val="center"/>
                </w:tcPr>
                <w:p w14:paraId="09FF73EB">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s="Times New Roman"/>
                      <w:color w:val="auto"/>
                      <w:sz w:val="21"/>
                      <w:szCs w:val="21"/>
                      <w:highlight w:val="none"/>
                      <w:lang w:val="en-US" w:eastAsia="zh-CN"/>
                    </w:rPr>
                    <w:t>ND</w:t>
                  </w:r>
                </w:p>
              </w:tc>
              <w:tc>
                <w:tcPr>
                  <w:tcW w:w="706" w:type="pct"/>
                  <w:tcBorders>
                    <w:tl2br w:val="nil"/>
                    <w:tr2bl w:val="nil"/>
                  </w:tcBorders>
                  <w:vAlign w:val="center"/>
                </w:tcPr>
                <w:p w14:paraId="0B44AC49">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w:t>
                  </w:r>
                </w:p>
              </w:tc>
              <w:tc>
                <w:tcPr>
                  <w:tcW w:w="706" w:type="pct"/>
                  <w:tcBorders>
                    <w:tl2br w:val="nil"/>
                    <w:tr2bl w:val="nil"/>
                  </w:tcBorders>
                  <w:vAlign w:val="center"/>
                </w:tcPr>
                <w:p w14:paraId="68D47969">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0</w:t>
                  </w:r>
                </w:p>
              </w:tc>
              <w:tc>
                <w:tcPr>
                  <w:tcW w:w="467" w:type="pct"/>
                  <w:tcBorders>
                    <w:tl2br w:val="nil"/>
                    <w:tr2bl w:val="nil"/>
                  </w:tcBorders>
                  <w:vAlign w:val="center"/>
                </w:tcPr>
                <w:p w14:paraId="31B1DA02">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达标</w:t>
                  </w:r>
                </w:p>
              </w:tc>
            </w:tr>
          </w:tbl>
          <w:p w14:paraId="10D12156">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监测结果显示，项目所在区域环境空气中</w:t>
            </w:r>
            <w:r>
              <w:rPr>
                <w:rFonts w:hint="eastAsia"/>
                <w:color w:val="auto"/>
                <w:highlight w:val="none"/>
                <w:lang w:val="en-US" w:eastAsia="zh-CN"/>
              </w:rPr>
              <w:t>非甲烷总烃浓度</w:t>
            </w:r>
            <w:r>
              <w:rPr>
                <w:rFonts w:hint="default" w:ascii="Times New Roman" w:hAnsi="Times New Roman" w:eastAsia="宋体"/>
                <w:color w:val="auto"/>
                <w:highlight w:val="none"/>
                <w:lang w:val="en-US"/>
              </w:rPr>
              <w:t>满足《</w:t>
            </w:r>
            <w:r>
              <w:rPr>
                <w:rFonts w:hint="eastAsia"/>
                <w:color w:val="auto"/>
                <w:highlight w:val="none"/>
                <w:lang w:val="en-US" w:eastAsia="zh-CN"/>
              </w:rPr>
              <w:t>大气污染物综合排放标准详解</w:t>
            </w:r>
            <w:r>
              <w:rPr>
                <w:rFonts w:hint="default" w:ascii="Times New Roman" w:hAnsi="Times New Roman" w:eastAsia="宋体"/>
                <w:color w:val="auto"/>
                <w:highlight w:val="none"/>
                <w:lang w:val="en-US"/>
              </w:rPr>
              <w:t>》</w:t>
            </w:r>
            <w:r>
              <w:rPr>
                <w:rFonts w:hint="eastAsia" w:ascii="Times New Roman" w:hAnsi="Times New Roman" w:eastAsia="宋体"/>
                <w:color w:val="auto"/>
                <w:highlight w:val="none"/>
                <w:lang w:val="en-US"/>
              </w:rPr>
              <w:t>中</w:t>
            </w:r>
            <w:r>
              <w:rPr>
                <w:rFonts w:hint="eastAsia"/>
                <w:color w:val="auto"/>
                <w:highlight w:val="none"/>
                <w:lang w:val="en-US" w:eastAsia="zh-CN"/>
              </w:rPr>
              <w:t>确定值，氮氧化物浓度</w:t>
            </w:r>
            <w:r>
              <w:rPr>
                <w:rFonts w:hint="default" w:ascii="Times New Roman" w:hAnsi="Times New Roman" w:eastAsia="宋体"/>
                <w:color w:val="auto"/>
                <w:highlight w:val="none"/>
                <w:lang w:val="en-US"/>
              </w:rPr>
              <w:t>满足《</w:t>
            </w:r>
            <w:r>
              <w:rPr>
                <w:rFonts w:hint="eastAsia"/>
                <w:color w:val="auto"/>
                <w:highlight w:val="none"/>
                <w:lang w:val="en-US" w:eastAsia="zh-CN"/>
              </w:rPr>
              <w:t>环境空气质量标准</w:t>
            </w:r>
            <w:r>
              <w:rPr>
                <w:rFonts w:hint="default" w:ascii="Times New Roman" w:hAnsi="Times New Roman" w:eastAsia="宋体"/>
                <w:color w:val="auto"/>
                <w:highlight w:val="none"/>
                <w:lang w:val="en-US"/>
              </w:rPr>
              <w:t>》</w:t>
            </w:r>
            <w:r>
              <w:rPr>
                <w:rFonts w:hint="eastAsia" w:ascii="Times New Roman" w:hAnsi="Times New Roman" w:eastAsia="宋体"/>
                <w:color w:val="auto"/>
                <w:highlight w:val="none"/>
                <w:lang w:val="en-US" w:eastAsia="zh-CN"/>
              </w:rPr>
              <w:t>（GB3095-2012）表2限值</w:t>
            </w:r>
            <w:r>
              <w:rPr>
                <w:rFonts w:hint="eastAsia"/>
                <w:color w:val="auto"/>
                <w:highlight w:val="none"/>
                <w:lang w:val="en-US" w:eastAsia="zh-CN"/>
              </w:rPr>
              <w:t>，</w:t>
            </w:r>
            <w:r>
              <w:rPr>
                <w:rFonts w:hint="eastAsia" w:ascii="Times New Roman" w:hAnsi="Times New Roman" w:eastAsia="宋体" w:cs="Times New Roman"/>
                <w:color w:val="auto"/>
                <w:sz w:val="24"/>
                <w:szCs w:val="24"/>
                <w:highlight w:val="none"/>
                <w:lang w:val="en-US" w:eastAsia="zh-CN"/>
              </w:rPr>
              <w:t>氨、</w:t>
            </w:r>
            <w:r>
              <w:rPr>
                <w:rFonts w:hint="eastAsia"/>
                <w:color w:val="auto"/>
                <w:highlight w:val="none"/>
                <w:lang w:val="en-US" w:eastAsia="zh-CN"/>
              </w:rPr>
              <w:t>硫化氢浓度满足《环境影响评价技术导则大气环境》（HJ2.2-2018）附录D中参考值</w:t>
            </w:r>
            <w:r>
              <w:rPr>
                <w:rFonts w:hint="default" w:ascii="Times New Roman" w:hAnsi="Times New Roman" w:eastAsia="宋体"/>
                <w:color w:val="auto"/>
                <w:highlight w:val="none"/>
                <w:lang w:val="en-US"/>
              </w:rPr>
              <w:t>。</w:t>
            </w:r>
          </w:p>
          <w:p w14:paraId="41F8A9D2">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2、地表水环境</w:t>
            </w:r>
          </w:p>
          <w:p w14:paraId="269780BF">
            <w:pPr>
              <w:keepNext w:val="0"/>
              <w:keepLines w:val="0"/>
              <w:suppressLineNumbers w:val="0"/>
              <w:bidi w:val="0"/>
              <w:spacing w:before="0" w:beforeAutospacing="0" w:after="0" w:afterAutospacing="0"/>
              <w:ind w:left="0" w:right="0" w:firstLine="480" w:firstLineChars="200"/>
              <w:rPr>
                <w:rFonts w:hint="eastAsia"/>
                <w:color w:val="auto"/>
                <w:highlight w:val="none"/>
                <w:lang w:val="en-US" w:eastAsia="zh-CN"/>
              </w:rPr>
            </w:pPr>
            <w:r>
              <w:rPr>
                <w:rFonts w:hint="eastAsia"/>
                <w:color w:val="auto"/>
                <w:highlight w:val="none"/>
                <w:lang w:val="en-US" w:eastAsia="zh-CN"/>
              </w:rPr>
              <w:t>本项目污水接管至空港污水处理厂，处理达标后尾水排入</w:t>
            </w:r>
            <w:r>
              <w:rPr>
                <w:rFonts w:hint="eastAsia" w:ascii="宋体" w:hAnsi="宋体" w:cs="宋体"/>
                <w:color w:val="auto"/>
                <w:sz w:val="24"/>
                <w:szCs w:val="24"/>
                <w:highlight w:val="none"/>
                <w:lang w:val="en-US" w:eastAsia="zh-CN"/>
              </w:rPr>
              <w:t>云台山河</w:t>
            </w:r>
            <w:r>
              <w:rPr>
                <w:rFonts w:hint="eastAsia"/>
                <w:color w:val="auto"/>
                <w:highlight w:val="none"/>
                <w:lang w:val="en-US" w:eastAsia="zh-CN"/>
              </w:rPr>
              <w:t>；</w:t>
            </w:r>
            <w:r>
              <w:rPr>
                <w:rFonts w:hint="default" w:ascii="宋体" w:hAnsi="宋体" w:eastAsia="宋体" w:cs="宋体"/>
                <w:color w:val="auto"/>
                <w:sz w:val="24"/>
                <w:szCs w:val="24"/>
                <w:highlight w:val="none"/>
              </w:rPr>
              <w:t>根据《江苏省地表水（环境）功能区划（2021—2030年）》，</w:t>
            </w:r>
            <w:r>
              <w:rPr>
                <w:rFonts w:hint="eastAsia" w:ascii="宋体" w:hAnsi="宋体" w:cs="宋体"/>
                <w:color w:val="auto"/>
                <w:sz w:val="24"/>
                <w:szCs w:val="24"/>
                <w:highlight w:val="none"/>
                <w:lang w:val="en-US" w:eastAsia="zh-CN"/>
              </w:rPr>
              <w:t>云台山河</w:t>
            </w:r>
            <w:r>
              <w:rPr>
                <w:rFonts w:hint="default" w:ascii="宋体" w:hAnsi="宋体" w:eastAsia="宋体" w:cs="宋体"/>
                <w:color w:val="auto"/>
                <w:sz w:val="24"/>
                <w:szCs w:val="24"/>
                <w:highlight w:val="none"/>
              </w:rPr>
              <w:t>为Ⅲ类水质目标</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本次评价引用</w:t>
            </w:r>
            <w:r>
              <w:rPr>
                <w:rFonts w:hint="eastAsia"/>
                <w:color w:val="auto"/>
                <w:highlight w:val="none"/>
                <w:lang w:val="en-US" w:eastAsia="zh-CN"/>
              </w:rPr>
              <w:t>《南京江宁经济技术开发区环境评价区域评估报告》（2024年版）</w:t>
            </w:r>
            <w:r>
              <w:rPr>
                <w:rFonts w:hint="eastAsia"/>
                <w:color w:val="auto"/>
                <w:highlight w:val="none"/>
                <w:lang w:eastAsia="zh-CN"/>
              </w:rPr>
              <w:t>中的监测数据进行评价，</w:t>
            </w:r>
            <w:r>
              <w:rPr>
                <w:rFonts w:hint="default"/>
                <w:color w:val="auto"/>
                <w:highlight w:val="none"/>
                <w:lang w:val="en-US" w:eastAsia="zh-CN"/>
              </w:rPr>
              <w:t>监测时间为：</w:t>
            </w:r>
            <w:bookmarkStart w:id="2" w:name="OLE_LINK91"/>
            <w:r>
              <w:rPr>
                <w:rFonts w:hint="default"/>
                <w:color w:val="auto"/>
                <w:highlight w:val="none"/>
                <w:lang w:val="en-US" w:eastAsia="zh-CN"/>
              </w:rPr>
              <w:t>202</w:t>
            </w:r>
            <w:r>
              <w:rPr>
                <w:rFonts w:hint="eastAsia"/>
                <w:color w:val="auto"/>
                <w:highlight w:val="none"/>
                <w:lang w:val="en-US" w:eastAsia="zh-CN"/>
              </w:rPr>
              <w:t>4</w:t>
            </w:r>
            <w:r>
              <w:rPr>
                <w:rFonts w:hint="default"/>
                <w:color w:val="auto"/>
                <w:highlight w:val="none"/>
                <w:lang w:val="en-US" w:eastAsia="zh-CN"/>
              </w:rPr>
              <w:t>年</w:t>
            </w:r>
            <w:r>
              <w:rPr>
                <w:rFonts w:hint="eastAsia"/>
                <w:color w:val="auto"/>
                <w:highlight w:val="none"/>
                <w:lang w:val="en-US" w:eastAsia="zh-CN"/>
              </w:rPr>
              <w:t>8</w:t>
            </w:r>
            <w:r>
              <w:rPr>
                <w:rFonts w:hint="default"/>
                <w:color w:val="auto"/>
                <w:highlight w:val="none"/>
                <w:lang w:val="en-US" w:eastAsia="zh-CN"/>
              </w:rPr>
              <w:t>月</w:t>
            </w:r>
            <w:r>
              <w:rPr>
                <w:rFonts w:hint="eastAsia"/>
                <w:color w:val="auto"/>
                <w:highlight w:val="none"/>
                <w:lang w:val="en-US" w:eastAsia="zh-CN"/>
              </w:rPr>
              <w:t>7</w:t>
            </w:r>
            <w:r>
              <w:rPr>
                <w:rFonts w:hint="default"/>
                <w:color w:val="auto"/>
                <w:highlight w:val="none"/>
                <w:lang w:val="en-US" w:eastAsia="zh-CN"/>
              </w:rPr>
              <w:t>日</w:t>
            </w:r>
            <w:r>
              <w:rPr>
                <w:rFonts w:hint="eastAsia"/>
                <w:color w:val="auto"/>
                <w:highlight w:val="none"/>
                <w:lang w:val="en-US" w:eastAsia="zh-CN"/>
              </w:rPr>
              <w:t>—8</w:t>
            </w:r>
            <w:r>
              <w:rPr>
                <w:rFonts w:hint="default"/>
                <w:color w:val="auto"/>
                <w:highlight w:val="none"/>
                <w:lang w:val="en-US" w:eastAsia="zh-CN"/>
              </w:rPr>
              <w:t>月</w:t>
            </w:r>
            <w:r>
              <w:rPr>
                <w:rFonts w:hint="eastAsia"/>
                <w:color w:val="auto"/>
                <w:highlight w:val="none"/>
                <w:lang w:val="en-US" w:eastAsia="zh-CN"/>
              </w:rPr>
              <w:t>9</w:t>
            </w:r>
            <w:r>
              <w:rPr>
                <w:rFonts w:hint="default"/>
                <w:color w:val="auto"/>
                <w:highlight w:val="none"/>
                <w:lang w:val="en-US" w:eastAsia="zh-CN"/>
              </w:rPr>
              <w:t>日，连续监测3天，</w:t>
            </w:r>
            <w:bookmarkEnd w:id="2"/>
            <w:r>
              <w:rPr>
                <w:rFonts w:hint="eastAsia"/>
                <w:color w:val="auto"/>
                <w:highlight w:val="none"/>
                <w:lang w:val="en-US" w:eastAsia="zh-CN"/>
              </w:rPr>
              <w:t>引用数据为近3年内监测数据，</w:t>
            </w:r>
            <w:r>
              <w:rPr>
                <w:rFonts w:hint="default"/>
                <w:color w:val="auto"/>
                <w:highlight w:val="none"/>
                <w:lang w:val="en-US" w:eastAsia="zh-CN"/>
              </w:rPr>
              <w:t>满足《建设项目环境影响报告表编制技术指南（污染影响类）（试行）》中引用要求，</w:t>
            </w:r>
            <w:r>
              <w:rPr>
                <w:rFonts w:hint="eastAsia"/>
                <w:color w:val="auto"/>
                <w:highlight w:val="none"/>
                <w:lang w:val="en-US" w:eastAsia="zh-CN"/>
              </w:rPr>
              <w:t>是有效引用数据，</w:t>
            </w:r>
            <w:r>
              <w:rPr>
                <w:rFonts w:hint="default"/>
                <w:color w:val="auto"/>
                <w:highlight w:val="none"/>
                <w:lang w:val="en-US" w:eastAsia="zh-CN"/>
              </w:rPr>
              <w:t>引用可行。</w:t>
            </w:r>
          </w:p>
          <w:p w14:paraId="576703F8">
            <w:pPr>
              <w:pStyle w:val="23"/>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表3-</w:t>
            </w:r>
            <w:r>
              <w:rPr>
                <w:rFonts w:hint="eastAsia"/>
                <w:color w:val="auto"/>
                <w:highlight w:val="none"/>
                <w:lang w:val="en-US" w:eastAsia="zh-CN"/>
              </w:rPr>
              <w:t>4</w:t>
            </w:r>
            <w:r>
              <w:rPr>
                <w:rFonts w:hint="default"/>
                <w:color w:val="auto"/>
                <w:highlight w:val="none"/>
              </w:rPr>
              <w:t>区域地表水水质现状监测数据汇总表</w:t>
            </w:r>
            <w:r>
              <w:rPr>
                <w:rFonts w:hint="eastAsia"/>
                <w:color w:val="auto"/>
                <w:sz w:val="21"/>
                <w:szCs w:val="21"/>
                <w:highlight w:val="none"/>
                <w:lang w:val="en-US" w:eastAsia="zh-CN"/>
              </w:rPr>
              <w:t>单位</w:t>
            </w:r>
            <w:r>
              <w:rPr>
                <w:rFonts w:hint="default"/>
                <w:color w:val="auto"/>
                <w:sz w:val="21"/>
                <w:szCs w:val="21"/>
                <w:highlight w:val="none"/>
              </w:rPr>
              <w:t>mg/L，pH无量纲</w:t>
            </w:r>
          </w:p>
          <w:tbl>
            <w:tblPr>
              <w:tblStyle w:val="16"/>
              <w:tblW w:w="4994"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28" w:type="dxa"/>
                <w:bottom w:w="0" w:type="dxa"/>
                <w:right w:w="28" w:type="dxa"/>
              </w:tblCellMar>
            </w:tblPr>
            <w:tblGrid>
              <w:gridCol w:w="846"/>
              <w:gridCol w:w="1779"/>
              <w:gridCol w:w="847"/>
              <w:gridCol w:w="736"/>
              <w:gridCol w:w="723"/>
              <w:gridCol w:w="764"/>
              <w:gridCol w:w="736"/>
              <w:gridCol w:w="694"/>
              <w:gridCol w:w="688"/>
            </w:tblGrid>
            <w:tr w14:paraId="4B8D1EF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846" w:type="dxa"/>
                  <w:tcBorders>
                    <w:tl2br w:val="nil"/>
                    <w:tr2bl w:val="nil"/>
                  </w:tcBorders>
                  <w:noWrap w:val="0"/>
                  <w:vAlign w:val="center"/>
                </w:tcPr>
                <w:p w14:paraId="3298B62C">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lang w:val="en-US" w:eastAsia="zh-CN"/>
                    </w:rPr>
                  </w:pPr>
                  <w:r>
                    <w:rPr>
                      <w:rFonts w:hint="default"/>
                      <w:b/>
                      <w:bCs/>
                      <w:color w:val="auto"/>
                      <w:sz w:val="21"/>
                      <w:szCs w:val="21"/>
                      <w:highlight w:val="none"/>
                      <w:lang w:val="en-US" w:eastAsia="zh-CN"/>
                    </w:rPr>
                    <w:t>断面</w:t>
                  </w:r>
                </w:p>
              </w:tc>
              <w:tc>
                <w:tcPr>
                  <w:tcW w:w="1779" w:type="dxa"/>
                  <w:tcBorders>
                    <w:tl2br w:val="nil"/>
                    <w:tr2bl w:val="nil"/>
                  </w:tcBorders>
                  <w:noWrap w:val="0"/>
                  <w:vAlign w:val="center"/>
                </w:tcPr>
                <w:p w14:paraId="3C05133A">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lang w:val="en-US" w:eastAsia="zh-CN"/>
                    </w:rPr>
                  </w:pPr>
                  <w:r>
                    <w:rPr>
                      <w:rFonts w:hint="default"/>
                      <w:b/>
                      <w:bCs/>
                      <w:color w:val="auto"/>
                      <w:sz w:val="21"/>
                      <w:szCs w:val="21"/>
                      <w:highlight w:val="none"/>
                      <w:lang w:val="en-US" w:eastAsia="zh-CN"/>
                    </w:rPr>
                    <w:t>项目</w:t>
                  </w:r>
                </w:p>
              </w:tc>
              <w:tc>
                <w:tcPr>
                  <w:tcW w:w="847" w:type="dxa"/>
                  <w:tcBorders>
                    <w:tl2br w:val="nil"/>
                    <w:tr2bl w:val="nil"/>
                  </w:tcBorders>
                  <w:shd w:val="clear" w:color="auto" w:fill="auto"/>
                  <w:noWrap w:val="0"/>
                  <w:vAlign w:val="center"/>
                </w:tcPr>
                <w:p w14:paraId="7C4FB84D">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bCs/>
                      <w:color w:val="auto"/>
                      <w:kern w:val="0"/>
                      <w:sz w:val="21"/>
                      <w:szCs w:val="21"/>
                      <w:lang w:val="zh-CN" w:eastAsia="zh-CN" w:bidi="zh-CN"/>
                    </w:rPr>
                  </w:pPr>
                  <w:r>
                    <w:rPr>
                      <w:rFonts w:hint="default" w:ascii="Times New Roman" w:hAnsi="Times New Roman" w:eastAsia="宋体" w:cs="Times New Roman"/>
                      <w:b/>
                      <w:bCs/>
                      <w:snapToGrid/>
                      <w:color w:val="auto"/>
                      <w:kern w:val="0"/>
                      <w:sz w:val="21"/>
                      <w:szCs w:val="21"/>
                      <w:lang w:val="en-US" w:eastAsia="zh-CN" w:bidi="ar"/>
                    </w:rPr>
                    <w:t>pH</w:t>
                  </w:r>
                </w:p>
              </w:tc>
              <w:tc>
                <w:tcPr>
                  <w:tcW w:w="736" w:type="dxa"/>
                  <w:tcBorders>
                    <w:tl2br w:val="nil"/>
                    <w:tr2bl w:val="nil"/>
                  </w:tcBorders>
                  <w:shd w:val="clear" w:color="auto" w:fill="auto"/>
                  <w:noWrap w:val="0"/>
                  <w:vAlign w:val="center"/>
                </w:tcPr>
                <w:p w14:paraId="1EFAB92E">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bCs/>
                      <w:color w:val="auto"/>
                      <w:kern w:val="0"/>
                      <w:sz w:val="21"/>
                      <w:szCs w:val="21"/>
                      <w:vertAlign w:val="subscript"/>
                      <w:lang w:val="zh-CN" w:eastAsia="zh-CN" w:bidi="zh-CN"/>
                    </w:rPr>
                  </w:pPr>
                  <w:r>
                    <w:rPr>
                      <w:rFonts w:hint="eastAsia" w:ascii="宋体" w:hAnsi="宋体" w:eastAsia="宋体" w:cs="宋体"/>
                      <w:b/>
                      <w:bCs/>
                      <w:snapToGrid/>
                      <w:color w:val="auto"/>
                      <w:kern w:val="2"/>
                      <w:sz w:val="21"/>
                      <w:szCs w:val="21"/>
                      <w:lang w:val="en-US" w:eastAsia="zh-CN" w:bidi="ar"/>
                    </w:rPr>
                    <w:t>BOD</w:t>
                  </w:r>
                  <w:r>
                    <w:rPr>
                      <w:rFonts w:hint="eastAsia" w:ascii="宋体" w:hAnsi="宋体" w:eastAsia="宋体" w:cs="宋体"/>
                      <w:b/>
                      <w:bCs/>
                      <w:snapToGrid/>
                      <w:color w:val="auto"/>
                      <w:kern w:val="2"/>
                      <w:sz w:val="21"/>
                      <w:szCs w:val="21"/>
                      <w:vertAlign w:val="subscript"/>
                      <w:lang w:val="en-US" w:eastAsia="zh-CN" w:bidi="ar"/>
                    </w:rPr>
                    <w:t>5</w:t>
                  </w:r>
                </w:p>
              </w:tc>
              <w:tc>
                <w:tcPr>
                  <w:tcW w:w="723" w:type="dxa"/>
                  <w:tcBorders>
                    <w:tl2br w:val="nil"/>
                    <w:tr2bl w:val="nil"/>
                  </w:tcBorders>
                  <w:shd w:val="clear" w:color="auto" w:fill="auto"/>
                  <w:noWrap w:val="0"/>
                  <w:vAlign w:val="center"/>
                </w:tcPr>
                <w:p w14:paraId="6FA8CBA8">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bCs/>
                      <w:color w:val="auto"/>
                      <w:kern w:val="0"/>
                      <w:sz w:val="21"/>
                      <w:szCs w:val="21"/>
                      <w:lang w:val="zh-CN" w:eastAsia="zh-CN" w:bidi="zh-CN"/>
                    </w:rPr>
                  </w:pPr>
                  <w:r>
                    <w:rPr>
                      <w:rFonts w:hint="eastAsia" w:ascii="宋体" w:hAnsi="宋体" w:eastAsia="宋体" w:cs="宋体"/>
                      <w:b/>
                      <w:bCs/>
                      <w:snapToGrid/>
                      <w:color w:val="auto"/>
                      <w:kern w:val="0"/>
                      <w:sz w:val="21"/>
                      <w:szCs w:val="21"/>
                      <w:lang w:val="en-US" w:eastAsia="zh-CN" w:bidi="ar"/>
                    </w:rPr>
                    <w:t>COD</w:t>
                  </w:r>
                </w:p>
              </w:tc>
              <w:tc>
                <w:tcPr>
                  <w:tcW w:w="764" w:type="dxa"/>
                  <w:tcBorders>
                    <w:tl2br w:val="nil"/>
                    <w:tr2bl w:val="nil"/>
                  </w:tcBorders>
                  <w:shd w:val="clear" w:color="auto" w:fill="auto"/>
                  <w:noWrap w:val="0"/>
                  <w:vAlign w:val="center"/>
                </w:tcPr>
                <w:p w14:paraId="79CA61E9">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bCs/>
                      <w:color w:val="auto"/>
                      <w:kern w:val="0"/>
                      <w:sz w:val="21"/>
                      <w:szCs w:val="21"/>
                      <w:lang w:val="zh-CN" w:eastAsia="zh-CN" w:bidi="zh-CN"/>
                    </w:rPr>
                  </w:pPr>
                  <w:r>
                    <w:rPr>
                      <w:rFonts w:hint="eastAsia" w:ascii="宋体" w:hAnsi="宋体" w:eastAsia="宋体" w:cs="宋体"/>
                      <w:b/>
                      <w:bCs/>
                      <w:snapToGrid/>
                      <w:color w:val="auto"/>
                      <w:kern w:val="0"/>
                      <w:sz w:val="21"/>
                      <w:szCs w:val="21"/>
                      <w:lang w:val="en-US" w:eastAsia="zh-CN" w:bidi="ar"/>
                    </w:rPr>
                    <w:t>总氮</w:t>
                  </w:r>
                </w:p>
              </w:tc>
              <w:tc>
                <w:tcPr>
                  <w:tcW w:w="736" w:type="dxa"/>
                  <w:tcBorders>
                    <w:tl2br w:val="nil"/>
                    <w:tr2bl w:val="nil"/>
                  </w:tcBorders>
                  <w:shd w:val="clear" w:color="auto" w:fill="auto"/>
                  <w:noWrap w:val="0"/>
                  <w:vAlign w:val="center"/>
                </w:tcPr>
                <w:p w14:paraId="187FC3D1">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bCs/>
                      <w:color w:val="auto"/>
                      <w:kern w:val="0"/>
                      <w:sz w:val="21"/>
                      <w:szCs w:val="21"/>
                      <w:lang w:val="zh-CN" w:eastAsia="zh-CN" w:bidi="zh-CN"/>
                    </w:rPr>
                  </w:pPr>
                  <w:r>
                    <w:rPr>
                      <w:rFonts w:hint="eastAsia" w:ascii="宋体" w:hAnsi="宋体" w:eastAsia="宋体" w:cs="宋体"/>
                      <w:b/>
                      <w:bCs/>
                      <w:snapToGrid/>
                      <w:color w:val="auto"/>
                      <w:kern w:val="0"/>
                      <w:sz w:val="21"/>
                      <w:szCs w:val="21"/>
                      <w:lang w:val="en-US" w:eastAsia="zh-CN" w:bidi="ar"/>
                    </w:rPr>
                    <w:t>氨氮</w:t>
                  </w:r>
                </w:p>
              </w:tc>
              <w:tc>
                <w:tcPr>
                  <w:tcW w:w="694" w:type="dxa"/>
                  <w:tcBorders>
                    <w:tl2br w:val="nil"/>
                    <w:tr2bl w:val="nil"/>
                  </w:tcBorders>
                  <w:shd w:val="clear" w:color="auto" w:fill="auto"/>
                  <w:noWrap w:val="0"/>
                  <w:vAlign w:val="center"/>
                </w:tcPr>
                <w:p w14:paraId="06BFA135">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bCs/>
                      <w:color w:val="auto"/>
                      <w:kern w:val="0"/>
                      <w:sz w:val="21"/>
                      <w:szCs w:val="21"/>
                      <w:lang w:val="zh-CN" w:eastAsia="zh-CN" w:bidi="zh-CN"/>
                    </w:rPr>
                  </w:pPr>
                  <w:r>
                    <w:rPr>
                      <w:rFonts w:hint="eastAsia" w:ascii="宋体" w:hAnsi="宋体" w:eastAsia="宋体" w:cs="宋体"/>
                      <w:b/>
                      <w:bCs/>
                      <w:snapToGrid/>
                      <w:color w:val="auto"/>
                      <w:kern w:val="0"/>
                      <w:sz w:val="21"/>
                      <w:szCs w:val="21"/>
                      <w:lang w:val="en-US" w:eastAsia="zh-CN" w:bidi="ar"/>
                    </w:rPr>
                    <w:t>总磷</w:t>
                  </w:r>
                </w:p>
              </w:tc>
              <w:tc>
                <w:tcPr>
                  <w:tcW w:w="688" w:type="dxa"/>
                  <w:tcBorders>
                    <w:tl2br w:val="nil"/>
                    <w:tr2bl w:val="nil"/>
                  </w:tcBorders>
                  <w:shd w:val="clear" w:color="auto" w:fill="auto"/>
                  <w:noWrap w:val="0"/>
                  <w:vAlign w:val="center"/>
                </w:tcPr>
                <w:p w14:paraId="5A4262B0">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bCs/>
                      <w:color w:val="auto"/>
                      <w:kern w:val="0"/>
                      <w:sz w:val="21"/>
                      <w:szCs w:val="21"/>
                      <w:lang w:val="zh-CN" w:eastAsia="zh-CN" w:bidi="zh-CN"/>
                    </w:rPr>
                  </w:pPr>
                  <w:r>
                    <w:rPr>
                      <w:rFonts w:hint="eastAsia" w:ascii="宋体" w:hAnsi="宋体" w:eastAsia="宋体" w:cs="宋体"/>
                      <w:b/>
                      <w:bCs/>
                      <w:snapToGrid/>
                      <w:color w:val="auto"/>
                      <w:kern w:val="2"/>
                      <w:sz w:val="21"/>
                      <w:szCs w:val="21"/>
                      <w:lang w:val="en-US" w:eastAsia="zh-CN" w:bidi="ar"/>
                    </w:rPr>
                    <w:t>SS</w:t>
                  </w:r>
                </w:p>
              </w:tc>
            </w:tr>
            <w:tr w14:paraId="645BF88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846" w:type="dxa"/>
                  <w:vMerge w:val="restart"/>
                  <w:tcBorders>
                    <w:tl2br w:val="nil"/>
                    <w:tr2bl w:val="nil"/>
                  </w:tcBorders>
                  <w:noWrap w:val="0"/>
                  <w:vAlign w:val="center"/>
                </w:tcPr>
                <w:p w14:paraId="5470F109">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r>
                    <w:rPr>
                      <w:rFonts w:hint="default"/>
                      <w:color w:val="auto"/>
                      <w:sz w:val="21"/>
                      <w:szCs w:val="21"/>
                      <w:highlight w:val="none"/>
                      <w:lang w:val="en-US" w:eastAsia="zh-CN"/>
                    </w:rPr>
                    <w:t>W</w:t>
                  </w:r>
                  <w:r>
                    <w:rPr>
                      <w:rFonts w:hint="eastAsia"/>
                      <w:color w:val="auto"/>
                      <w:sz w:val="21"/>
                      <w:szCs w:val="21"/>
                      <w:highlight w:val="none"/>
                      <w:lang w:val="en-US" w:eastAsia="zh-CN"/>
                    </w:rPr>
                    <w:t>4-</w:t>
                  </w:r>
                  <w:r>
                    <w:rPr>
                      <w:rFonts w:hint="default"/>
                      <w:color w:val="auto"/>
                      <w:sz w:val="21"/>
                      <w:szCs w:val="21"/>
                      <w:highlight w:val="none"/>
                      <w:lang w:val="en-US" w:eastAsia="zh-CN"/>
                    </w:rPr>
                    <w:t>1空港污水处理厂排口上游500m</w:t>
                  </w:r>
                </w:p>
              </w:tc>
              <w:tc>
                <w:tcPr>
                  <w:tcW w:w="1779" w:type="dxa"/>
                  <w:tcBorders>
                    <w:tl2br w:val="nil"/>
                    <w:tr2bl w:val="nil"/>
                  </w:tcBorders>
                  <w:noWrap w:val="0"/>
                  <w:vAlign w:val="center"/>
                </w:tcPr>
                <w:p w14:paraId="6C9DA479">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r>
                    <w:rPr>
                      <w:rFonts w:hint="default"/>
                      <w:color w:val="auto"/>
                      <w:sz w:val="21"/>
                      <w:szCs w:val="21"/>
                      <w:highlight w:val="none"/>
                      <w:lang w:val="en-US" w:eastAsia="zh-CN"/>
                    </w:rPr>
                    <w:t>最</w:t>
                  </w:r>
                  <w:r>
                    <w:rPr>
                      <w:rFonts w:hint="eastAsia"/>
                      <w:color w:val="auto"/>
                      <w:sz w:val="21"/>
                      <w:szCs w:val="21"/>
                      <w:highlight w:val="none"/>
                      <w:lang w:val="en-US" w:eastAsia="zh-CN"/>
                    </w:rPr>
                    <w:t>大</w:t>
                  </w:r>
                  <w:r>
                    <w:rPr>
                      <w:rFonts w:hint="default"/>
                      <w:color w:val="auto"/>
                      <w:sz w:val="21"/>
                      <w:szCs w:val="21"/>
                      <w:highlight w:val="none"/>
                      <w:lang w:val="en-US" w:eastAsia="zh-CN"/>
                    </w:rPr>
                    <w:t>值</w:t>
                  </w:r>
                </w:p>
              </w:tc>
              <w:tc>
                <w:tcPr>
                  <w:tcW w:w="847" w:type="dxa"/>
                  <w:tcBorders>
                    <w:tl2br w:val="nil"/>
                    <w:tr2bl w:val="nil"/>
                  </w:tcBorders>
                  <w:shd w:val="clear" w:color="auto" w:fill="auto"/>
                  <w:noWrap w:val="0"/>
                  <w:vAlign w:val="center"/>
                </w:tcPr>
                <w:p w14:paraId="5BF31691">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7.6</w:t>
                  </w:r>
                </w:p>
              </w:tc>
              <w:tc>
                <w:tcPr>
                  <w:tcW w:w="736" w:type="dxa"/>
                  <w:tcBorders>
                    <w:tl2br w:val="nil"/>
                    <w:tr2bl w:val="nil"/>
                  </w:tcBorders>
                  <w:shd w:val="clear" w:color="auto" w:fill="auto"/>
                  <w:noWrap w:val="0"/>
                  <w:vAlign w:val="center"/>
                </w:tcPr>
                <w:p w14:paraId="22ECB8B5">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i w:val="0"/>
                      <w:iCs w:val="0"/>
                      <w:snapToGrid/>
                      <w:color w:val="auto"/>
                      <w:kern w:val="0"/>
                      <w:sz w:val="21"/>
                      <w:szCs w:val="21"/>
                      <w:lang w:val="en-US" w:eastAsia="zh-CN" w:bidi="ar"/>
                    </w:rPr>
                    <w:t>2.2</w:t>
                  </w:r>
                </w:p>
              </w:tc>
              <w:tc>
                <w:tcPr>
                  <w:tcW w:w="723" w:type="dxa"/>
                  <w:tcBorders>
                    <w:tl2br w:val="nil"/>
                    <w:tr2bl w:val="nil"/>
                  </w:tcBorders>
                  <w:shd w:val="clear" w:color="auto" w:fill="auto"/>
                  <w:noWrap w:val="0"/>
                  <w:vAlign w:val="center"/>
                </w:tcPr>
                <w:p w14:paraId="639A633C">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9</w:t>
                  </w:r>
                </w:p>
              </w:tc>
              <w:tc>
                <w:tcPr>
                  <w:tcW w:w="764" w:type="dxa"/>
                  <w:tcBorders>
                    <w:tl2br w:val="nil"/>
                    <w:tr2bl w:val="nil"/>
                  </w:tcBorders>
                  <w:shd w:val="clear" w:color="auto" w:fill="auto"/>
                  <w:noWrap w:val="0"/>
                  <w:vAlign w:val="center"/>
                </w:tcPr>
                <w:p w14:paraId="2FB4639B">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i w:val="0"/>
                      <w:iCs w:val="0"/>
                      <w:snapToGrid/>
                      <w:color w:val="auto"/>
                      <w:kern w:val="0"/>
                      <w:sz w:val="21"/>
                      <w:szCs w:val="21"/>
                      <w:lang w:val="en-US" w:eastAsia="zh-CN" w:bidi="ar"/>
                    </w:rPr>
                    <w:t>4.83</w:t>
                  </w:r>
                </w:p>
              </w:tc>
              <w:tc>
                <w:tcPr>
                  <w:tcW w:w="736" w:type="dxa"/>
                  <w:tcBorders>
                    <w:tl2br w:val="nil"/>
                    <w:tr2bl w:val="nil"/>
                  </w:tcBorders>
                  <w:shd w:val="clear" w:color="auto" w:fill="auto"/>
                  <w:noWrap w:val="0"/>
                  <w:vAlign w:val="center"/>
                </w:tcPr>
                <w:p w14:paraId="1D8348C6">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i w:val="0"/>
                      <w:iCs w:val="0"/>
                      <w:snapToGrid/>
                      <w:color w:val="auto"/>
                      <w:kern w:val="0"/>
                      <w:sz w:val="21"/>
                      <w:szCs w:val="21"/>
                      <w:lang w:val="en-US" w:eastAsia="zh-CN" w:bidi="ar"/>
                    </w:rPr>
                    <w:t>0.527</w:t>
                  </w:r>
                </w:p>
              </w:tc>
              <w:tc>
                <w:tcPr>
                  <w:tcW w:w="694" w:type="dxa"/>
                  <w:tcBorders>
                    <w:tl2br w:val="nil"/>
                    <w:tr2bl w:val="nil"/>
                  </w:tcBorders>
                  <w:shd w:val="clear" w:color="auto" w:fill="auto"/>
                  <w:noWrap w:val="0"/>
                  <w:vAlign w:val="center"/>
                </w:tcPr>
                <w:p w14:paraId="0A48C301">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i w:val="0"/>
                      <w:iCs w:val="0"/>
                      <w:snapToGrid/>
                      <w:color w:val="auto"/>
                      <w:kern w:val="0"/>
                      <w:sz w:val="21"/>
                      <w:szCs w:val="21"/>
                      <w:lang w:val="en-US" w:eastAsia="zh-CN" w:bidi="ar"/>
                    </w:rPr>
                    <w:t>0.07</w:t>
                  </w:r>
                </w:p>
              </w:tc>
              <w:tc>
                <w:tcPr>
                  <w:tcW w:w="688" w:type="dxa"/>
                  <w:tcBorders>
                    <w:tl2br w:val="nil"/>
                    <w:tr2bl w:val="nil"/>
                  </w:tcBorders>
                  <w:shd w:val="clear" w:color="auto" w:fill="auto"/>
                  <w:noWrap w:val="0"/>
                  <w:vAlign w:val="center"/>
                </w:tcPr>
                <w:p w14:paraId="437C3ABA">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25</w:t>
                  </w:r>
                </w:p>
              </w:tc>
            </w:tr>
            <w:tr w14:paraId="240B75C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846" w:type="dxa"/>
                  <w:vMerge w:val="continue"/>
                  <w:tcBorders>
                    <w:tl2br w:val="nil"/>
                    <w:tr2bl w:val="nil"/>
                  </w:tcBorders>
                  <w:noWrap w:val="0"/>
                  <w:vAlign w:val="center"/>
                </w:tcPr>
                <w:p w14:paraId="565DEE73">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c>
                <w:tcPr>
                  <w:tcW w:w="1779" w:type="dxa"/>
                  <w:tcBorders>
                    <w:tl2br w:val="nil"/>
                    <w:tr2bl w:val="nil"/>
                  </w:tcBorders>
                  <w:noWrap w:val="0"/>
                  <w:vAlign w:val="center"/>
                </w:tcPr>
                <w:p w14:paraId="1C6BBDA1">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r>
                    <w:rPr>
                      <w:rFonts w:hint="default"/>
                      <w:color w:val="auto"/>
                      <w:sz w:val="21"/>
                      <w:szCs w:val="21"/>
                      <w:highlight w:val="none"/>
                      <w:lang w:val="en-US" w:eastAsia="zh-CN"/>
                    </w:rPr>
                    <w:t>最</w:t>
                  </w:r>
                  <w:r>
                    <w:rPr>
                      <w:rFonts w:hint="eastAsia"/>
                      <w:color w:val="auto"/>
                      <w:sz w:val="21"/>
                      <w:szCs w:val="21"/>
                      <w:highlight w:val="none"/>
                      <w:lang w:val="en-US" w:eastAsia="zh-CN"/>
                    </w:rPr>
                    <w:t>小</w:t>
                  </w:r>
                  <w:r>
                    <w:rPr>
                      <w:rFonts w:hint="default"/>
                      <w:color w:val="auto"/>
                      <w:sz w:val="21"/>
                      <w:szCs w:val="21"/>
                      <w:highlight w:val="none"/>
                      <w:lang w:val="en-US" w:eastAsia="zh-CN"/>
                    </w:rPr>
                    <w:t>值</w:t>
                  </w:r>
                </w:p>
              </w:tc>
              <w:tc>
                <w:tcPr>
                  <w:tcW w:w="847" w:type="dxa"/>
                  <w:tcBorders>
                    <w:tl2br w:val="nil"/>
                    <w:tr2bl w:val="nil"/>
                  </w:tcBorders>
                  <w:shd w:val="clear" w:color="auto" w:fill="auto"/>
                  <w:noWrap w:val="0"/>
                  <w:vAlign w:val="center"/>
                </w:tcPr>
                <w:p w14:paraId="384B9166">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7.5</w:t>
                  </w:r>
                </w:p>
              </w:tc>
              <w:tc>
                <w:tcPr>
                  <w:tcW w:w="736" w:type="dxa"/>
                  <w:tcBorders>
                    <w:tl2br w:val="nil"/>
                    <w:tr2bl w:val="nil"/>
                  </w:tcBorders>
                  <w:shd w:val="clear" w:color="auto" w:fill="auto"/>
                  <w:noWrap w:val="0"/>
                  <w:vAlign w:val="center"/>
                </w:tcPr>
                <w:p w14:paraId="4E5375A8">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i w:val="0"/>
                      <w:iCs w:val="0"/>
                      <w:snapToGrid/>
                      <w:color w:val="auto"/>
                      <w:kern w:val="0"/>
                      <w:sz w:val="21"/>
                      <w:szCs w:val="21"/>
                      <w:lang w:val="en-US" w:eastAsia="zh-CN" w:bidi="ar"/>
                    </w:rPr>
                    <w:t>2.1</w:t>
                  </w:r>
                </w:p>
              </w:tc>
              <w:tc>
                <w:tcPr>
                  <w:tcW w:w="723" w:type="dxa"/>
                  <w:tcBorders>
                    <w:tl2br w:val="nil"/>
                    <w:tr2bl w:val="nil"/>
                  </w:tcBorders>
                  <w:shd w:val="clear" w:color="auto" w:fill="auto"/>
                  <w:noWrap w:val="0"/>
                  <w:vAlign w:val="center"/>
                </w:tcPr>
                <w:p w14:paraId="24EA3703">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8</w:t>
                  </w:r>
                </w:p>
              </w:tc>
              <w:tc>
                <w:tcPr>
                  <w:tcW w:w="764" w:type="dxa"/>
                  <w:tcBorders>
                    <w:tl2br w:val="nil"/>
                    <w:tr2bl w:val="nil"/>
                  </w:tcBorders>
                  <w:shd w:val="clear" w:color="auto" w:fill="auto"/>
                  <w:noWrap w:val="0"/>
                  <w:vAlign w:val="center"/>
                </w:tcPr>
                <w:p w14:paraId="5F560D79">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i w:val="0"/>
                      <w:iCs w:val="0"/>
                      <w:snapToGrid/>
                      <w:color w:val="auto"/>
                      <w:kern w:val="0"/>
                      <w:sz w:val="21"/>
                      <w:szCs w:val="21"/>
                      <w:lang w:val="en-US" w:eastAsia="zh-CN" w:bidi="ar"/>
                    </w:rPr>
                    <w:t>4.69</w:t>
                  </w:r>
                </w:p>
              </w:tc>
              <w:tc>
                <w:tcPr>
                  <w:tcW w:w="736" w:type="dxa"/>
                  <w:tcBorders>
                    <w:tl2br w:val="nil"/>
                    <w:tr2bl w:val="nil"/>
                  </w:tcBorders>
                  <w:shd w:val="clear" w:color="auto" w:fill="auto"/>
                  <w:noWrap w:val="0"/>
                  <w:vAlign w:val="center"/>
                </w:tcPr>
                <w:p w14:paraId="7BFC06D7">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i w:val="0"/>
                      <w:iCs w:val="0"/>
                      <w:snapToGrid/>
                      <w:color w:val="auto"/>
                      <w:kern w:val="0"/>
                      <w:sz w:val="21"/>
                      <w:szCs w:val="21"/>
                      <w:lang w:val="en-US" w:eastAsia="zh-CN" w:bidi="ar"/>
                    </w:rPr>
                    <w:t>0.504</w:t>
                  </w:r>
                </w:p>
              </w:tc>
              <w:tc>
                <w:tcPr>
                  <w:tcW w:w="694" w:type="dxa"/>
                  <w:tcBorders>
                    <w:tl2br w:val="nil"/>
                    <w:tr2bl w:val="nil"/>
                  </w:tcBorders>
                  <w:shd w:val="clear" w:color="auto" w:fill="auto"/>
                  <w:noWrap w:val="0"/>
                  <w:vAlign w:val="center"/>
                </w:tcPr>
                <w:p w14:paraId="0E205B8E">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i w:val="0"/>
                      <w:iCs w:val="0"/>
                      <w:snapToGrid/>
                      <w:color w:val="auto"/>
                      <w:kern w:val="0"/>
                      <w:sz w:val="21"/>
                      <w:szCs w:val="21"/>
                      <w:lang w:val="en-US" w:eastAsia="zh-CN" w:bidi="ar"/>
                    </w:rPr>
                    <w:t>0.06</w:t>
                  </w:r>
                </w:p>
              </w:tc>
              <w:tc>
                <w:tcPr>
                  <w:tcW w:w="688" w:type="dxa"/>
                  <w:tcBorders>
                    <w:tl2br w:val="nil"/>
                    <w:tr2bl w:val="nil"/>
                  </w:tcBorders>
                  <w:shd w:val="clear" w:color="auto" w:fill="auto"/>
                  <w:noWrap w:val="0"/>
                  <w:vAlign w:val="center"/>
                </w:tcPr>
                <w:p w14:paraId="4FB8DD82">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22</w:t>
                  </w:r>
                </w:p>
              </w:tc>
            </w:tr>
            <w:tr w14:paraId="145C6BB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846" w:type="dxa"/>
                  <w:vMerge w:val="continue"/>
                  <w:tcBorders>
                    <w:tl2br w:val="nil"/>
                    <w:tr2bl w:val="nil"/>
                  </w:tcBorders>
                  <w:noWrap w:val="0"/>
                  <w:vAlign w:val="center"/>
                </w:tcPr>
                <w:p w14:paraId="6BDE8964">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c>
                <w:tcPr>
                  <w:tcW w:w="1779" w:type="dxa"/>
                  <w:tcBorders>
                    <w:tl2br w:val="nil"/>
                    <w:tr2bl w:val="nil"/>
                  </w:tcBorders>
                  <w:noWrap w:val="0"/>
                  <w:vAlign w:val="center"/>
                </w:tcPr>
                <w:p w14:paraId="1D65DAF9">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rPr>
                  </w:pPr>
                  <w:r>
                    <w:rPr>
                      <w:rFonts w:hint="default"/>
                      <w:color w:val="auto"/>
                      <w:sz w:val="21"/>
                      <w:szCs w:val="21"/>
                      <w:highlight w:val="none"/>
                      <w:lang w:val="en-US" w:eastAsia="zh-CN"/>
                    </w:rPr>
                    <w:t>标准值</w:t>
                  </w:r>
                </w:p>
              </w:tc>
              <w:tc>
                <w:tcPr>
                  <w:tcW w:w="847" w:type="dxa"/>
                  <w:tcBorders>
                    <w:tl2br w:val="nil"/>
                    <w:tr2bl w:val="nil"/>
                  </w:tcBorders>
                  <w:shd w:val="clear" w:color="auto" w:fill="auto"/>
                  <w:noWrap w:val="0"/>
                  <w:vAlign w:val="center"/>
                </w:tcPr>
                <w:p w14:paraId="40D47A7B">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0"/>
                      <w:sz w:val="21"/>
                      <w:szCs w:val="21"/>
                      <w:lang w:val="en-US" w:eastAsia="zh-CN" w:bidi="zh-CN"/>
                    </w:rPr>
                  </w:pPr>
                  <w:r>
                    <w:rPr>
                      <w:rFonts w:hint="default" w:ascii="Times New Roman" w:hAnsi="Times New Roman" w:eastAsia="宋体" w:cs="Times New Roman"/>
                      <w:b w:val="0"/>
                      <w:bCs w:val="0"/>
                      <w:snapToGrid/>
                      <w:color w:val="auto"/>
                      <w:kern w:val="0"/>
                      <w:sz w:val="21"/>
                      <w:szCs w:val="21"/>
                      <w:lang w:val="en-US" w:eastAsia="zh-CN" w:bidi="ar"/>
                    </w:rPr>
                    <w:t>6-9</w:t>
                  </w:r>
                </w:p>
              </w:tc>
              <w:tc>
                <w:tcPr>
                  <w:tcW w:w="736" w:type="dxa"/>
                  <w:tcBorders>
                    <w:tl2br w:val="nil"/>
                    <w:tr2bl w:val="nil"/>
                  </w:tcBorders>
                  <w:shd w:val="clear" w:color="auto" w:fill="auto"/>
                  <w:noWrap w:val="0"/>
                  <w:vAlign w:val="center"/>
                </w:tcPr>
                <w:p w14:paraId="7282F7C4">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21"/>
                      <w:szCs w:val="21"/>
                      <w:lang w:val="en-US" w:eastAsia="zh-CN" w:bidi="zh-CN"/>
                    </w:rPr>
                  </w:pPr>
                  <w:r>
                    <w:rPr>
                      <w:rFonts w:hint="default" w:ascii="Times New Roman" w:hAnsi="Times New Roman" w:eastAsia="宋体" w:cs="Times New Roman"/>
                      <w:b w:val="0"/>
                      <w:bCs w:val="0"/>
                      <w:snapToGrid/>
                      <w:color w:val="auto"/>
                      <w:kern w:val="2"/>
                      <w:sz w:val="21"/>
                      <w:szCs w:val="21"/>
                      <w:lang w:val="en-US" w:eastAsia="zh-CN" w:bidi="ar"/>
                    </w:rPr>
                    <w:t>4</w:t>
                  </w:r>
                </w:p>
              </w:tc>
              <w:tc>
                <w:tcPr>
                  <w:tcW w:w="723" w:type="dxa"/>
                  <w:tcBorders>
                    <w:tl2br w:val="nil"/>
                    <w:tr2bl w:val="nil"/>
                  </w:tcBorders>
                  <w:shd w:val="clear" w:color="auto" w:fill="auto"/>
                  <w:noWrap w:val="0"/>
                  <w:vAlign w:val="center"/>
                </w:tcPr>
                <w:p w14:paraId="78B53577">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0"/>
                      <w:sz w:val="21"/>
                      <w:szCs w:val="21"/>
                      <w:lang w:val="en-US" w:eastAsia="zh-CN" w:bidi="zh-CN"/>
                    </w:rPr>
                  </w:pPr>
                  <w:r>
                    <w:rPr>
                      <w:rFonts w:hint="default" w:ascii="Times New Roman" w:hAnsi="Times New Roman" w:eastAsia="宋体" w:cs="Times New Roman"/>
                      <w:b w:val="0"/>
                      <w:bCs w:val="0"/>
                      <w:snapToGrid/>
                      <w:color w:val="auto"/>
                      <w:kern w:val="0"/>
                      <w:sz w:val="21"/>
                      <w:szCs w:val="21"/>
                      <w:lang w:val="en-US" w:eastAsia="zh-CN" w:bidi="ar"/>
                    </w:rPr>
                    <w:t>20</w:t>
                  </w:r>
                </w:p>
              </w:tc>
              <w:tc>
                <w:tcPr>
                  <w:tcW w:w="764" w:type="dxa"/>
                  <w:tcBorders>
                    <w:tl2br w:val="nil"/>
                    <w:tr2bl w:val="nil"/>
                  </w:tcBorders>
                  <w:shd w:val="clear" w:color="auto" w:fill="auto"/>
                  <w:noWrap w:val="0"/>
                  <w:vAlign w:val="center"/>
                </w:tcPr>
                <w:p w14:paraId="148C47CB">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0"/>
                      <w:sz w:val="21"/>
                      <w:szCs w:val="21"/>
                      <w:lang w:val="en-US" w:eastAsia="zh-CN" w:bidi="zh-CN"/>
                    </w:rPr>
                  </w:pPr>
                  <w:r>
                    <w:rPr>
                      <w:rFonts w:hint="default" w:ascii="Times New Roman" w:hAnsi="Times New Roman" w:eastAsia="宋体" w:cs="Times New Roman"/>
                      <w:b w:val="0"/>
                      <w:bCs w:val="0"/>
                      <w:snapToGrid/>
                      <w:color w:val="auto"/>
                      <w:kern w:val="0"/>
                      <w:sz w:val="21"/>
                      <w:szCs w:val="21"/>
                      <w:lang w:val="en-US" w:eastAsia="zh-CN" w:bidi="ar"/>
                    </w:rPr>
                    <w:t>/</w:t>
                  </w:r>
                </w:p>
              </w:tc>
              <w:tc>
                <w:tcPr>
                  <w:tcW w:w="736" w:type="dxa"/>
                  <w:tcBorders>
                    <w:tl2br w:val="nil"/>
                    <w:tr2bl w:val="nil"/>
                  </w:tcBorders>
                  <w:shd w:val="clear" w:color="auto" w:fill="auto"/>
                  <w:noWrap w:val="0"/>
                  <w:vAlign w:val="center"/>
                </w:tcPr>
                <w:p w14:paraId="2484BD7A">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0"/>
                      <w:sz w:val="21"/>
                      <w:szCs w:val="21"/>
                      <w:lang w:val="en-US" w:eastAsia="zh-CN" w:bidi="zh-CN"/>
                    </w:rPr>
                  </w:pPr>
                  <w:r>
                    <w:rPr>
                      <w:rFonts w:hint="default" w:ascii="Times New Roman" w:hAnsi="Times New Roman" w:eastAsia="宋体" w:cs="Times New Roman"/>
                      <w:b w:val="0"/>
                      <w:bCs w:val="0"/>
                      <w:snapToGrid/>
                      <w:color w:val="auto"/>
                      <w:kern w:val="0"/>
                      <w:sz w:val="21"/>
                      <w:szCs w:val="21"/>
                      <w:lang w:val="en-US" w:eastAsia="zh-CN" w:bidi="ar"/>
                    </w:rPr>
                    <w:t>1.0</w:t>
                  </w:r>
                </w:p>
              </w:tc>
              <w:tc>
                <w:tcPr>
                  <w:tcW w:w="694" w:type="dxa"/>
                  <w:tcBorders>
                    <w:tl2br w:val="nil"/>
                    <w:tr2bl w:val="nil"/>
                  </w:tcBorders>
                  <w:shd w:val="clear" w:color="auto" w:fill="auto"/>
                  <w:noWrap w:val="0"/>
                  <w:vAlign w:val="center"/>
                </w:tcPr>
                <w:p w14:paraId="7DFCF7A5">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0"/>
                      <w:sz w:val="21"/>
                      <w:szCs w:val="21"/>
                      <w:lang w:val="en-US" w:eastAsia="zh-CN" w:bidi="zh-CN"/>
                    </w:rPr>
                  </w:pPr>
                  <w:r>
                    <w:rPr>
                      <w:rFonts w:hint="default" w:ascii="Times New Roman" w:hAnsi="Times New Roman" w:eastAsia="宋体" w:cs="Times New Roman"/>
                      <w:b w:val="0"/>
                      <w:bCs w:val="0"/>
                      <w:snapToGrid/>
                      <w:color w:val="auto"/>
                      <w:kern w:val="0"/>
                      <w:sz w:val="21"/>
                      <w:szCs w:val="21"/>
                      <w:lang w:val="en-US" w:eastAsia="zh-CN" w:bidi="ar"/>
                    </w:rPr>
                    <w:t>0.2</w:t>
                  </w:r>
                </w:p>
              </w:tc>
              <w:tc>
                <w:tcPr>
                  <w:tcW w:w="688" w:type="dxa"/>
                  <w:tcBorders>
                    <w:tl2br w:val="nil"/>
                    <w:tr2bl w:val="nil"/>
                  </w:tcBorders>
                  <w:shd w:val="clear" w:color="auto" w:fill="auto"/>
                  <w:noWrap w:val="0"/>
                  <w:vAlign w:val="center"/>
                </w:tcPr>
                <w:p w14:paraId="37FFBA6E">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w:t>
                  </w:r>
                </w:p>
              </w:tc>
            </w:tr>
            <w:tr w14:paraId="4F7A39D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846" w:type="dxa"/>
                  <w:vMerge w:val="continue"/>
                  <w:tcBorders>
                    <w:tl2br w:val="nil"/>
                    <w:tr2bl w:val="nil"/>
                  </w:tcBorders>
                  <w:noWrap w:val="0"/>
                  <w:vAlign w:val="center"/>
                </w:tcPr>
                <w:p w14:paraId="24234968">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c>
                <w:tcPr>
                  <w:tcW w:w="1779" w:type="dxa"/>
                  <w:tcBorders>
                    <w:tl2br w:val="nil"/>
                    <w:tr2bl w:val="nil"/>
                  </w:tcBorders>
                  <w:noWrap w:val="0"/>
                  <w:vAlign w:val="center"/>
                </w:tcPr>
                <w:p w14:paraId="55958FF3">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最大浓度占标率%</w:t>
                  </w:r>
                </w:p>
              </w:tc>
              <w:tc>
                <w:tcPr>
                  <w:tcW w:w="847" w:type="dxa"/>
                  <w:tcBorders>
                    <w:tl2br w:val="nil"/>
                    <w:tr2bl w:val="nil"/>
                  </w:tcBorders>
                  <w:shd w:val="clear" w:color="auto" w:fill="auto"/>
                  <w:noWrap w:val="0"/>
                  <w:vAlign w:val="center"/>
                </w:tcPr>
                <w:p w14:paraId="09F8A9A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0.3</w:t>
                  </w:r>
                </w:p>
              </w:tc>
              <w:tc>
                <w:tcPr>
                  <w:tcW w:w="736" w:type="dxa"/>
                  <w:tcBorders>
                    <w:tl2br w:val="nil"/>
                    <w:tr2bl w:val="nil"/>
                  </w:tcBorders>
                  <w:shd w:val="clear" w:color="auto" w:fill="auto"/>
                  <w:noWrap w:val="0"/>
                  <w:vAlign w:val="center"/>
                </w:tcPr>
                <w:p w14:paraId="4C1D4C2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0.55</w:t>
                  </w:r>
                </w:p>
              </w:tc>
              <w:tc>
                <w:tcPr>
                  <w:tcW w:w="723" w:type="dxa"/>
                  <w:tcBorders>
                    <w:tl2br w:val="nil"/>
                    <w:tr2bl w:val="nil"/>
                  </w:tcBorders>
                  <w:shd w:val="clear" w:color="auto" w:fill="auto"/>
                  <w:noWrap w:val="0"/>
                  <w:vAlign w:val="center"/>
                </w:tcPr>
                <w:p w14:paraId="75559FD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0.45</w:t>
                  </w:r>
                </w:p>
              </w:tc>
              <w:tc>
                <w:tcPr>
                  <w:tcW w:w="764" w:type="dxa"/>
                  <w:tcBorders>
                    <w:tl2br w:val="nil"/>
                    <w:tr2bl w:val="nil"/>
                  </w:tcBorders>
                  <w:shd w:val="clear" w:color="auto" w:fill="auto"/>
                  <w:noWrap w:val="0"/>
                  <w:vAlign w:val="center"/>
                </w:tcPr>
                <w:p w14:paraId="6B93C17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736" w:type="dxa"/>
                  <w:tcBorders>
                    <w:tl2br w:val="nil"/>
                    <w:tr2bl w:val="nil"/>
                  </w:tcBorders>
                  <w:shd w:val="clear" w:color="auto" w:fill="auto"/>
                  <w:noWrap w:val="0"/>
                  <w:vAlign w:val="center"/>
                </w:tcPr>
                <w:p w14:paraId="581E078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0.527</w:t>
                  </w:r>
                </w:p>
              </w:tc>
              <w:tc>
                <w:tcPr>
                  <w:tcW w:w="694" w:type="dxa"/>
                  <w:tcBorders>
                    <w:tl2br w:val="nil"/>
                    <w:tr2bl w:val="nil"/>
                  </w:tcBorders>
                  <w:shd w:val="clear" w:color="auto" w:fill="auto"/>
                  <w:noWrap w:val="0"/>
                  <w:vAlign w:val="center"/>
                </w:tcPr>
                <w:p w14:paraId="43DF1C1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0.35</w:t>
                  </w:r>
                </w:p>
              </w:tc>
              <w:tc>
                <w:tcPr>
                  <w:tcW w:w="688" w:type="dxa"/>
                  <w:tcBorders>
                    <w:tl2br w:val="nil"/>
                    <w:tr2bl w:val="nil"/>
                  </w:tcBorders>
                  <w:shd w:val="clear" w:color="auto" w:fill="auto"/>
                  <w:noWrap w:val="0"/>
                  <w:vAlign w:val="center"/>
                </w:tcPr>
                <w:p w14:paraId="6145730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r>
            <w:tr w14:paraId="5B1128E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846" w:type="dxa"/>
                  <w:vMerge w:val="continue"/>
                  <w:tcBorders>
                    <w:tl2br w:val="nil"/>
                    <w:tr2bl w:val="nil"/>
                  </w:tcBorders>
                  <w:noWrap w:val="0"/>
                  <w:vAlign w:val="center"/>
                </w:tcPr>
                <w:p w14:paraId="04D4E70D">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c>
                <w:tcPr>
                  <w:tcW w:w="1779" w:type="dxa"/>
                  <w:tcBorders>
                    <w:tl2br w:val="nil"/>
                    <w:tr2bl w:val="nil"/>
                  </w:tcBorders>
                  <w:noWrap w:val="0"/>
                  <w:vAlign w:val="center"/>
                </w:tcPr>
                <w:p w14:paraId="0C8C7B48">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r>
                    <w:rPr>
                      <w:rFonts w:hint="default"/>
                      <w:color w:val="auto"/>
                      <w:sz w:val="21"/>
                      <w:szCs w:val="21"/>
                      <w:highlight w:val="none"/>
                      <w:lang w:val="en-US" w:eastAsia="zh-CN"/>
                    </w:rPr>
                    <w:t>超标率</w:t>
                  </w:r>
                  <w:r>
                    <w:rPr>
                      <w:rFonts w:hint="eastAsia"/>
                      <w:color w:val="auto"/>
                      <w:sz w:val="21"/>
                      <w:szCs w:val="21"/>
                      <w:highlight w:val="none"/>
                      <w:lang w:val="en-US" w:eastAsia="zh-CN"/>
                    </w:rPr>
                    <w:t>%</w:t>
                  </w:r>
                </w:p>
              </w:tc>
              <w:tc>
                <w:tcPr>
                  <w:tcW w:w="847" w:type="dxa"/>
                  <w:tcBorders>
                    <w:tl2br w:val="nil"/>
                    <w:tr2bl w:val="nil"/>
                  </w:tcBorders>
                  <w:shd w:val="clear" w:color="auto" w:fill="auto"/>
                  <w:noWrap w:val="0"/>
                  <w:vAlign w:val="center"/>
                </w:tcPr>
                <w:p w14:paraId="5C66ABFE">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0</w:t>
                  </w:r>
                </w:p>
              </w:tc>
              <w:tc>
                <w:tcPr>
                  <w:tcW w:w="736" w:type="dxa"/>
                  <w:tcBorders>
                    <w:tl2br w:val="nil"/>
                    <w:tr2bl w:val="nil"/>
                  </w:tcBorders>
                  <w:shd w:val="clear" w:color="auto" w:fill="auto"/>
                  <w:noWrap w:val="0"/>
                  <w:vAlign w:val="center"/>
                </w:tcPr>
                <w:p w14:paraId="7C515713">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0</w:t>
                  </w:r>
                </w:p>
              </w:tc>
              <w:tc>
                <w:tcPr>
                  <w:tcW w:w="723" w:type="dxa"/>
                  <w:tcBorders>
                    <w:tl2br w:val="nil"/>
                    <w:tr2bl w:val="nil"/>
                  </w:tcBorders>
                  <w:shd w:val="clear" w:color="auto" w:fill="auto"/>
                  <w:noWrap w:val="0"/>
                  <w:vAlign w:val="center"/>
                </w:tcPr>
                <w:p w14:paraId="786E45BA">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0</w:t>
                  </w:r>
                </w:p>
              </w:tc>
              <w:tc>
                <w:tcPr>
                  <w:tcW w:w="764" w:type="dxa"/>
                  <w:tcBorders>
                    <w:tl2br w:val="nil"/>
                    <w:tr2bl w:val="nil"/>
                  </w:tcBorders>
                  <w:shd w:val="clear" w:color="auto" w:fill="auto"/>
                  <w:noWrap w:val="0"/>
                  <w:vAlign w:val="center"/>
                </w:tcPr>
                <w:p w14:paraId="6AEF11D1">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w:t>
                  </w:r>
                </w:p>
              </w:tc>
              <w:tc>
                <w:tcPr>
                  <w:tcW w:w="736" w:type="dxa"/>
                  <w:tcBorders>
                    <w:tl2br w:val="nil"/>
                    <w:tr2bl w:val="nil"/>
                  </w:tcBorders>
                  <w:shd w:val="clear" w:color="auto" w:fill="auto"/>
                  <w:noWrap w:val="0"/>
                  <w:vAlign w:val="center"/>
                </w:tcPr>
                <w:p w14:paraId="4DC69706">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0</w:t>
                  </w:r>
                </w:p>
              </w:tc>
              <w:tc>
                <w:tcPr>
                  <w:tcW w:w="694" w:type="dxa"/>
                  <w:tcBorders>
                    <w:tl2br w:val="nil"/>
                    <w:tr2bl w:val="nil"/>
                  </w:tcBorders>
                  <w:shd w:val="clear" w:color="auto" w:fill="auto"/>
                  <w:noWrap w:val="0"/>
                  <w:vAlign w:val="center"/>
                </w:tcPr>
                <w:p w14:paraId="76A8AB5D">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0</w:t>
                  </w:r>
                </w:p>
              </w:tc>
              <w:tc>
                <w:tcPr>
                  <w:tcW w:w="688" w:type="dxa"/>
                  <w:tcBorders>
                    <w:tl2br w:val="nil"/>
                    <w:tr2bl w:val="nil"/>
                  </w:tcBorders>
                  <w:shd w:val="clear" w:color="auto" w:fill="auto"/>
                  <w:noWrap w:val="0"/>
                  <w:vAlign w:val="center"/>
                </w:tcPr>
                <w:p w14:paraId="6C39E54E">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w:t>
                  </w:r>
                </w:p>
              </w:tc>
            </w:tr>
            <w:tr w14:paraId="0F9FF5F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846" w:type="dxa"/>
                  <w:vMerge w:val="continue"/>
                  <w:tcBorders>
                    <w:tl2br w:val="nil"/>
                    <w:tr2bl w:val="nil"/>
                  </w:tcBorders>
                  <w:noWrap w:val="0"/>
                  <w:vAlign w:val="center"/>
                </w:tcPr>
                <w:p w14:paraId="77B860D1">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c>
                <w:tcPr>
                  <w:tcW w:w="1779" w:type="dxa"/>
                  <w:tcBorders>
                    <w:tl2br w:val="nil"/>
                    <w:tr2bl w:val="nil"/>
                  </w:tcBorders>
                  <w:noWrap w:val="0"/>
                  <w:vAlign w:val="center"/>
                </w:tcPr>
                <w:p w14:paraId="427F9127">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r>
                    <w:rPr>
                      <w:rFonts w:hint="default"/>
                      <w:color w:val="auto"/>
                      <w:sz w:val="21"/>
                      <w:szCs w:val="21"/>
                      <w:highlight w:val="none"/>
                      <w:lang w:val="en-US" w:eastAsia="zh-CN"/>
                    </w:rPr>
                    <w:t>是否达标</w:t>
                  </w:r>
                </w:p>
              </w:tc>
              <w:tc>
                <w:tcPr>
                  <w:tcW w:w="847" w:type="dxa"/>
                  <w:tcBorders>
                    <w:tl2br w:val="nil"/>
                    <w:tr2bl w:val="nil"/>
                  </w:tcBorders>
                  <w:noWrap w:val="0"/>
                  <w:vAlign w:val="center"/>
                </w:tcPr>
                <w:p w14:paraId="725BB522">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达标</w:t>
                  </w:r>
                </w:p>
              </w:tc>
              <w:tc>
                <w:tcPr>
                  <w:tcW w:w="736" w:type="dxa"/>
                  <w:tcBorders>
                    <w:tl2br w:val="nil"/>
                    <w:tr2bl w:val="nil"/>
                  </w:tcBorders>
                  <w:noWrap w:val="0"/>
                  <w:vAlign w:val="center"/>
                </w:tcPr>
                <w:p w14:paraId="69E71CBC">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达标</w:t>
                  </w:r>
                </w:p>
              </w:tc>
              <w:tc>
                <w:tcPr>
                  <w:tcW w:w="723" w:type="dxa"/>
                  <w:tcBorders>
                    <w:tl2br w:val="nil"/>
                    <w:tr2bl w:val="nil"/>
                  </w:tcBorders>
                  <w:noWrap w:val="0"/>
                  <w:vAlign w:val="center"/>
                </w:tcPr>
                <w:p w14:paraId="17597C83">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达标</w:t>
                  </w:r>
                </w:p>
              </w:tc>
              <w:tc>
                <w:tcPr>
                  <w:tcW w:w="764" w:type="dxa"/>
                  <w:tcBorders>
                    <w:tl2br w:val="nil"/>
                    <w:tr2bl w:val="nil"/>
                  </w:tcBorders>
                  <w:noWrap w:val="0"/>
                  <w:vAlign w:val="center"/>
                </w:tcPr>
                <w:p w14:paraId="068BD643">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达标</w:t>
                  </w:r>
                </w:p>
              </w:tc>
              <w:tc>
                <w:tcPr>
                  <w:tcW w:w="736" w:type="dxa"/>
                  <w:tcBorders>
                    <w:tl2br w:val="nil"/>
                    <w:tr2bl w:val="nil"/>
                  </w:tcBorders>
                  <w:noWrap w:val="0"/>
                  <w:vAlign w:val="center"/>
                </w:tcPr>
                <w:p w14:paraId="0694C6EE">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达标</w:t>
                  </w:r>
                </w:p>
              </w:tc>
              <w:tc>
                <w:tcPr>
                  <w:tcW w:w="694" w:type="dxa"/>
                  <w:tcBorders>
                    <w:tl2br w:val="nil"/>
                    <w:tr2bl w:val="nil"/>
                  </w:tcBorders>
                  <w:noWrap w:val="0"/>
                  <w:vAlign w:val="center"/>
                </w:tcPr>
                <w:p w14:paraId="08E4D6EE">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达标</w:t>
                  </w:r>
                </w:p>
              </w:tc>
              <w:tc>
                <w:tcPr>
                  <w:tcW w:w="688" w:type="dxa"/>
                  <w:tcBorders>
                    <w:tl2br w:val="nil"/>
                    <w:tr2bl w:val="nil"/>
                  </w:tcBorders>
                  <w:noWrap w:val="0"/>
                  <w:vAlign w:val="center"/>
                </w:tcPr>
                <w:p w14:paraId="660AA030">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达标</w:t>
                  </w:r>
                </w:p>
              </w:tc>
            </w:tr>
            <w:tr w14:paraId="1BB7346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846" w:type="dxa"/>
                  <w:vMerge w:val="restart"/>
                  <w:tcBorders>
                    <w:tl2br w:val="nil"/>
                    <w:tr2bl w:val="nil"/>
                  </w:tcBorders>
                  <w:noWrap w:val="0"/>
                  <w:vAlign w:val="center"/>
                </w:tcPr>
                <w:p w14:paraId="58A1D3CA">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W4-2南区污水处理厂上游约500米</w:t>
                  </w:r>
                </w:p>
              </w:tc>
              <w:tc>
                <w:tcPr>
                  <w:tcW w:w="1779" w:type="dxa"/>
                  <w:tcBorders>
                    <w:tl2br w:val="nil"/>
                    <w:tr2bl w:val="nil"/>
                  </w:tcBorders>
                  <w:shd w:val="clear" w:color="auto" w:fill="auto"/>
                  <w:noWrap w:val="0"/>
                  <w:vAlign w:val="center"/>
                </w:tcPr>
                <w:p w14:paraId="0F0DD41B">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lang w:val="en-US" w:eastAsia="zh-CN" w:bidi="zh-CN"/>
                    </w:rPr>
                  </w:pPr>
                  <w:r>
                    <w:rPr>
                      <w:rFonts w:hint="default"/>
                      <w:color w:val="auto"/>
                      <w:sz w:val="21"/>
                      <w:szCs w:val="21"/>
                      <w:highlight w:val="none"/>
                      <w:lang w:val="en-US" w:eastAsia="zh-CN"/>
                    </w:rPr>
                    <w:t>最</w:t>
                  </w:r>
                  <w:r>
                    <w:rPr>
                      <w:rFonts w:hint="eastAsia"/>
                      <w:color w:val="auto"/>
                      <w:sz w:val="21"/>
                      <w:szCs w:val="21"/>
                      <w:highlight w:val="none"/>
                      <w:lang w:val="en-US" w:eastAsia="zh-CN"/>
                    </w:rPr>
                    <w:t>大</w:t>
                  </w:r>
                  <w:r>
                    <w:rPr>
                      <w:rFonts w:hint="default"/>
                      <w:color w:val="auto"/>
                      <w:sz w:val="21"/>
                      <w:szCs w:val="21"/>
                      <w:highlight w:val="none"/>
                      <w:lang w:val="en-US" w:eastAsia="zh-CN"/>
                    </w:rPr>
                    <w:t>值</w:t>
                  </w:r>
                </w:p>
              </w:tc>
              <w:tc>
                <w:tcPr>
                  <w:tcW w:w="847" w:type="dxa"/>
                  <w:tcBorders>
                    <w:tl2br w:val="nil"/>
                    <w:tr2bl w:val="nil"/>
                  </w:tcBorders>
                  <w:shd w:val="clear" w:color="auto" w:fill="auto"/>
                  <w:noWrap w:val="0"/>
                  <w:vAlign w:val="center"/>
                </w:tcPr>
                <w:p w14:paraId="79A42F58">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7.7</w:t>
                  </w:r>
                </w:p>
              </w:tc>
              <w:tc>
                <w:tcPr>
                  <w:tcW w:w="736" w:type="dxa"/>
                  <w:tcBorders>
                    <w:tl2br w:val="nil"/>
                    <w:tr2bl w:val="nil"/>
                  </w:tcBorders>
                  <w:shd w:val="clear" w:color="auto" w:fill="auto"/>
                  <w:noWrap w:val="0"/>
                  <w:vAlign w:val="center"/>
                </w:tcPr>
                <w:p w14:paraId="12BCF40E">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2.2</w:t>
                  </w:r>
                </w:p>
              </w:tc>
              <w:tc>
                <w:tcPr>
                  <w:tcW w:w="723" w:type="dxa"/>
                  <w:tcBorders>
                    <w:tl2br w:val="nil"/>
                    <w:tr2bl w:val="nil"/>
                  </w:tcBorders>
                  <w:shd w:val="clear" w:color="auto" w:fill="auto"/>
                  <w:noWrap w:val="0"/>
                  <w:vAlign w:val="center"/>
                </w:tcPr>
                <w:p w14:paraId="0743DAC2">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10</w:t>
                  </w:r>
                </w:p>
              </w:tc>
              <w:tc>
                <w:tcPr>
                  <w:tcW w:w="764" w:type="dxa"/>
                  <w:tcBorders>
                    <w:tl2br w:val="nil"/>
                    <w:tr2bl w:val="nil"/>
                  </w:tcBorders>
                  <w:shd w:val="clear" w:color="auto" w:fill="auto"/>
                  <w:noWrap w:val="0"/>
                  <w:vAlign w:val="center"/>
                </w:tcPr>
                <w:p w14:paraId="5325CE42">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i w:val="0"/>
                      <w:iCs w:val="0"/>
                      <w:snapToGrid/>
                      <w:color w:val="auto"/>
                      <w:kern w:val="0"/>
                      <w:sz w:val="21"/>
                      <w:szCs w:val="21"/>
                      <w:lang w:val="en-US" w:eastAsia="zh-CN" w:bidi="ar"/>
                    </w:rPr>
                    <w:t>1.71</w:t>
                  </w:r>
                </w:p>
              </w:tc>
              <w:tc>
                <w:tcPr>
                  <w:tcW w:w="736" w:type="dxa"/>
                  <w:tcBorders>
                    <w:tl2br w:val="nil"/>
                    <w:tr2bl w:val="nil"/>
                  </w:tcBorders>
                  <w:shd w:val="clear" w:color="auto" w:fill="auto"/>
                  <w:noWrap w:val="0"/>
                  <w:vAlign w:val="center"/>
                </w:tcPr>
                <w:p w14:paraId="76D88787">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i w:val="0"/>
                      <w:iCs w:val="0"/>
                      <w:snapToGrid/>
                      <w:color w:val="auto"/>
                      <w:kern w:val="0"/>
                      <w:sz w:val="21"/>
                      <w:szCs w:val="21"/>
                      <w:lang w:val="en-US" w:eastAsia="zh-CN" w:bidi="ar"/>
                    </w:rPr>
                    <w:t>0.408</w:t>
                  </w:r>
                </w:p>
              </w:tc>
              <w:tc>
                <w:tcPr>
                  <w:tcW w:w="694" w:type="dxa"/>
                  <w:tcBorders>
                    <w:tl2br w:val="nil"/>
                    <w:tr2bl w:val="nil"/>
                  </w:tcBorders>
                  <w:shd w:val="clear" w:color="auto" w:fill="auto"/>
                  <w:noWrap w:val="0"/>
                  <w:vAlign w:val="center"/>
                </w:tcPr>
                <w:p w14:paraId="72FBFA61">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i w:val="0"/>
                      <w:iCs w:val="0"/>
                      <w:snapToGrid/>
                      <w:color w:val="auto"/>
                      <w:kern w:val="0"/>
                      <w:sz w:val="21"/>
                      <w:szCs w:val="21"/>
                      <w:lang w:val="en-US" w:eastAsia="zh-CN" w:bidi="ar"/>
                    </w:rPr>
                    <w:t>0.04</w:t>
                  </w:r>
                </w:p>
              </w:tc>
              <w:tc>
                <w:tcPr>
                  <w:tcW w:w="688" w:type="dxa"/>
                  <w:tcBorders>
                    <w:tl2br w:val="nil"/>
                    <w:tr2bl w:val="nil"/>
                  </w:tcBorders>
                  <w:shd w:val="clear" w:color="auto" w:fill="auto"/>
                  <w:noWrap w:val="0"/>
                  <w:vAlign w:val="center"/>
                </w:tcPr>
                <w:p w14:paraId="7EE8B701">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15</w:t>
                  </w:r>
                </w:p>
              </w:tc>
            </w:tr>
            <w:tr w14:paraId="2F0B2E3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846" w:type="dxa"/>
                  <w:vMerge w:val="continue"/>
                  <w:tcBorders>
                    <w:tl2br w:val="nil"/>
                    <w:tr2bl w:val="nil"/>
                  </w:tcBorders>
                  <w:noWrap w:val="0"/>
                  <w:vAlign w:val="center"/>
                </w:tcPr>
                <w:p w14:paraId="386B2EF5">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c>
                <w:tcPr>
                  <w:tcW w:w="1779" w:type="dxa"/>
                  <w:tcBorders>
                    <w:tl2br w:val="nil"/>
                    <w:tr2bl w:val="nil"/>
                  </w:tcBorders>
                  <w:shd w:val="clear" w:color="auto" w:fill="auto"/>
                  <w:noWrap w:val="0"/>
                  <w:vAlign w:val="center"/>
                </w:tcPr>
                <w:p w14:paraId="2EFED5AD">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lang w:val="en-US" w:eastAsia="zh-CN" w:bidi="zh-CN"/>
                    </w:rPr>
                  </w:pPr>
                  <w:r>
                    <w:rPr>
                      <w:rFonts w:hint="default"/>
                      <w:color w:val="auto"/>
                      <w:sz w:val="21"/>
                      <w:szCs w:val="21"/>
                      <w:highlight w:val="none"/>
                      <w:lang w:val="en-US" w:eastAsia="zh-CN"/>
                    </w:rPr>
                    <w:t>最</w:t>
                  </w:r>
                  <w:r>
                    <w:rPr>
                      <w:rFonts w:hint="eastAsia"/>
                      <w:color w:val="auto"/>
                      <w:sz w:val="21"/>
                      <w:szCs w:val="21"/>
                      <w:highlight w:val="none"/>
                      <w:lang w:val="en-US" w:eastAsia="zh-CN"/>
                    </w:rPr>
                    <w:t>小</w:t>
                  </w:r>
                  <w:r>
                    <w:rPr>
                      <w:rFonts w:hint="default"/>
                      <w:color w:val="auto"/>
                      <w:sz w:val="21"/>
                      <w:szCs w:val="21"/>
                      <w:highlight w:val="none"/>
                      <w:lang w:val="en-US" w:eastAsia="zh-CN"/>
                    </w:rPr>
                    <w:t>值</w:t>
                  </w:r>
                </w:p>
              </w:tc>
              <w:tc>
                <w:tcPr>
                  <w:tcW w:w="847" w:type="dxa"/>
                  <w:tcBorders>
                    <w:tl2br w:val="nil"/>
                    <w:tr2bl w:val="nil"/>
                  </w:tcBorders>
                  <w:shd w:val="clear" w:color="auto" w:fill="auto"/>
                  <w:noWrap w:val="0"/>
                  <w:vAlign w:val="center"/>
                </w:tcPr>
                <w:p w14:paraId="1C4E1B1B">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7.6</w:t>
                  </w:r>
                </w:p>
              </w:tc>
              <w:tc>
                <w:tcPr>
                  <w:tcW w:w="736" w:type="dxa"/>
                  <w:tcBorders>
                    <w:tl2br w:val="nil"/>
                    <w:tr2bl w:val="nil"/>
                  </w:tcBorders>
                  <w:shd w:val="clear" w:color="auto" w:fill="auto"/>
                  <w:noWrap w:val="0"/>
                  <w:vAlign w:val="center"/>
                </w:tcPr>
                <w:p w14:paraId="142F4B8B">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1.7</w:t>
                  </w:r>
                </w:p>
              </w:tc>
              <w:tc>
                <w:tcPr>
                  <w:tcW w:w="723" w:type="dxa"/>
                  <w:tcBorders>
                    <w:tl2br w:val="nil"/>
                    <w:tr2bl w:val="nil"/>
                  </w:tcBorders>
                  <w:shd w:val="clear" w:color="auto" w:fill="auto"/>
                  <w:noWrap w:val="0"/>
                  <w:vAlign w:val="center"/>
                </w:tcPr>
                <w:p w14:paraId="4DED9035">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7</w:t>
                  </w:r>
                </w:p>
              </w:tc>
              <w:tc>
                <w:tcPr>
                  <w:tcW w:w="764" w:type="dxa"/>
                  <w:tcBorders>
                    <w:tl2br w:val="nil"/>
                    <w:tr2bl w:val="nil"/>
                  </w:tcBorders>
                  <w:shd w:val="clear" w:color="auto" w:fill="auto"/>
                  <w:noWrap w:val="0"/>
                  <w:vAlign w:val="center"/>
                </w:tcPr>
                <w:p w14:paraId="7038F232">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i w:val="0"/>
                      <w:iCs w:val="0"/>
                      <w:snapToGrid/>
                      <w:color w:val="auto"/>
                      <w:kern w:val="0"/>
                      <w:sz w:val="21"/>
                      <w:szCs w:val="21"/>
                      <w:lang w:val="en-US" w:eastAsia="zh-CN" w:bidi="ar"/>
                    </w:rPr>
                    <w:t>1.64</w:t>
                  </w:r>
                </w:p>
              </w:tc>
              <w:tc>
                <w:tcPr>
                  <w:tcW w:w="736" w:type="dxa"/>
                  <w:tcBorders>
                    <w:tl2br w:val="nil"/>
                    <w:tr2bl w:val="nil"/>
                  </w:tcBorders>
                  <w:shd w:val="clear" w:color="auto" w:fill="auto"/>
                  <w:noWrap w:val="0"/>
                  <w:vAlign w:val="center"/>
                </w:tcPr>
                <w:p w14:paraId="113BC571">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i w:val="0"/>
                      <w:iCs w:val="0"/>
                      <w:snapToGrid/>
                      <w:color w:val="auto"/>
                      <w:kern w:val="0"/>
                      <w:sz w:val="21"/>
                      <w:szCs w:val="21"/>
                      <w:lang w:val="en-US" w:eastAsia="zh-CN" w:bidi="ar"/>
                    </w:rPr>
                    <w:t>0.382</w:t>
                  </w:r>
                </w:p>
              </w:tc>
              <w:tc>
                <w:tcPr>
                  <w:tcW w:w="694" w:type="dxa"/>
                  <w:tcBorders>
                    <w:tl2br w:val="nil"/>
                    <w:tr2bl w:val="nil"/>
                  </w:tcBorders>
                  <w:shd w:val="clear" w:color="auto" w:fill="auto"/>
                  <w:noWrap w:val="0"/>
                  <w:vAlign w:val="center"/>
                </w:tcPr>
                <w:p w14:paraId="14878760">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i w:val="0"/>
                      <w:iCs w:val="0"/>
                      <w:snapToGrid/>
                      <w:color w:val="auto"/>
                      <w:kern w:val="0"/>
                      <w:sz w:val="21"/>
                      <w:szCs w:val="21"/>
                      <w:lang w:val="en-US" w:eastAsia="zh-CN" w:bidi="ar"/>
                    </w:rPr>
                    <w:t>0.01</w:t>
                  </w:r>
                </w:p>
              </w:tc>
              <w:tc>
                <w:tcPr>
                  <w:tcW w:w="688" w:type="dxa"/>
                  <w:tcBorders>
                    <w:tl2br w:val="nil"/>
                    <w:tr2bl w:val="nil"/>
                  </w:tcBorders>
                  <w:shd w:val="clear" w:color="auto" w:fill="auto"/>
                  <w:noWrap w:val="0"/>
                  <w:vAlign w:val="center"/>
                </w:tcPr>
                <w:p w14:paraId="5486B39D">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12</w:t>
                  </w:r>
                </w:p>
              </w:tc>
            </w:tr>
            <w:tr w14:paraId="59332B6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846" w:type="dxa"/>
                  <w:vMerge w:val="continue"/>
                  <w:tcBorders>
                    <w:tl2br w:val="nil"/>
                    <w:tr2bl w:val="nil"/>
                  </w:tcBorders>
                  <w:noWrap w:val="0"/>
                  <w:vAlign w:val="center"/>
                </w:tcPr>
                <w:p w14:paraId="039CE557">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c>
                <w:tcPr>
                  <w:tcW w:w="1779" w:type="dxa"/>
                  <w:tcBorders>
                    <w:tl2br w:val="nil"/>
                    <w:tr2bl w:val="nil"/>
                  </w:tcBorders>
                  <w:noWrap w:val="0"/>
                  <w:vAlign w:val="center"/>
                </w:tcPr>
                <w:p w14:paraId="13187816">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r>
                    <w:rPr>
                      <w:rFonts w:hint="default"/>
                      <w:color w:val="auto"/>
                      <w:sz w:val="21"/>
                      <w:szCs w:val="21"/>
                      <w:highlight w:val="none"/>
                      <w:lang w:val="en-US" w:eastAsia="zh-CN"/>
                    </w:rPr>
                    <w:t>标准值</w:t>
                  </w:r>
                </w:p>
              </w:tc>
              <w:tc>
                <w:tcPr>
                  <w:tcW w:w="847" w:type="dxa"/>
                  <w:tcBorders>
                    <w:tl2br w:val="nil"/>
                    <w:tr2bl w:val="nil"/>
                  </w:tcBorders>
                  <w:shd w:val="clear" w:color="auto" w:fill="auto"/>
                  <w:noWrap w:val="0"/>
                  <w:vAlign w:val="center"/>
                </w:tcPr>
                <w:p w14:paraId="7AB0D1AB">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0"/>
                      <w:sz w:val="21"/>
                      <w:szCs w:val="21"/>
                      <w:lang w:val="en-US" w:eastAsia="zh-CN" w:bidi="zh-CN"/>
                    </w:rPr>
                  </w:pPr>
                  <w:r>
                    <w:rPr>
                      <w:rFonts w:hint="default" w:ascii="Times New Roman" w:hAnsi="Times New Roman" w:eastAsia="宋体" w:cs="Times New Roman"/>
                      <w:b w:val="0"/>
                      <w:bCs w:val="0"/>
                      <w:snapToGrid/>
                      <w:color w:val="auto"/>
                      <w:kern w:val="0"/>
                      <w:sz w:val="21"/>
                      <w:szCs w:val="21"/>
                      <w:lang w:val="en-US" w:eastAsia="zh-CN" w:bidi="ar"/>
                    </w:rPr>
                    <w:t>6-9</w:t>
                  </w:r>
                </w:p>
              </w:tc>
              <w:tc>
                <w:tcPr>
                  <w:tcW w:w="736" w:type="dxa"/>
                  <w:tcBorders>
                    <w:tl2br w:val="nil"/>
                    <w:tr2bl w:val="nil"/>
                  </w:tcBorders>
                  <w:shd w:val="clear" w:color="auto" w:fill="auto"/>
                  <w:noWrap w:val="0"/>
                  <w:vAlign w:val="center"/>
                </w:tcPr>
                <w:p w14:paraId="685DE9FE">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21"/>
                      <w:szCs w:val="21"/>
                      <w:lang w:val="en-US" w:eastAsia="zh-CN" w:bidi="zh-CN"/>
                    </w:rPr>
                  </w:pPr>
                  <w:r>
                    <w:rPr>
                      <w:rFonts w:hint="default" w:ascii="Times New Roman" w:hAnsi="Times New Roman" w:eastAsia="宋体" w:cs="Times New Roman"/>
                      <w:b w:val="0"/>
                      <w:bCs w:val="0"/>
                      <w:snapToGrid/>
                      <w:color w:val="auto"/>
                      <w:kern w:val="2"/>
                      <w:sz w:val="21"/>
                      <w:szCs w:val="21"/>
                      <w:lang w:val="en-US" w:eastAsia="zh-CN" w:bidi="ar"/>
                    </w:rPr>
                    <w:t>4</w:t>
                  </w:r>
                </w:p>
              </w:tc>
              <w:tc>
                <w:tcPr>
                  <w:tcW w:w="723" w:type="dxa"/>
                  <w:tcBorders>
                    <w:tl2br w:val="nil"/>
                    <w:tr2bl w:val="nil"/>
                  </w:tcBorders>
                  <w:shd w:val="clear" w:color="auto" w:fill="auto"/>
                  <w:noWrap w:val="0"/>
                  <w:vAlign w:val="center"/>
                </w:tcPr>
                <w:p w14:paraId="0F59B89A">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0"/>
                      <w:sz w:val="21"/>
                      <w:szCs w:val="21"/>
                      <w:lang w:val="en-US" w:eastAsia="zh-CN" w:bidi="zh-CN"/>
                    </w:rPr>
                  </w:pPr>
                  <w:r>
                    <w:rPr>
                      <w:rFonts w:hint="default" w:ascii="Times New Roman" w:hAnsi="Times New Roman" w:eastAsia="宋体" w:cs="Times New Roman"/>
                      <w:b w:val="0"/>
                      <w:bCs w:val="0"/>
                      <w:snapToGrid/>
                      <w:color w:val="auto"/>
                      <w:kern w:val="0"/>
                      <w:sz w:val="21"/>
                      <w:szCs w:val="21"/>
                      <w:lang w:val="en-US" w:eastAsia="zh-CN" w:bidi="ar"/>
                    </w:rPr>
                    <w:t>20</w:t>
                  </w:r>
                </w:p>
              </w:tc>
              <w:tc>
                <w:tcPr>
                  <w:tcW w:w="764" w:type="dxa"/>
                  <w:tcBorders>
                    <w:tl2br w:val="nil"/>
                    <w:tr2bl w:val="nil"/>
                  </w:tcBorders>
                  <w:shd w:val="clear" w:color="auto" w:fill="auto"/>
                  <w:noWrap w:val="0"/>
                  <w:vAlign w:val="center"/>
                </w:tcPr>
                <w:p w14:paraId="1288532B">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0"/>
                      <w:sz w:val="21"/>
                      <w:szCs w:val="21"/>
                      <w:lang w:val="en-US" w:eastAsia="zh-CN" w:bidi="zh-CN"/>
                    </w:rPr>
                  </w:pPr>
                  <w:r>
                    <w:rPr>
                      <w:rFonts w:hint="default" w:ascii="Times New Roman" w:hAnsi="Times New Roman" w:eastAsia="宋体" w:cs="Times New Roman"/>
                      <w:b w:val="0"/>
                      <w:bCs w:val="0"/>
                      <w:snapToGrid/>
                      <w:color w:val="auto"/>
                      <w:kern w:val="0"/>
                      <w:sz w:val="21"/>
                      <w:szCs w:val="21"/>
                      <w:lang w:val="en-US" w:eastAsia="zh-CN" w:bidi="ar"/>
                    </w:rPr>
                    <w:t>/</w:t>
                  </w:r>
                </w:p>
              </w:tc>
              <w:tc>
                <w:tcPr>
                  <w:tcW w:w="736" w:type="dxa"/>
                  <w:tcBorders>
                    <w:tl2br w:val="nil"/>
                    <w:tr2bl w:val="nil"/>
                  </w:tcBorders>
                  <w:shd w:val="clear" w:color="auto" w:fill="auto"/>
                  <w:noWrap w:val="0"/>
                  <w:vAlign w:val="center"/>
                </w:tcPr>
                <w:p w14:paraId="7A2225DE">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0"/>
                      <w:sz w:val="21"/>
                      <w:szCs w:val="21"/>
                      <w:lang w:val="en-US" w:eastAsia="zh-CN" w:bidi="zh-CN"/>
                    </w:rPr>
                  </w:pPr>
                  <w:r>
                    <w:rPr>
                      <w:rFonts w:hint="default" w:ascii="Times New Roman" w:hAnsi="Times New Roman" w:eastAsia="宋体" w:cs="Times New Roman"/>
                      <w:b w:val="0"/>
                      <w:bCs w:val="0"/>
                      <w:snapToGrid/>
                      <w:color w:val="auto"/>
                      <w:kern w:val="0"/>
                      <w:sz w:val="21"/>
                      <w:szCs w:val="21"/>
                      <w:lang w:val="en-US" w:eastAsia="zh-CN" w:bidi="ar"/>
                    </w:rPr>
                    <w:t>1.0</w:t>
                  </w:r>
                </w:p>
              </w:tc>
              <w:tc>
                <w:tcPr>
                  <w:tcW w:w="694" w:type="dxa"/>
                  <w:tcBorders>
                    <w:tl2br w:val="nil"/>
                    <w:tr2bl w:val="nil"/>
                  </w:tcBorders>
                  <w:shd w:val="clear" w:color="auto" w:fill="auto"/>
                  <w:noWrap w:val="0"/>
                  <w:vAlign w:val="center"/>
                </w:tcPr>
                <w:p w14:paraId="0CD0891C">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0"/>
                      <w:sz w:val="21"/>
                      <w:szCs w:val="21"/>
                      <w:lang w:val="en-US" w:eastAsia="zh-CN" w:bidi="zh-CN"/>
                    </w:rPr>
                  </w:pPr>
                  <w:r>
                    <w:rPr>
                      <w:rFonts w:hint="default" w:ascii="Times New Roman" w:hAnsi="Times New Roman" w:eastAsia="宋体" w:cs="Times New Roman"/>
                      <w:b w:val="0"/>
                      <w:bCs w:val="0"/>
                      <w:snapToGrid/>
                      <w:color w:val="auto"/>
                      <w:kern w:val="0"/>
                      <w:sz w:val="21"/>
                      <w:szCs w:val="21"/>
                      <w:lang w:val="en-US" w:eastAsia="zh-CN" w:bidi="ar"/>
                    </w:rPr>
                    <w:t>0.2</w:t>
                  </w:r>
                </w:p>
              </w:tc>
              <w:tc>
                <w:tcPr>
                  <w:tcW w:w="688" w:type="dxa"/>
                  <w:tcBorders>
                    <w:tl2br w:val="nil"/>
                    <w:tr2bl w:val="nil"/>
                  </w:tcBorders>
                  <w:shd w:val="clear" w:color="auto" w:fill="auto"/>
                  <w:noWrap w:val="0"/>
                  <w:vAlign w:val="center"/>
                </w:tcPr>
                <w:p w14:paraId="0BF15726">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w:t>
                  </w:r>
                </w:p>
              </w:tc>
            </w:tr>
            <w:tr w14:paraId="493B3B5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846" w:type="dxa"/>
                  <w:vMerge w:val="continue"/>
                  <w:tcBorders>
                    <w:tl2br w:val="nil"/>
                    <w:tr2bl w:val="nil"/>
                  </w:tcBorders>
                  <w:noWrap w:val="0"/>
                  <w:vAlign w:val="center"/>
                </w:tcPr>
                <w:p w14:paraId="645DC876">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c>
                <w:tcPr>
                  <w:tcW w:w="1779" w:type="dxa"/>
                  <w:tcBorders>
                    <w:tl2br w:val="nil"/>
                    <w:tr2bl w:val="nil"/>
                  </w:tcBorders>
                  <w:noWrap w:val="0"/>
                  <w:vAlign w:val="center"/>
                </w:tcPr>
                <w:p w14:paraId="77449B42">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最大浓度占标率%</w:t>
                  </w:r>
                </w:p>
              </w:tc>
              <w:tc>
                <w:tcPr>
                  <w:tcW w:w="847" w:type="dxa"/>
                  <w:tcBorders>
                    <w:tl2br w:val="nil"/>
                    <w:tr2bl w:val="nil"/>
                  </w:tcBorders>
                  <w:shd w:val="clear" w:color="auto" w:fill="auto"/>
                  <w:noWrap w:val="0"/>
                  <w:vAlign w:val="center"/>
                </w:tcPr>
                <w:p w14:paraId="1E4D449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0.35</w:t>
                  </w:r>
                </w:p>
              </w:tc>
              <w:tc>
                <w:tcPr>
                  <w:tcW w:w="736" w:type="dxa"/>
                  <w:tcBorders>
                    <w:tl2br w:val="nil"/>
                    <w:tr2bl w:val="nil"/>
                  </w:tcBorders>
                  <w:shd w:val="clear" w:color="auto" w:fill="auto"/>
                  <w:noWrap w:val="0"/>
                  <w:vAlign w:val="center"/>
                </w:tcPr>
                <w:p w14:paraId="1C730DEB">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0.55</w:t>
                  </w:r>
                </w:p>
              </w:tc>
              <w:tc>
                <w:tcPr>
                  <w:tcW w:w="723" w:type="dxa"/>
                  <w:tcBorders>
                    <w:tl2br w:val="nil"/>
                    <w:tr2bl w:val="nil"/>
                  </w:tcBorders>
                  <w:shd w:val="clear" w:color="auto" w:fill="auto"/>
                  <w:noWrap w:val="0"/>
                  <w:vAlign w:val="center"/>
                </w:tcPr>
                <w:p w14:paraId="4ACB977C">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0.5</w:t>
                  </w:r>
                </w:p>
              </w:tc>
              <w:tc>
                <w:tcPr>
                  <w:tcW w:w="764" w:type="dxa"/>
                  <w:tcBorders>
                    <w:tl2br w:val="nil"/>
                    <w:tr2bl w:val="nil"/>
                  </w:tcBorders>
                  <w:shd w:val="clear" w:color="auto" w:fill="auto"/>
                  <w:noWrap w:val="0"/>
                  <w:vAlign w:val="center"/>
                </w:tcPr>
                <w:p w14:paraId="2594425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736" w:type="dxa"/>
                  <w:tcBorders>
                    <w:tl2br w:val="nil"/>
                    <w:tr2bl w:val="nil"/>
                  </w:tcBorders>
                  <w:shd w:val="clear" w:color="auto" w:fill="auto"/>
                  <w:noWrap w:val="0"/>
                  <w:vAlign w:val="center"/>
                </w:tcPr>
                <w:p w14:paraId="6066C35C">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0.408</w:t>
                  </w:r>
                </w:p>
              </w:tc>
              <w:tc>
                <w:tcPr>
                  <w:tcW w:w="694" w:type="dxa"/>
                  <w:tcBorders>
                    <w:tl2br w:val="nil"/>
                    <w:tr2bl w:val="nil"/>
                  </w:tcBorders>
                  <w:shd w:val="clear" w:color="auto" w:fill="auto"/>
                  <w:noWrap w:val="0"/>
                  <w:vAlign w:val="center"/>
                </w:tcPr>
                <w:p w14:paraId="22A8003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0.2</w:t>
                  </w:r>
                </w:p>
              </w:tc>
              <w:tc>
                <w:tcPr>
                  <w:tcW w:w="688" w:type="dxa"/>
                  <w:tcBorders>
                    <w:tl2br w:val="nil"/>
                    <w:tr2bl w:val="nil"/>
                  </w:tcBorders>
                  <w:shd w:val="clear" w:color="auto" w:fill="auto"/>
                  <w:noWrap w:val="0"/>
                  <w:vAlign w:val="center"/>
                </w:tcPr>
                <w:p w14:paraId="04FBC88F">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r>
            <w:tr w14:paraId="734DCED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846" w:type="dxa"/>
                  <w:vMerge w:val="continue"/>
                  <w:tcBorders>
                    <w:tl2br w:val="nil"/>
                    <w:tr2bl w:val="nil"/>
                  </w:tcBorders>
                  <w:noWrap w:val="0"/>
                  <w:vAlign w:val="center"/>
                </w:tcPr>
                <w:p w14:paraId="5C1A22E4">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c>
                <w:tcPr>
                  <w:tcW w:w="1779" w:type="dxa"/>
                  <w:tcBorders>
                    <w:tl2br w:val="nil"/>
                    <w:tr2bl w:val="nil"/>
                  </w:tcBorders>
                  <w:noWrap w:val="0"/>
                  <w:vAlign w:val="center"/>
                </w:tcPr>
                <w:p w14:paraId="63F7949D">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r>
                    <w:rPr>
                      <w:rFonts w:hint="default"/>
                      <w:color w:val="auto"/>
                      <w:sz w:val="21"/>
                      <w:szCs w:val="21"/>
                      <w:highlight w:val="none"/>
                      <w:lang w:val="en-US" w:eastAsia="zh-CN"/>
                    </w:rPr>
                    <w:t>超标率</w:t>
                  </w:r>
                  <w:r>
                    <w:rPr>
                      <w:rFonts w:hint="eastAsia"/>
                      <w:color w:val="auto"/>
                      <w:sz w:val="21"/>
                      <w:szCs w:val="21"/>
                      <w:highlight w:val="none"/>
                      <w:lang w:val="en-US" w:eastAsia="zh-CN"/>
                    </w:rPr>
                    <w:t>%</w:t>
                  </w:r>
                </w:p>
              </w:tc>
              <w:tc>
                <w:tcPr>
                  <w:tcW w:w="847" w:type="dxa"/>
                  <w:tcBorders>
                    <w:tl2br w:val="nil"/>
                    <w:tr2bl w:val="nil"/>
                  </w:tcBorders>
                  <w:shd w:val="clear" w:color="auto" w:fill="auto"/>
                  <w:noWrap w:val="0"/>
                  <w:vAlign w:val="center"/>
                </w:tcPr>
                <w:p w14:paraId="0DCDA354">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0</w:t>
                  </w:r>
                </w:p>
              </w:tc>
              <w:tc>
                <w:tcPr>
                  <w:tcW w:w="736" w:type="dxa"/>
                  <w:tcBorders>
                    <w:tl2br w:val="nil"/>
                    <w:tr2bl w:val="nil"/>
                  </w:tcBorders>
                  <w:shd w:val="clear" w:color="auto" w:fill="auto"/>
                  <w:noWrap w:val="0"/>
                  <w:vAlign w:val="center"/>
                </w:tcPr>
                <w:p w14:paraId="77F79C29">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0</w:t>
                  </w:r>
                </w:p>
              </w:tc>
              <w:tc>
                <w:tcPr>
                  <w:tcW w:w="723" w:type="dxa"/>
                  <w:tcBorders>
                    <w:tl2br w:val="nil"/>
                    <w:tr2bl w:val="nil"/>
                  </w:tcBorders>
                  <w:shd w:val="clear" w:color="auto" w:fill="auto"/>
                  <w:noWrap w:val="0"/>
                  <w:vAlign w:val="center"/>
                </w:tcPr>
                <w:p w14:paraId="693B387F">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0</w:t>
                  </w:r>
                </w:p>
              </w:tc>
              <w:tc>
                <w:tcPr>
                  <w:tcW w:w="764" w:type="dxa"/>
                  <w:tcBorders>
                    <w:tl2br w:val="nil"/>
                    <w:tr2bl w:val="nil"/>
                  </w:tcBorders>
                  <w:shd w:val="clear" w:color="auto" w:fill="auto"/>
                  <w:noWrap w:val="0"/>
                  <w:vAlign w:val="center"/>
                </w:tcPr>
                <w:p w14:paraId="4B1AD527">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w:t>
                  </w:r>
                </w:p>
              </w:tc>
              <w:tc>
                <w:tcPr>
                  <w:tcW w:w="736" w:type="dxa"/>
                  <w:tcBorders>
                    <w:tl2br w:val="nil"/>
                    <w:tr2bl w:val="nil"/>
                  </w:tcBorders>
                  <w:shd w:val="clear" w:color="auto" w:fill="auto"/>
                  <w:noWrap w:val="0"/>
                  <w:vAlign w:val="center"/>
                </w:tcPr>
                <w:p w14:paraId="47D11AA8">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0</w:t>
                  </w:r>
                </w:p>
              </w:tc>
              <w:tc>
                <w:tcPr>
                  <w:tcW w:w="694" w:type="dxa"/>
                  <w:tcBorders>
                    <w:tl2br w:val="nil"/>
                    <w:tr2bl w:val="nil"/>
                  </w:tcBorders>
                  <w:shd w:val="clear" w:color="auto" w:fill="auto"/>
                  <w:noWrap w:val="0"/>
                  <w:vAlign w:val="center"/>
                </w:tcPr>
                <w:p w14:paraId="2E334A05">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0</w:t>
                  </w:r>
                </w:p>
              </w:tc>
              <w:tc>
                <w:tcPr>
                  <w:tcW w:w="688" w:type="dxa"/>
                  <w:tcBorders>
                    <w:tl2br w:val="nil"/>
                    <w:tr2bl w:val="nil"/>
                  </w:tcBorders>
                  <w:shd w:val="clear" w:color="auto" w:fill="auto"/>
                  <w:noWrap w:val="0"/>
                  <w:vAlign w:val="center"/>
                </w:tcPr>
                <w:p w14:paraId="74610F89">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w:t>
                  </w:r>
                </w:p>
              </w:tc>
            </w:tr>
            <w:tr w14:paraId="0B60357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846" w:type="dxa"/>
                  <w:vMerge w:val="continue"/>
                  <w:tcBorders>
                    <w:tl2br w:val="nil"/>
                    <w:tr2bl w:val="nil"/>
                  </w:tcBorders>
                  <w:noWrap w:val="0"/>
                  <w:vAlign w:val="center"/>
                </w:tcPr>
                <w:p w14:paraId="0D2C971D">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c>
                <w:tcPr>
                  <w:tcW w:w="1779" w:type="dxa"/>
                  <w:tcBorders>
                    <w:tl2br w:val="nil"/>
                    <w:tr2bl w:val="nil"/>
                  </w:tcBorders>
                  <w:noWrap w:val="0"/>
                  <w:vAlign w:val="center"/>
                </w:tcPr>
                <w:p w14:paraId="52A216DC">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r>
                    <w:rPr>
                      <w:rFonts w:hint="default"/>
                      <w:color w:val="auto"/>
                      <w:sz w:val="21"/>
                      <w:szCs w:val="21"/>
                      <w:highlight w:val="none"/>
                      <w:lang w:val="en-US" w:eastAsia="zh-CN"/>
                    </w:rPr>
                    <w:t>是否达标</w:t>
                  </w:r>
                </w:p>
              </w:tc>
              <w:tc>
                <w:tcPr>
                  <w:tcW w:w="847" w:type="dxa"/>
                  <w:tcBorders>
                    <w:tl2br w:val="nil"/>
                    <w:tr2bl w:val="nil"/>
                  </w:tcBorders>
                  <w:shd w:val="clear" w:color="auto" w:fill="auto"/>
                  <w:noWrap w:val="0"/>
                  <w:vAlign w:val="center"/>
                </w:tcPr>
                <w:p w14:paraId="2CE4F5AD">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lang w:val="en-US" w:eastAsia="zh-CN" w:bidi="zh-CN"/>
                    </w:rPr>
                  </w:pPr>
                  <w:r>
                    <w:rPr>
                      <w:rFonts w:hint="eastAsia"/>
                      <w:color w:val="auto"/>
                      <w:sz w:val="21"/>
                      <w:szCs w:val="21"/>
                      <w:highlight w:val="none"/>
                      <w:lang w:val="en-US" w:eastAsia="zh-CN"/>
                    </w:rPr>
                    <w:t>达标</w:t>
                  </w:r>
                </w:p>
              </w:tc>
              <w:tc>
                <w:tcPr>
                  <w:tcW w:w="736" w:type="dxa"/>
                  <w:tcBorders>
                    <w:tl2br w:val="nil"/>
                    <w:tr2bl w:val="nil"/>
                  </w:tcBorders>
                  <w:shd w:val="clear" w:color="auto" w:fill="auto"/>
                  <w:noWrap w:val="0"/>
                  <w:vAlign w:val="center"/>
                </w:tcPr>
                <w:p w14:paraId="37A6C0AC">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lang w:val="en-US" w:eastAsia="zh-CN" w:bidi="zh-CN"/>
                    </w:rPr>
                  </w:pPr>
                  <w:r>
                    <w:rPr>
                      <w:rFonts w:hint="eastAsia"/>
                      <w:color w:val="auto"/>
                      <w:sz w:val="21"/>
                      <w:szCs w:val="21"/>
                      <w:highlight w:val="none"/>
                      <w:lang w:val="en-US" w:eastAsia="zh-CN"/>
                    </w:rPr>
                    <w:t>达标</w:t>
                  </w:r>
                </w:p>
              </w:tc>
              <w:tc>
                <w:tcPr>
                  <w:tcW w:w="723" w:type="dxa"/>
                  <w:tcBorders>
                    <w:tl2br w:val="nil"/>
                    <w:tr2bl w:val="nil"/>
                  </w:tcBorders>
                  <w:shd w:val="clear" w:color="auto" w:fill="auto"/>
                  <w:noWrap w:val="0"/>
                  <w:vAlign w:val="center"/>
                </w:tcPr>
                <w:p w14:paraId="625C3BA2">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lang w:val="en-US" w:eastAsia="zh-CN" w:bidi="zh-CN"/>
                    </w:rPr>
                  </w:pPr>
                  <w:r>
                    <w:rPr>
                      <w:rFonts w:hint="eastAsia"/>
                      <w:color w:val="auto"/>
                      <w:sz w:val="21"/>
                      <w:szCs w:val="21"/>
                      <w:highlight w:val="none"/>
                      <w:lang w:val="en-US" w:eastAsia="zh-CN"/>
                    </w:rPr>
                    <w:t>达标</w:t>
                  </w:r>
                </w:p>
              </w:tc>
              <w:tc>
                <w:tcPr>
                  <w:tcW w:w="764" w:type="dxa"/>
                  <w:tcBorders>
                    <w:tl2br w:val="nil"/>
                    <w:tr2bl w:val="nil"/>
                  </w:tcBorders>
                  <w:shd w:val="clear" w:color="auto" w:fill="auto"/>
                  <w:noWrap w:val="0"/>
                  <w:vAlign w:val="center"/>
                </w:tcPr>
                <w:p w14:paraId="01C570A6">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lang w:val="en-US" w:eastAsia="zh-CN" w:bidi="zh-CN"/>
                    </w:rPr>
                  </w:pPr>
                  <w:r>
                    <w:rPr>
                      <w:rFonts w:hint="eastAsia"/>
                      <w:color w:val="auto"/>
                      <w:sz w:val="21"/>
                      <w:szCs w:val="21"/>
                      <w:highlight w:val="none"/>
                      <w:lang w:val="en-US" w:eastAsia="zh-CN"/>
                    </w:rPr>
                    <w:t>达标</w:t>
                  </w:r>
                </w:p>
              </w:tc>
              <w:tc>
                <w:tcPr>
                  <w:tcW w:w="736" w:type="dxa"/>
                  <w:tcBorders>
                    <w:tl2br w:val="nil"/>
                    <w:tr2bl w:val="nil"/>
                  </w:tcBorders>
                  <w:shd w:val="clear" w:color="auto" w:fill="auto"/>
                  <w:noWrap w:val="0"/>
                  <w:vAlign w:val="center"/>
                </w:tcPr>
                <w:p w14:paraId="703A42C9">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lang w:val="en-US" w:eastAsia="zh-CN" w:bidi="zh-CN"/>
                    </w:rPr>
                  </w:pPr>
                  <w:r>
                    <w:rPr>
                      <w:rFonts w:hint="eastAsia"/>
                      <w:color w:val="auto"/>
                      <w:sz w:val="21"/>
                      <w:szCs w:val="21"/>
                      <w:highlight w:val="none"/>
                      <w:lang w:val="en-US" w:eastAsia="zh-CN"/>
                    </w:rPr>
                    <w:t>达标</w:t>
                  </w:r>
                </w:p>
              </w:tc>
              <w:tc>
                <w:tcPr>
                  <w:tcW w:w="694" w:type="dxa"/>
                  <w:tcBorders>
                    <w:tl2br w:val="nil"/>
                    <w:tr2bl w:val="nil"/>
                  </w:tcBorders>
                  <w:shd w:val="clear" w:color="auto" w:fill="auto"/>
                  <w:noWrap w:val="0"/>
                  <w:vAlign w:val="center"/>
                </w:tcPr>
                <w:p w14:paraId="0F93F467">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lang w:val="en-US" w:eastAsia="zh-CN" w:bidi="zh-CN"/>
                    </w:rPr>
                  </w:pPr>
                  <w:r>
                    <w:rPr>
                      <w:rFonts w:hint="eastAsia"/>
                      <w:color w:val="auto"/>
                      <w:sz w:val="21"/>
                      <w:szCs w:val="21"/>
                      <w:highlight w:val="none"/>
                      <w:lang w:val="en-US" w:eastAsia="zh-CN"/>
                    </w:rPr>
                    <w:t>达标</w:t>
                  </w:r>
                </w:p>
              </w:tc>
              <w:tc>
                <w:tcPr>
                  <w:tcW w:w="688" w:type="dxa"/>
                  <w:tcBorders>
                    <w:tl2br w:val="nil"/>
                    <w:tr2bl w:val="nil"/>
                  </w:tcBorders>
                  <w:shd w:val="clear" w:color="auto" w:fill="auto"/>
                  <w:noWrap w:val="0"/>
                  <w:vAlign w:val="center"/>
                </w:tcPr>
                <w:p w14:paraId="28CAC1C3">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lang w:val="en-US" w:eastAsia="zh-CN" w:bidi="zh-CN"/>
                    </w:rPr>
                  </w:pPr>
                  <w:r>
                    <w:rPr>
                      <w:rFonts w:hint="eastAsia"/>
                      <w:color w:val="auto"/>
                      <w:sz w:val="21"/>
                      <w:szCs w:val="21"/>
                      <w:highlight w:val="none"/>
                      <w:lang w:val="en-US" w:eastAsia="zh-CN"/>
                    </w:rPr>
                    <w:t>达标</w:t>
                  </w:r>
                </w:p>
              </w:tc>
            </w:tr>
            <w:tr w14:paraId="1A29F40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846" w:type="dxa"/>
                  <w:vMerge w:val="restart"/>
                  <w:tcBorders>
                    <w:tl2br w:val="nil"/>
                    <w:tr2bl w:val="nil"/>
                  </w:tcBorders>
                  <w:noWrap w:val="0"/>
                  <w:vAlign w:val="center"/>
                </w:tcPr>
                <w:p w14:paraId="18DB93FD">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W4-3南区污水处理厂下游约1000米</w:t>
                  </w:r>
                </w:p>
              </w:tc>
              <w:tc>
                <w:tcPr>
                  <w:tcW w:w="1779" w:type="dxa"/>
                  <w:tcBorders>
                    <w:tl2br w:val="nil"/>
                    <w:tr2bl w:val="nil"/>
                  </w:tcBorders>
                  <w:shd w:val="clear" w:color="auto" w:fill="auto"/>
                  <w:noWrap w:val="0"/>
                  <w:vAlign w:val="center"/>
                </w:tcPr>
                <w:p w14:paraId="4FB864CA">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lang w:val="en-US" w:eastAsia="zh-CN" w:bidi="zh-CN"/>
                    </w:rPr>
                  </w:pPr>
                  <w:r>
                    <w:rPr>
                      <w:rFonts w:hint="default"/>
                      <w:color w:val="auto"/>
                      <w:sz w:val="21"/>
                      <w:szCs w:val="21"/>
                      <w:highlight w:val="none"/>
                      <w:lang w:val="en-US" w:eastAsia="zh-CN"/>
                    </w:rPr>
                    <w:t>最</w:t>
                  </w:r>
                  <w:r>
                    <w:rPr>
                      <w:rFonts w:hint="eastAsia"/>
                      <w:color w:val="auto"/>
                      <w:sz w:val="21"/>
                      <w:szCs w:val="21"/>
                      <w:highlight w:val="none"/>
                      <w:lang w:val="en-US" w:eastAsia="zh-CN"/>
                    </w:rPr>
                    <w:t>大</w:t>
                  </w:r>
                  <w:r>
                    <w:rPr>
                      <w:rFonts w:hint="default"/>
                      <w:color w:val="auto"/>
                      <w:sz w:val="21"/>
                      <w:szCs w:val="21"/>
                      <w:highlight w:val="none"/>
                      <w:lang w:val="en-US" w:eastAsia="zh-CN"/>
                    </w:rPr>
                    <w:t>值</w:t>
                  </w:r>
                </w:p>
              </w:tc>
              <w:tc>
                <w:tcPr>
                  <w:tcW w:w="847" w:type="dxa"/>
                  <w:tcBorders>
                    <w:tl2br w:val="nil"/>
                    <w:tr2bl w:val="nil"/>
                  </w:tcBorders>
                  <w:shd w:val="clear" w:color="auto" w:fill="auto"/>
                  <w:noWrap w:val="0"/>
                  <w:vAlign w:val="center"/>
                </w:tcPr>
                <w:p w14:paraId="24041C75">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7.8</w:t>
                  </w:r>
                </w:p>
              </w:tc>
              <w:tc>
                <w:tcPr>
                  <w:tcW w:w="736" w:type="dxa"/>
                  <w:tcBorders>
                    <w:tl2br w:val="nil"/>
                    <w:tr2bl w:val="nil"/>
                  </w:tcBorders>
                  <w:shd w:val="clear" w:color="auto" w:fill="auto"/>
                  <w:noWrap w:val="0"/>
                  <w:vAlign w:val="center"/>
                </w:tcPr>
                <w:p w14:paraId="779C81DF">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2.9</w:t>
                  </w:r>
                </w:p>
              </w:tc>
              <w:tc>
                <w:tcPr>
                  <w:tcW w:w="723" w:type="dxa"/>
                  <w:tcBorders>
                    <w:tl2br w:val="nil"/>
                    <w:tr2bl w:val="nil"/>
                  </w:tcBorders>
                  <w:shd w:val="clear" w:color="auto" w:fill="auto"/>
                  <w:noWrap w:val="0"/>
                  <w:vAlign w:val="center"/>
                </w:tcPr>
                <w:p w14:paraId="547AF9AE">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8</w:t>
                  </w:r>
                </w:p>
              </w:tc>
              <w:tc>
                <w:tcPr>
                  <w:tcW w:w="764" w:type="dxa"/>
                  <w:tcBorders>
                    <w:tl2br w:val="nil"/>
                    <w:tr2bl w:val="nil"/>
                  </w:tcBorders>
                  <w:shd w:val="clear" w:color="auto" w:fill="auto"/>
                  <w:noWrap w:val="0"/>
                  <w:vAlign w:val="center"/>
                </w:tcPr>
                <w:p w14:paraId="1630DAB8">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i w:val="0"/>
                      <w:iCs w:val="0"/>
                      <w:snapToGrid/>
                      <w:color w:val="auto"/>
                      <w:kern w:val="0"/>
                      <w:sz w:val="21"/>
                      <w:szCs w:val="21"/>
                      <w:lang w:val="en-US" w:eastAsia="zh-CN" w:bidi="ar"/>
                    </w:rPr>
                    <w:t>1.68</w:t>
                  </w:r>
                </w:p>
              </w:tc>
              <w:tc>
                <w:tcPr>
                  <w:tcW w:w="736" w:type="dxa"/>
                  <w:tcBorders>
                    <w:tl2br w:val="nil"/>
                    <w:tr2bl w:val="nil"/>
                  </w:tcBorders>
                  <w:shd w:val="clear" w:color="auto" w:fill="auto"/>
                  <w:noWrap w:val="0"/>
                  <w:vAlign w:val="center"/>
                </w:tcPr>
                <w:p w14:paraId="0F2C8917">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i w:val="0"/>
                      <w:iCs w:val="0"/>
                      <w:snapToGrid/>
                      <w:color w:val="auto"/>
                      <w:kern w:val="0"/>
                      <w:sz w:val="21"/>
                      <w:szCs w:val="21"/>
                      <w:lang w:val="en-US" w:eastAsia="zh-CN" w:bidi="ar"/>
                    </w:rPr>
                    <w:t>0.391</w:t>
                  </w:r>
                </w:p>
              </w:tc>
              <w:tc>
                <w:tcPr>
                  <w:tcW w:w="694" w:type="dxa"/>
                  <w:tcBorders>
                    <w:tl2br w:val="nil"/>
                    <w:tr2bl w:val="nil"/>
                  </w:tcBorders>
                  <w:shd w:val="clear" w:color="auto" w:fill="auto"/>
                  <w:noWrap w:val="0"/>
                  <w:vAlign w:val="center"/>
                </w:tcPr>
                <w:p w14:paraId="19B24CE5">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i w:val="0"/>
                      <w:iCs w:val="0"/>
                      <w:snapToGrid/>
                      <w:color w:val="auto"/>
                      <w:kern w:val="0"/>
                      <w:sz w:val="21"/>
                      <w:szCs w:val="21"/>
                      <w:lang w:val="en-US" w:eastAsia="zh-CN" w:bidi="ar"/>
                    </w:rPr>
                    <w:t>0.04</w:t>
                  </w:r>
                </w:p>
              </w:tc>
              <w:tc>
                <w:tcPr>
                  <w:tcW w:w="688" w:type="dxa"/>
                  <w:tcBorders>
                    <w:tl2br w:val="nil"/>
                    <w:tr2bl w:val="nil"/>
                  </w:tcBorders>
                  <w:shd w:val="clear" w:color="auto" w:fill="auto"/>
                  <w:noWrap w:val="0"/>
                  <w:vAlign w:val="center"/>
                </w:tcPr>
                <w:p w14:paraId="3F463F08">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18</w:t>
                  </w:r>
                </w:p>
              </w:tc>
            </w:tr>
            <w:tr w14:paraId="2BBFAB6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846" w:type="dxa"/>
                  <w:vMerge w:val="continue"/>
                  <w:tcBorders>
                    <w:tl2br w:val="nil"/>
                    <w:tr2bl w:val="nil"/>
                  </w:tcBorders>
                  <w:noWrap w:val="0"/>
                  <w:vAlign w:val="center"/>
                </w:tcPr>
                <w:p w14:paraId="59E51285">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c>
                <w:tcPr>
                  <w:tcW w:w="1779" w:type="dxa"/>
                  <w:tcBorders>
                    <w:tl2br w:val="nil"/>
                    <w:tr2bl w:val="nil"/>
                  </w:tcBorders>
                  <w:shd w:val="clear" w:color="auto" w:fill="auto"/>
                  <w:noWrap w:val="0"/>
                  <w:vAlign w:val="center"/>
                </w:tcPr>
                <w:p w14:paraId="3840E436">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lang w:val="en-US" w:eastAsia="zh-CN" w:bidi="zh-CN"/>
                    </w:rPr>
                  </w:pPr>
                  <w:r>
                    <w:rPr>
                      <w:rFonts w:hint="default"/>
                      <w:color w:val="auto"/>
                      <w:sz w:val="21"/>
                      <w:szCs w:val="21"/>
                      <w:highlight w:val="none"/>
                      <w:lang w:val="en-US" w:eastAsia="zh-CN"/>
                    </w:rPr>
                    <w:t>最</w:t>
                  </w:r>
                  <w:r>
                    <w:rPr>
                      <w:rFonts w:hint="eastAsia"/>
                      <w:color w:val="auto"/>
                      <w:sz w:val="21"/>
                      <w:szCs w:val="21"/>
                      <w:highlight w:val="none"/>
                      <w:lang w:val="en-US" w:eastAsia="zh-CN"/>
                    </w:rPr>
                    <w:t>小</w:t>
                  </w:r>
                  <w:r>
                    <w:rPr>
                      <w:rFonts w:hint="default"/>
                      <w:color w:val="auto"/>
                      <w:sz w:val="21"/>
                      <w:szCs w:val="21"/>
                      <w:highlight w:val="none"/>
                      <w:lang w:val="en-US" w:eastAsia="zh-CN"/>
                    </w:rPr>
                    <w:t>值</w:t>
                  </w:r>
                </w:p>
              </w:tc>
              <w:tc>
                <w:tcPr>
                  <w:tcW w:w="847" w:type="dxa"/>
                  <w:tcBorders>
                    <w:tl2br w:val="nil"/>
                    <w:tr2bl w:val="nil"/>
                  </w:tcBorders>
                  <w:shd w:val="clear" w:color="auto" w:fill="auto"/>
                  <w:noWrap w:val="0"/>
                  <w:vAlign w:val="center"/>
                </w:tcPr>
                <w:p w14:paraId="6C78256A">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7.7</w:t>
                  </w:r>
                </w:p>
              </w:tc>
              <w:tc>
                <w:tcPr>
                  <w:tcW w:w="736" w:type="dxa"/>
                  <w:tcBorders>
                    <w:tl2br w:val="nil"/>
                    <w:tr2bl w:val="nil"/>
                  </w:tcBorders>
                  <w:shd w:val="clear" w:color="auto" w:fill="auto"/>
                  <w:noWrap w:val="0"/>
                  <w:vAlign w:val="center"/>
                </w:tcPr>
                <w:p w14:paraId="6CB19974">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1.6</w:t>
                  </w:r>
                </w:p>
              </w:tc>
              <w:tc>
                <w:tcPr>
                  <w:tcW w:w="723" w:type="dxa"/>
                  <w:tcBorders>
                    <w:tl2br w:val="nil"/>
                    <w:tr2bl w:val="nil"/>
                  </w:tcBorders>
                  <w:shd w:val="clear" w:color="auto" w:fill="auto"/>
                  <w:noWrap w:val="0"/>
                  <w:vAlign w:val="center"/>
                </w:tcPr>
                <w:p w14:paraId="695C214A">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7</w:t>
                  </w:r>
                </w:p>
              </w:tc>
              <w:tc>
                <w:tcPr>
                  <w:tcW w:w="764" w:type="dxa"/>
                  <w:tcBorders>
                    <w:tl2br w:val="nil"/>
                    <w:tr2bl w:val="nil"/>
                  </w:tcBorders>
                  <w:shd w:val="clear" w:color="auto" w:fill="auto"/>
                  <w:noWrap w:val="0"/>
                  <w:vAlign w:val="center"/>
                </w:tcPr>
                <w:p w14:paraId="314FE4FA">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i w:val="0"/>
                      <w:iCs w:val="0"/>
                      <w:snapToGrid/>
                      <w:color w:val="auto"/>
                      <w:kern w:val="0"/>
                      <w:sz w:val="21"/>
                      <w:szCs w:val="21"/>
                      <w:lang w:val="en-US" w:eastAsia="zh-CN" w:bidi="ar"/>
                    </w:rPr>
                    <w:t>1.56</w:t>
                  </w:r>
                </w:p>
              </w:tc>
              <w:tc>
                <w:tcPr>
                  <w:tcW w:w="736" w:type="dxa"/>
                  <w:tcBorders>
                    <w:tl2br w:val="nil"/>
                    <w:tr2bl w:val="nil"/>
                  </w:tcBorders>
                  <w:shd w:val="clear" w:color="auto" w:fill="auto"/>
                  <w:noWrap w:val="0"/>
                  <w:vAlign w:val="center"/>
                </w:tcPr>
                <w:p w14:paraId="16C9F7FC">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i w:val="0"/>
                      <w:iCs w:val="0"/>
                      <w:snapToGrid/>
                      <w:color w:val="auto"/>
                      <w:kern w:val="0"/>
                      <w:sz w:val="21"/>
                      <w:szCs w:val="21"/>
                      <w:lang w:val="en-US" w:eastAsia="zh-CN" w:bidi="ar"/>
                    </w:rPr>
                    <w:t>0.370</w:t>
                  </w:r>
                </w:p>
              </w:tc>
              <w:tc>
                <w:tcPr>
                  <w:tcW w:w="694" w:type="dxa"/>
                  <w:tcBorders>
                    <w:tl2br w:val="nil"/>
                    <w:tr2bl w:val="nil"/>
                  </w:tcBorders>
                  <w:shd w:val="clear" w:color="auto" w:fill="auto"/>
                  <w:noWrap w:val="0"/>
                  <w:vAlign w:val="center"/>
                </w:tcPr>
                <w:p w14:paraId="6828E910">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i w:val="0"/>
                      <w:iCs w:val="0"/>
                      <w:snapToGrid/>
                      <w:color w:val="auto"/>
                      <w:kern w:val="0"/>
                      <w:sz w:val="21"/>
                      <w:szCs w:val="21"/>
                      <w:lang w:val="en-US" w:eastAsia="zh-CN" w:bidi="ar"/>
                    </w:rPr>
                    <w:t>0.03</w:t>
                  </w:r>
                </w:p>
              </w:tc>
              <w:tc>
                <w:tcPr>
                  <w:tcW w:w="688" w:type="dxa"/>
                  <w:tcBorders>
                    <w:tl2br w:val="nil"/>
                    <w:tr2bl w:val="nil"/>
                  </w:tcBorders>
                  <w:shd w:val="clear" w:color="auto" w:fill="auto"/>
                  <w:noWrap w:val="0"/>
                  <w:vAlign w:val="center"/>
                </w:tcPr>
                <w:p w14:paraId="47FBA417">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17</w:t>
                  </w:r>
                </w:p>
              </w:tc>
            </w:tr>
            <w:tr w14:paraId="3B41BB4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846" w:type="dxa"/>
                  <w:vMerge w:val="continue"/>
                  <w:tcBorders>
                    <w:tl2br w:val="nil"/>
                    <w:tr2bl w:val="nil"/>
                  </w:tcBorders>
                  <w:noWrap w:val="0"/>
                  <w:vAlign w:val="center"/>
                </w:tcPr>
                <w:p w14:paraId="016835E2">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c>
                <w:tcPr>
                  <w:tcW w:w="1779" w:type="dxa"/>
                  <w:tcBorders>
                    <w:tl2br w:val="nil"/>
                    <w:tr2bl w:val="nil"/>
                  </w:tcBorders>
                  <w:shd w:val="clear" w:color="auto" w:fill="auto"/>
                  <w:noWrap w:val="0"/>
                  <w:vAlign w:val="center"/>
                </w:tcPr>
                <w:p w14:paraId="75B69794">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lang w:val="en-US" w:eastAsia="zh-CN" w:bidi="zh-CN"/>
                    </w:rPr>
                  </w:pPr>
                  <w:r>
                    <w:rPr>
                      <w:rFonts w:hint="default"/>
                      <w:color w:val="auto"/>
                      <w:sz w:val="21"/>
                      <w:szCs w:val="21"/>
                      <w:highlight w:val="none"/>
                      <w:lang w:val="en-US" w:eastAsia="zh-CN"/>
                    </w:rPr>
                    <w:t>标准值</w:t>
                  </w:r>
                </w:p>
              </w:tc>
              <w:tc>
                <w:tcPr>
                  <w:tcW w:w="847" w:type="dxa"/>
                  <w:tcBorders>
                    <w:tl2br w:val="nil"/>
                    <w:tr2bl w:val="nil"/>
                  </w:tcBorders>
                  <w:shd w:val="clear" w:color="auto" w:fill="auto"/>
                  <w:noWrap w:val="0"/>
                  <w:vAlign w:val="center"/>
                </w:tcPr>
                <w:p w14:paraId="6FCB4A37">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0"/>
                      <w:sz w:val="21"/>
                      <w:szCs w:val="21"/>
                      <w:lang w:val="en-US" w:eastAsia="zh-CN" w:bidi="zh-CN"/>
                    </w:rPr>
                  </w:pPr>
                  <w:r>
                    <w:rPr>
                      <w:rFonts w:hint="default" w:ascii="Times New Roman" w:hAnsi="Times New Roman" w:eastAsia="宋体" w:cs="Times New Roman"/>
                      <w:b w:val="0"/>
                      <w:bCs w:val="0"/>
                      <w:snapToGrid/>
                      <w:color w:val="auto"/>
                      <w:kern w:val="0"/>
                      <w:sz w:val="21"/>
                      <w:szCs w:val="21"/>
                      <w:lang w:val="en-US" w:eastAsia="zh-CN" w:bidi="ar"/>
                    </w:rPr>
                    <w:t>6-9</w:t>
                  </w:r>
                </w:p>
              </w:tc>
              <w:tc>
                <w:tcPr>
                  <w:tcW w:w="736" w:type="dxa"/>
                  <w:tcBorders>
                    <w:tl2br w:val="nil"/>
                    <w:tr2bl w:val="nil"/>
                  </w:tcBorders>
                  <w:shd w:val="clear" w:color="auto" w:fill="auto"/>
                  <w:noWrap w:val="0"/>
                  <w:vAlign w:val="center"/>
                </w:tcPr>
                <w:p w14:paraId="731706F4">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21"/>
                      <w:szCs w:val="21"/>
                      <w:lang w:val="en-US" w:eastAsia="zh-CN" w:bidi="zh-CN"/>
                    </w:rPr>
                  </w:pPr>
                  <w:r>
                    <w:rPr>
                      <w:rFonts w:hint="default" w:ascii="Times New Roman" w:hAnsi="Times New Roman" w:eastAsia="宋体" w:cs="Times New Roman"/>
                      <w:b w:val="0"/>
                      <w:bCs w:val="0"/>
                      <w:snapToGrid/>
                      <w:color w:val="auto"/>
                      <w:kern w:val="2"/>
                      <w:sz w:val="21"/>
                      <w:szCs w:val="21"/>
                      <w:lang w:val="en-US" w:eastAsia="zh-CN" w:bidi="ar"/>
                    </w:rPr>
                    <w:t>4</w:t>
                  </w:r>
                </w:p>
              </w:tc>
              <w:tc>
                <w:tcPr>
                  <w:tcW w:w="723" w:type="dxa"/>
                  <w:tcBorders>
                    <w:tl2br w:val="nil"/>
                    <w:tr2bl w:val="nil"/>
                  </w:tcBorders>
                  <w:shd w:val="clear" w:color="auto" w:fill="auto"/>
                  <w:noWrap w:val="0"/>
                  <w:vAlign w:val="center"/>
                </w:tcPr>
                <w:p w14:paraId="6FC0DC86">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0"/>
                      <w:sz w:val="21"/>
                      <w:szCs w:val="21"/>
                      <w:lang w:val="en-US" w:eastAsia="zh-CN" w:bidi="zh-CN"/>
                    </w:rPr>
                  </w:pPr>
                  <w:r>
                    <w:rPr>
                      <w:rFonts w:hint="default" w:ascii="Times New Roman" w:hAnsi="Times New Roman" w:eastAsia="宋体" w:cs="Times New Roman"/>
                      <w:b w:val="0"/>
                      <w:bCs w:val="0"/>
                      <w:snapToGrid/>
                      <w:color w:val="auto"/>
                      <w:kern w:val="0"/>
                      <w:sz w:val="21"/>
                      <w:szCs w:val="21"/>
                      <w:lang w:val="en-US" w:eastAsia="zh-CN" w:bidi="ar"/>
                    </w:rPr>
                    <w:t>20</w:t>
                  </w:r>
                </w:p>
              </w:tc>
              <w:tc>
                <w:tcPr>
                  <w:tcW w:w="764" w:type="dxa"/>
                  <w:tcBorders>
                    <w:tl2br w:val="nil"/>
                    <w:tr2bl w:val="nil"/>
                  </w:tcBorders>
                  <w:shd w:val="clear" w:color="auto" w:fill="auto"/>
                  <w:noWrap w:val="0"/>
                  <w:vAlign w:val="center"/>
                </w:tcPr>
                <w:p w14:paraId="2FD81AB3">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0"/>
                      <w:sz w:val="21"/>
                      <w:szCs w:val="21"/>
                      <w:lang w:val="en-US" w:eastAsia="zh-CN" w:bidi="zh-CN"/>
                    </w:rPr>
                  </w:pPr>
                  <w:r>
                    <w:rPr>
                      <w:rFonts w:hint="default" w:ascii="Times New Roman" w:hAnsi="Times New Roman" w:eastAsia="宋体" w:cs="Times New Roman"/>
                      <w:b w:val="0"/>
                      <w:bCs w:val="0"/>
                      <w:snapToGrid/>
                      <w:color w:val="auto"/>
                      <w:kern w:val="0"/>
                      <w:sz w:val="21"/>
                      <w:szCs w:val="21"/>
                      <w:lang w:val="en-US" w:eastAsia="zh-CN" w:bidi="ar"/>
                    </w:rPr>
                    <w:t>/</w:t>
                  </w:r>
                </w:p>
              </w:tc>
              <w:tc>
                <w:tcPr>
                  <w:tcW w:w="736" w:type="dxa"/>
                  <w:tcBorders>
                    <w:tl2br w:val="nil"/>
                    <w:tr2bl w:val="nil"/>
                  </w:tcBorders>
                  <w:shd w:val="clear" w:color="auto" w:fill="auto"/>
                  <w:noWrap w:val="0"/>
                  <w:vAlign w:val="center"/>
                </w:tcPr>
                <w:p w14:paraId="4E5E47D2">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0"/>
                      <w:sz w:val="21"/>
                      <w:szCs w:val="21"/>
                      <w:lang w:val="en-US" w:eastAsia="zh-CN" w:bidi="zh-CN"/>
                    </w:rPr>
                  </w:pPr>
                  <w:r>
                    <w:rPr>
                      <w:rFonts w:hint="default" w:ascii="Times New Roman" w:hAnsi="Times New Roman" w:eastAsia="宋体" w:cs="Times New Roman"/>
                      <w:b w:val="0"/>
                      <w:bCs w:val="0"/>
                      <w:snapToGrid/>
                      <w:color w:val="auto"/>
                      <w:kern w:val="0"/>
                      <w:sz w:val="21"/>
                      <w:szCs w:val="21"/>
                      <w:lang w:val="en-US" w:eastAsia="zh-CN" w:bidi="ar"/>
                    </w:rPr>
                    <w:t>1.0</w:t>
                  </w:r>
                </w:p>
              </w:tc>
              <w:tc>
                <w:tcPr>
                  <w:tcW w:w="694" w:type="dxa"/>
                  <w:tcBorders>
                    <w:tl2br w:val="nil"/>
                    <w:tr2bl w:val="nil"/>
                  </w:tcBorders>
                  <w:shd w:val="clear" w:color="auto" w:fill="auto"/>
                  <w:noWrap w:val="0"/>
                  <w:vAlign w:val="center"/>
                </w:tcPr>
                <w:p w14:paraId="0B5D8731">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0"/>
                      <w:sz w:val="21"/>
                      <w:szCs w:val="21"/>
                      <w:lang w:val="en-US" w:eastAsia="zh-CN" w:bidi="zh-CN"/>
                    </w:rPr>
                  </w:pPr>
                  <w:r>
                    <w:rPr>
                      <w:rFonts w:hint="default" w:ascii="Times New Roman" w:hAnsi="Times New Roman" w:eastAsia="宋体" w:cs="Times New Roman"/>
                      <w:b w:val="0"/>
                      <w:bCs w:val="0"/>
                      <w:snapToGrid/>
                      <w:color w:val="auto"/>
                      <w:kern w:val="0"/>
                      <w:sz w:val="21"/>
                      <w:szCs w:val="21"/>
                      <w:lang w:val="en-US" w:eastAsia="zh-CN" w:bidi="ar"/>
                    </w:rPr>
                    <w:t>0.2</w:t>
                  </w:r>
                </w:p>
              </w:tc>
              <w:tc>
                <w:tcPr>
                  <w:tcW w:w="688" w:type="dxa"/>
                  <w:tcBorders>
                    <w:tl2br w:val="nil"/>
                    <w:tr2bl w:val="nil"/>
                  </w:tcBorders>
                  <w:shd w:val="clear" w:color="auto" w:fill="auto"/>
                  <w:noWrap w:val="0"/>
                  <w:vAlign w:val="center"/>
                </w:tcPr>
                <w:p w14:paraId="0F177655">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w:t>
                  </w:r>
                </w:p>
              </w:tc>
            </w:tr>
            <w:tr w14:paraId="1D0EDB3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846" w:type="dxa"/>
                  <w:vMerge w:val="continue"/>
                  <w:tcBorders>
                    <w:tl2br w:val="nil"/>
                    <w:tr2bl w:val="nil"/>
                  </w:tcBorders>
                  <w:noWrap w:val="0"/>
                  <w:vAlign w:val="center"/>
                </w:tcPr>
                <w:p w14:paraId="0C374411">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c>
                <w:tcPr>
                  <w:tcW w:w="1779" w:type="dxa"/>
                  <w:tcBorders>
                    <w:tl2br w:val="nil"/>
                    <w:tr2bl w:val="nil"/>
                  </w:tcBorders>
                  <w:shd w:val="clear" w:color="auto" w:fill="auto"/>
                  <w:noWrap w:val="0"/>
                  <w:vAlign w:val="center"/>
                </w:tcPr>
                <w:p w14:paraId="389F9409">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textAlignment w:val="auto"/>
                    <w:rPr>
                      <w:rFonts w:hint="default"/>
                      <w:color w:val="auto"/>
                      <w:sz w:val="21"/>
                      <w:szCs w:val="21"/>
                      <w:highlight w:val="none"/>
                      <w:lang w:val="en-US" w:eastAsia="zh-CN"/>
                    </w:rPr>
                  </w:pPr>
                  <w:r>
                    <w:rPr>
                      <w:rFonts w:hint="eastAsia"/>
                      <w:color w:val="auto"/>
                      <w:sz w:val="21"/>
                      <w:szCs w:val="21"/>
                      <w:highlight w:val="none"/>
                      <w:lang w:val="en-US" w:eastAsia="zh-CN"/>
                    </w:rPr>
                    <w:t>最大浓度占标率%</w:t>
                  </w:r>
                </w:p>
              </w:tc>
              <w:tc>
                <w:tcPr>
                  <w:tcW w:w="847" w:type="dxa"/>
                  <w:tcBorders>
                    <w:tl2br w:val="nil"/>
                    <w:tr2bl w:val="nil"/>
                  </w:tcBorders>
                  <w:shd w:val="clear" w:color="auto" w:fill="auto"/>
                  <w:noWrap w:val="0"/>
                  <w:vAlign w:val="center"/>
                </w:tcPr>
                <w:p w14:paraId="7E1A0FF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0.4</w:t>
                  </w:r>
                </w:p>
              </w:tc>
              <w:tc>
                <w:tcPr>
                  <w:tcW w:w="736" w:type="dxa"/>
                  <w:tcBorders>
                    <w:tl2br w:val="nil"/>
                    <w:tr2bl w:val="nil"/>
                  </w:tcBorders>
                  <w:shd w:val="clear" w:color="auto" w:fill="auto"/>
                  <w:noWrap w:val="0"/>
                  <w:vAlign w:val="center"/>
                </w:tcPr>
                <w:p w14:paraId="486F15F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0.725</w:t>
                  </w:r>
                </w:p>
              </w:tc>
              <w:tc>
                <w:tcPr>
                  <w:tcW w:w="723" w:type="dxa"/>
                  <w:tcBorders>
                    <w:tl2br w:val="nil"/>
                    <w:tr2bl w:val="nil"/>
                  </w:tcBorders>
                  <w:shd w:val="clear" w:color="auto" w:fill="auto"/>
                  <w:noWrap w:val="0"/>
                  <w:vAlign w:val="center"/>
                </w:tcPr>
                <w:p w14:paraId="4DB4BCC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0.4</w:t>
                  </w:r>
                </w:p>
              </w:tc>
              <w:tc>
                <w:tcPr>
                  <w:tcW w:w="764" w:type="dxa"/>
                  <w:tcBorders>
                    <w:tl2br w:val="nil"/>
                    <w:tr2bl w:val="nil"/>
                  </w:tcBorders>
                  <w:shd w:val="clear" w:color="auto" w:fill="auto"/>
                  <w:noWrap w:val="0"/>
                  <w:vAlign w:val="center"/>
                </w:tcPr>
                <w:p w14:paraId="6C0EF5E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736" w:type="dxa"/>
                  <w:tcBorders>
                    <w:tl2br w:val="nil"/>
                    <w:tr2bl w:val="nil"/>
                  </w:tcBorders>
                  <w:shd w:val="clear" w:color="auto" w:fill="auto"/>
                  <w:noWrap w:val="0"/>
                  <w:vAlign w:val="center"/>
                </w:tcPr>
                <w:p w14:paraId="5D03F89C">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0.391</w:t>
                  </w:r>
                </w:p>
              </w:tc>
              <w:tc>
                <w:tcPr>
                  <w:tcW w:w="694" w:type="dxa"/>
                  <w:tcBorders>
                    <w:tl2br w:val="nil"/>
                    <w:tr2bl w:val="nil"/>
                  </w:tcBorders>
                  <w:shd w:val="clear" w:color="auto" w:fill="auto"/>
                  <w:noWrap w:val="0"/>
                  <w:vAlign w:val="center"/>
                </w:tcPr>
                <w:p w14:paraId="6150245A">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0.2</w:t>
                  </w:r>
                </w:p>
              </w:tc>
              <w:tc>
                <w:tcPr>
                  <w:tcW w:w="688" w:type="dxa"/>
                  <w:tcBorders>
                    <w:tl2br w:val="nil"/>
                    <w:tr2bl w:val="nil"/>
                  </w:tcBorders>
                  <w:shd w:val="clear" w:color="auto" w:fill="auto"/>
                  <w:noWrap w:val="0"/>
                  <w:vAlign w:val="center"/>
                </w:tcPr>
                <w:p w14:paraId="547471A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r>
            <w:tr w14:paraId="5210855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846" w:type="dxa"/>
                  <w:vMerge w:val="continue"/>
                  <w:tcBorders>
                    <w:tl2br w:val="nil"/>
                    <w:tr2bl w:val="nil"/>
                  </w:tcBorders>
                  <w:noWrap w:val="0"/>
                  <w:vAlign w:val="center"/>
                </w:tcPr>
                <w:p w14:paraId="2B2CFB52">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c>
                <w:tcPr>
                  <w:tcW w:w="1779" w:type="dxa"/>
                  <w:tcBorders>
                    <w:tl2br w:val="nil"/>
                    <w:tr2bl w:val="nil"/>
                  </w:tcBorders>
                  <w:shd w:val="clear" w:color="auto" w:fill="auto"/>
                  <w:noWrap w:val="0"/>
                  <w:vAlign w:val="center"/>
                </w:tcPr>
                <w:p w14:paraId="2BDDE2FB">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lang w:val="en-US" w:eastAsia="zh-CN" w:bidi="zh-CN"/>
                    </w:rPr>
                  </w:pPr>
                  <w:r>
                    <w:rPr>
                      <w:rFonts w:hint="default"/>
                      <w:color w:val="auto"/>
                      <w:sz w:val="21"/>
                      <w:szCs w:val="21"/>
                      <w:highlight w:val="none"/>
                      <w:lang w:val="en-US" w:eastAsia="zh-CN"/>
                    </w:rPr>
                    <w:t>超标率</w:t>
                  </w:r>
                  <w:r>
                    <w:rPr>
                      <w:rFonts w:hint="eastAsia"/>
                      <w:color w:val="auto"/>
                      <w:sz w:val="21"/>
                      <w:szCs w:val="21"/>
                      <w:highlight w:val="none"/>
                      <w:lang w:val="en-US" w:eastAsia="zh-CN"/>
                    </w:rPr>
                    <w:t>%</w:t>
                  </w:r>
                </w:p>
              </w:tc>
              <w:tc>
                <w:tcPr>
                  <w:tcW w:w="847" w:type="dxa"/>
                  <w:tcBorders>
                    <w:tl2br w:val="nil"/>
                    <w:tr2bl w:val="nil"/>
                  </w:tcBorders>
                  <w:shd w:val="clear" w:color="auto" w:fill="auto"/>
                  <w:noWrap w:val="0"/>
                  <w:vAlign w:val="center"/>
                </w:tcPr>
                <w:p w14:paraId="4205DC96">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0</w:t>
                  </w:r>
                </w:p>
              </w:tc>
              <w:tc>
                <w:tcPr>
                  <w:tcW w:w="736" w:type="dxa"/>
                  <w:tcBorders>
                    <w:tl2br w:val="nil"/>
                    <w:tr2bl w:val="nil"/>
                  </w:tcBorders>
                  <w:shd w:val="clear" w:color="auto" w:fill="auto"/>
                  <w:noWrap w:val="0"/>
                  <w:vAlign w:val="center"/>
                </w:tcPr>
                <w:p w14:paraId="44CF508F">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0</w:t>
                  </w:r>
                </w:p>
              </w:tc>
              <w:tc>
                <w:tcPr>
                  <w:tcW w:w="723" w:type="dxa"/>
                  <w:tcBorders>
                    <w:tl2br w:val="nil"/>
                    <w:tr2bl w:val="nil"/>
                  </w:tcBorders>
                  <w:shd w:val="clear" w:color="auto" w:fill="auto"/>
                  <w:noWrap w:val="0"/>
                  <w:vAlign w:val="center"/>
                </w:tcPr>
                <w:p w14:paraId="1642C48B">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0</w:t>
                  </w:r>
                </w:p>
              </w:tc>
              <w:tc>
                <w:tcPr>
                  <w:tcW w:w="764" w:type="dxa"/>
                  <w:tcBorders>
                    <w:tl2br w:val="nil"/>
                    <w:tr2bl w:val="nil"/>
                  </w:tcBorders>
                  <w:shd w:val="clear" w:color="auto" w:fill="auto"/>
                  <w:noWrap w:val="0"/>
                  <w:vAlign w:val="center"/>
                </w:tcPr>
                <w:p w14:paraId="27D8B0BA">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w:t>
                  </w:r>
                </w:p>
              </w:tc>
              <w:tc>
                <w:tcPr>
                  <w:tcW w:w="736" w:type="dxa"/>
                  <w:tcBorders>
                    <w:tl2br w:val="nil"/>
                    <w:tr2bl w:val="nil"/>
                  </w:tcBorders>
                  <w:shd w:val="clear" w:color="auto" w:fill="auto"/>
                  <w:noWrap w:val="0"/>
                  <w:vAlign w:val="center"/>
                </w:tcPr>
                <w:p w14:paraId="4D406727">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0</w:t>
                  </w:r>
                </w:p>
              </w:tc>
              <w:tc>
                <w:tcPr>
                  <w:tcW w:w="694" w:type="dxa"/>
                  <w:tcBorders>
                    <w:tl2br w:val="nil"/>
                    <w:tr2bl w:val="nil"/>
                  </w:tcBorders>
                  <w:shd w:val="clear" w:color="auto" w:fill="auto"/>
                  <w:noWrap w:val="0"/>
                  <w:vAlign w:val="center"/>
                </w:tcPr>
                <w:p w14:paraId="75A617F6">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0</w:t>
                  </w:r>
                </w:p>
              </w:tc>
              <w:tc>
                <w:tcPr>
                  <w:tcW w:w="688" w:type="dxa"/>
                  <w:tcBorders>
                    <w:tl2br w:val="nil"/>
                    <w:tr2bl w:val="nil"/>
                  </w:tcBorders>
                  <w:shd w:val="clear" w:color="auto" w:fill="auto"/>
                  <w:noWrap w:val="0"/>
                  <w:vAlign w:val="center"/>
                </w:tcPr>
                <w:p w14:paraId="2295706B">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snapToGrid/>
                      <w:color w:val="auto"/>
                      <w:kern w:val="0"/>
                      <w:sz w:val="21"/>
                      <w:szCs w:val="21"/>
                      <w:lang w:val="en-US" w:eastAsia="zh-CN" w:bidi="ar"/>
                    </w:rPr>
                    <w:t>/</w:t>
                  </w:r>
                </w:p>
              </w:tc>
            </w:tr>
            <w:tr w14:paraId="588433A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846" w:type="dxa"/>
                  <w:vMerge w:val="continue"/>
                  <w:tcBorders>
                    <w:tl2br w:val="nil"/>
                    <w:tr2bl w:val="nil"/>
                  </w:tcBorders>
                  <w:noWrap w:val="0"/>
                  <w:vAlign w:val="center"/>
                </w:tcPr>
                <w:p w14:paraId="14CD368A">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c>
                <w:tcPr>
                  <w:tcW w:w="1779" w:type="dxa"/>
                  <w:tcBorders>
                    <w:tl2br w:val="nil"/>
                    <w:tr2bl w:val="nil"/>
                  </w:tcBorders>
                  <w:shd w:val="clear" w:color="auto" w:fill="auto"/>
                  <w:noWrap w:val="0"/>
                  <w:vAlign w:val="center"/>
                </w:tcPr>
                <w:p w14:paraId="1A73F468">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lang w:val="en-US" w:eastAsia="zh-CN" w:bidi="zh-CN"/>
                    </w:rPr>
                  </w:pPr>
                  <w:r>
                    <w:rPr>
                      <w:rFonts w:hint="default"/>
                      <w:color w:val="auto"/>
                      <w:sz w:val="21"/>
                      <w:szCs w:val="21"/>
                      <w:highlight w:val="none"/>
                      <w:lang w:val="en-US" w:eastAsia="zh-CN"/>
                    </w:rPr>
                    <w:t>是否达标</w:t>
                  </w:r>
                </w:p>
              </w:tc>
              <w:tc>
                <w:tcPr>
                  <w:tcW w:w="847" w:type="dxa"/>
                  <w:tcBorders>
                    <w:tl2br w:val="nil"/>
                    <w:tr2bl w:val="nil"/>
                  </w:tcBorders>
                  <w:shd w:val="clear" w:color="auto" w:fill="auto"/>
                  <w:noWrap w:val="0"/>
                  <w:vAlign w:val="center"/>
                </w:tcPr>
                <w:p w14:paraId="37D08C29">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lang w:val="en-US" w:eastAsia="zh-CN" w:bidi="zh-CN"/>
                    </w:rPr>
                  </w:pPr>
                  <w:r>
                    <w:rPr>
                      <w:rFonts w:hint="eastAsia"/>
                      <w:color w:val="auto"/>
                      <w:sz w:val="21"/>
                      <w:szCs w:val="21"/>
                      <w:highlight w:val="none"/>
                      <w:lang w:val="en-US" w:eastAsia="zh-CN"/>
                    </w:rPr>
                    <w:t>达标</w:t>
                  </w:r>
                </w:p>
              </w:tc>
              <w:tc>
                <w:tcPr>
                  <w:tcW w:w="736" w:type="dxa"/>
                  <w:tcBorders>
                    <w:tl2br w:val="nil"/>
                    <w:tr2bl w:val="nil"/>
                  </w:tcBorders>
                  <w:shd w:val="clear" w:color="auto" w:fill="auto"/>
                  <w:noWrap w:val="0"/>
                  <w:vAlign w:val="center"/>
                </w:tcPr>
                <w:p w14:paraId="6F086C58">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lang w:val="en-US" w:eastAsia="zh-CN" w:bidi="zh-CN"/>
                    </w:rPr>
                  </w:pPr>
                  <w:r>
                    <w:rPr>
                      <w:rFonts w:hint="eastAsia"/>
                      <w:color w:val="auto"/>
                      <w:sz w:val="21"/>
                      <w:szCs w:val="21"/>
                      <w:highlight w:val="none"/>
                      <w:lang w:val="en-US" w:eastAsia="zh-CN"/>
                    </w:rPr>
                    <w:t>达标</w:t>
                  </w:r>
                </w:p>
              </w:tc>
              <w:tc>
                <w:tcPr>
                  <w:tcW w:w="723" w:type="dxa"/>
                  <w:tcBorders>
                    <w:tl2br w:val="nil"/>
                    <w:tr2bl w:val="nil"/>
                  </w:tcBorders>
                  <w:shd w:val="clear" w:color="auto" w:fill="auto"/>
                  <w:noWrap w:val="0"/>
                  <w:vAlign w:val="center"/>
                </w:tcPr>
                <w:p w14:paraId="37200467">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lang w:val="en-US" w:eastAsia="zh-CN" w:bidi="zh-CN"/>
                    </w:rPr>
                  </w:pPr>
                  <w:r>
                    <w:rPr>
                      <w:rFonts w:hint="eastAsia"/>
                      <w:color w:val="auto"/>
                      <w:sz w:val="21"/>
                      <w:szCs w:val="21"/>
                      <w:highlight w:val="none"/>
                      <w:lang w:val="en-US" w:eastAsia="zh-CN"/>
                    </w:rPr>
                    <w:t>达标</w:t>
                  </w:r>
                </w:p>
              </w:tc>
              <w:tc>
                <w:tcPr>
                  <w:tcW w:w="764" w:type="dxa"/>
                  <w:tcBorders>
                    <w:tl2br w:val="nil"/>
                    <w:tr2bl w:val="nil"/>
                  </w:tcBorders>
                  <w:shd w:val="clear" w:color="auto" w:fill="auto"/>
                  <w:noWrap w:val="0"/>
                  <w:vAlign w:val="center"/>
                </w:tcPr>
                <w:p w14:paraId="4729CB53">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lang w:val="en-US" w:eastAsia="zh-CN" w:bidi="zh-CN"/>
                    </w:rPr>
                  </w:pPr>
                  <w:r>
                    <w:rPr>
                      <w:rFonts w:hint="eastAsia"/>
                      <w:color w:val="auto"/>
                      <w:sz w:val="21"/>
                      <w:szCs w:val="21"/>
                      <w:highlight w:val="none"/>
                      <w:lang w:val="en-US" w:eastAsia="zh-CN"/>
                    </w:rPr>
                    <w:t>达标</w:t>
                  </w:r>
                </w:p>
              </w:tc>
              <w:tc>
                <w:tcPr>
                  <w:tcW w:w="736" w:type="dxa"/>
                  <w:tcBorders>
                    <w:tl2br w:val="nil"/>
                    <w:tr2bl w:val="nil"/>
                  </w:tcBorders>
                  <w:shd w:val="clear" w:color="auto" w:fill="auto"/>
                  <w:noWrap w:val="0"/>
                  <w:vAlign w:val="center"/>
                </w:tcPr>
                <w:p w14:paraId="6D604121">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lang w:val="en-US" w:eastAsia="zh-CN" w:bidi="zh-CN"/>
                    </w:rPr>
                  </w:pPr>
                  <w:r>
                    <w:rPr>
                      <w:rFonts w:hint="eastAsia"/>
                      <w:color w:val="auto"/>
                      <w:sz w:val="21"/>
                      <w:szCs w:val="21"/>
                      <w:highlight w:val="none"/>
                      <w:lang w:val="en-US" w:eastAsia="zh-CN"/>
                    </w:rPr>
                    <w:t>达标</w:t>
                  </w:r>
                </w:p>
              </w:tc>
              <w:tc>
                <w:tcPr>
                  <w:tcW w:w="694" w:type="dxa"/>
                  <w:tcBorders>
                    <w:tl2br w:val="nil"/>
                    <w:tr2bl w:val="nil"/>
                  </w:tcBorders>
                  <w:shd w:val="clear" w:color="auto" w:fill="auto"/>
                  <w:noWrap w:val="0"/>
                  <w:vAlign w:val="center"/>
                </w:tcPr>
                <w:p w14:paraId="6EFFCDCC">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lang w:val="en-US" w:eastAsia="zh-CN" w:bidi="zh-CN"/>
                    </w:rPr>
                  </w:pPr>
                  <w:r>
                    <w:rPr>
                      <w:rFonts w:hint="eastAsia"/>
                      <w:color w:val="auto"/>
                      <w:sz w:val="21"/>
                      <w:szCs w:val="21"/>
                      <w:highlight w:val="none"/>
                      <w:lang w:val="en-US" w:eastAsia="zh-CN"/>
                    </w:rPr>
                    <w:t>达标</w:t>
                  </w:r>
                </w:p>
              </w:tc>
              <w:tc>
                <w:tcPr>
                  <w:tcW w:w="688" w:type="dxa"/>
                  <w:tcBorders>
                    <w:tl2br w:val="nil"/>
                    <w:tr2bl w:val="nil"/>
                  </w:tcBorders>
                  <w:shd w:val="clear" w:color="auto" w:fill="auto"/>
                  <w:noWrap w:val="0"/>
                  <w:vAlign w:val="center"/>
                </w:tcPr>
                <w:p w14:paraId="12197854">
                  <w:pPr>
                    <w:pStyle w:val="21"/>
                    <w:keepNext w:val="0"/>
                    <w:keepLines w:val="0"/>
                    <w:pageBreakBefore w:val="0"/>
                    <w:suppressLineNumbers w:val="0"/>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textAlignment w:val="auto"/>
                    <w:rPr>
                      <w:rFonts w:hint="default" w:ascii="Times New Roman" w:hAnsi="Times New Roman" w:eastAsia="宋体" w:cs="Times New Roman"/>
                      <w:color w:val="auto"/>
                      <w:sz w:val="21"/>
                      <w:szCs w:val="21"/>
                      <w:highlight w:val="none"/>
                      <w:lang w:val="en-US" w:eastAsia="zh-CN" w:bidi="zh-CN"/>
                    </w:rPr>
                  </w:pPr>
                  <w:r>
                    <w:rPr>
                      <w:rFonts w:hint="eastAsia"/>
                      <w:color w:val="auto"/>
                      <w:sz w:val="21"/>
                      <w:szCs w:val="21"/>
                      <w:highlight w:val="none"/>
                      <w:lang w:val="en-US" w:eastAsia="zh-CN"/>
                    </w:rPr>
                    <w:t>达标</w:t>
                  </w:r>
                </w:p>
              </w:tc>
            </w:tr>
          </w:tbl>
          <w:p w14:paraId="76D701C8">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根据</w:t>
            </w:r>
            <w:r>
              <w:rPr>
                <w:rFonts w:hint="eastAsia"/>
                <w:color w:val="auto"/>
                <w:highlight w:val="none"/>
                <w:lang w:val="en-US" w:eastAsia="zh-CN"/>
              </w:rPr>
              <w:t>上表</w:t>
            </w:r>
            <w:r>
              <w:rPr>
                <w:rFonts w:hint="eastAsia" w:ascii="Times New Roman" w:hAnsi="Times New Roman" w:eastAsia="宋体"/>
                <w:color w:val="auto"/>
                <w:highlight w:val="none"/>
                <w:lang w:val="en-US"/>
              </w:rPr>
              <w:t>可知，</w:t>
            </w:r>
            <w:r>
              <w:rPr>
                <w:rFonts w:hint="eastAsia"/>
                <w:color w:val="auto"/>
                <w:highlight w:val="none"/>
                <w:lang w:val="en-US" w:eastAsia="zh-CN"/>
              </w:rPr>
              <w:t>云台山</w:t>
            </w:r>
            <w:r>
              <w:rPr>
                <w:rFonts w:hint="eastAsia" w:ascii="Times New Roman" w:hAnsi="Times New Roman" w:eastAsia="宋体"/>
                <w:color w:val="auto"/>
                <w:highlight w:val="none"/>
                <w:lang w:val="en-US"/>
              </w:rPr>
              <w:t>河</w:t>
            </w:r>
            <w:r>
              <w:rPr>
                <w:rFonts w:hint="eastAsia"/>
                <w:color w:val="auto"/>
                <w:highlight w:val="none"/>
                <w:lang w:val="en-US" w:eastAsia="zh-CN"/>
              </w:rPr>
              <w:t>水质</w:t>
            </w:r>
            <w:r>
              <w:rPr>
                <w:rFonts w:hint="eastAsia" w:ascii="Times New Roman" w:hAnsi="Times New Roman" w:eastAsia="宋体"/>
                <w:color w:val="auto"/>
                <w:highlight w:val="none"/>
                <w:lang w:val="en-US"/>
              </w:rPr>
              <w:t>满足《地表水环境质量标准》（GB3838-2002）Ⅲ类标准。</w:t>
            </w:r>
          </w:p>
          <w:p w14:paraId="4DB22407">
            <w:pPr>
              <w:keepNext w:val="0"/>
              <w:keepLines w:val="0"/>
              <w:suppressLineNumbers w:val="0"/>
              <w:spacing w:before="0" w:beforeAutospacing="0" w:after="0" w:afterAutospacing="0"/>
              <w:ind w:left="0" w:right="0" w:firstLine="480"/>
              <w:rPr>
                <w:rFonts w:hint="default" w:ascii="Times New Roman" w:hAnsi="Times New Roman" w:eastAsia="宋体"/>
                <w:color w:val="auto"/>
                <w:sz w:val="24"/>
                <w:szCs w:val="24"/>
                <w:highlight w:val="none"/>
                <w:lang w:val="en-US"/>
              </w:rPr>
            </w:pPr>
            <w:r>
              <w:rPr>
                <w:rFonts w:hint="default" w:ascii="Times New Roman" w:hAnsi="Times New Roman" w:eastAsia="宋体"/>
                <w:color w:val="auto"/>
                <w:sz w:val="24"/>
                <w:szCs w:val="24"/>
                <w:highlight w:val="none"/>
                <w:lang w:val="en-US"/>
              </w:rPr>
              <w:t>3、声环境</w:t>
            </w:r>
          </w:p>
          <w:p w14:paraId="0417E90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highlight w:val="none"/>
                <w:lang w:val="zh-CN"/>
              </w:rPr>
            </w:pPr>
            <w:r>
              <w:rPr>
                <w:rFonts w:hint="eastAsia" w:ascii="Times New Roman" w:hAnsi="Times New Roman" w:eastAsia="宋体"/>
                <w:color w:val="auto"/>
                <w:sz w:val="24"/>
                <w:szCs w:val="24"/>
                <w:highlight w:val="none"/>
                <w:lang w:val="zh-CN"/>
              </w:rPr>
              <w:t>全市监测区域声环境点533个。城区区域声环境均值55.1dB</w:t>
            </w:r>
            <w:r>
              <w:rPr>
                <w:rFonts w:hint="eastAsia"/>
                <w:color w:val="auto"/>
                <w:sz w:val="24"/>
                <w:szCs w:val="24"/>
                <w:highlight w:val="none"/>
                <w:lang w:val="zh-CN"/>
              </w:rPr>
              <w:t>，</w:t>
            </w:r>
            <w:r>
              <w:rPr>
                <w:rFonts w:hint="eastAsia" w:ascii="Times New Roman" w:hAnsi="Times New Roman" w:eastAsia="宋体"/>
                <w:color w:val="auto"/>
                <w:sz w:val="24"/>
                <w:szCs w:val="24"/>
                <w:highlight w:val="none"/>
                <w:lang w:val="zh-CN"/>
              </w:rPr>
              <w:t>同比上升1.6dB</w:t>
            </w:r>
            <w:r>
              <w:rPr>
                <w:rFonts w:hint="eastAsia"/>
                <w:color w:val="auto"/>
                <w:sz w:val="24"/>
                <w:szCs w:val="24"/>
                <w:highlight w:val="none"/>
                <w:lang w:val="zh-CN"/>
              </w:rPr>
              <w:t>；</w:t>
            </w:r>
            <w:r>
              <w:rPr>
                <w:rFonts w:hint="eastAsia" w:ascii="Times New Roman" w:hAnsi="Times New Roman" w:eastAsia="宋体"/>
                <w:color w:val="auto"/>
                <w:sz w:val="24"/>
                <w:szCs w:val="24"/>
                <w:highlight w:val="none"/>
                <w:lang w:val="zh-CN"/>
              </w:rPr>
              <w:t>郊区区域噪声环境均值52.3dB</w:t>
            </w:r>
            <w:r>
              <w:rPr>
                <w:rFonts w:hint="eastAsia"/>
                <w:color w:val="auto"/>
                <w:sz w:val="24"/>
                <w:szCs w:val="24"/>
                <w:highlight w:val="none"/>
                <w:lang w:val="zh-CN"/>
              </w:rPr>
              <w:t>，</w:t>
            </w:r>
            <w:r>
              <w:rPr>
                <w:rFonts w:hint="eastAsia" w:ascii="Times New Roman" w:hAnsi="Times New Roman" w:eastAsia="宋体"/>
                <w:color w:val="auto"/>
                <w:sz w:val="24"/>
                <w:szCs w:val="24"/>
                <w:highlight w:val="none"/>
                <w:lang w:val="zh-CN"/>
              </w:rPr>
              <w:t>同比下降0.7dB</w:t>
            </w:r>
            <w:r>
              <w:rPr>
                <w:rFonts w:hint="eastAsia"/>
                <w:color w:val="auto"/>
                <w:sz w:val="24"/>
                <w:szCs w:val="24"/>
                <w:highlight w:val="none"/>
                <w:lang w:val="zh-CN"/>
              </w:rPr>
              <w:t>。</w:t>
            </w:r>
            <w:r>
              <w:rPr>
                <w:rFonts w:hint="eastAsia" w:ascii="Times New Roman" w:hAnsi="Times New Roman" w:eastAsia="宋体"/>
                <w:color w:val="auto"/>
                <w:sz w:val="24"/>
                <w:szCs w:val="24"/>
                <w:highlight w:val="none"/>
                <w:lang w:val="zh-CN"/>
              </w:rPr>
              <w:t>全市监测道路交通声环境点247个。城区道路交通声环境均值为67.1dB</w:t>
            </w:r>
            <w:r>
              <w:rPr>
                <w:rFonts w:hint="eastAsia"/>
                <w:color w:val="auto"/>
                <w:sz w:val="24"/>
                <w:szCs w:val="24"/>
                <w:highlight w:val="none"/>
                <w:lang w:val="zh-CN"/>
              </w:rPr>
              <w:t>，</w:t>
            </w:r>
            <w:r>
              <w:rPr>
                <w:rFonts w:hint="eastAsia" w:ascii="Times New Roman" w:hAnsi="Times New Roman" w:eastAsia="宋体"/>
                <w:color w:val="auto"/>
                <w:sz w:val="24"/>
                <w:szCs w:val="24"/>
                <w:highlight w:val="none"/>
                <w:lang w:val="zh-CN"/>
              </w:rPr>
              <w:t>同比下降0.6dB</w:t>
            </w:r>
            <w:r>
              <w:rPr>
                <w:rFonts w:hint="eastAsia"/>
                <w:color w:val="auto"/>
                <w:sz w:val="24"/>
                <w:szCs w:val="24"/>
                <w:highlight w:val="none"/>
                <w:lang w:val="zh-CN"/>
              </w:rPr>
              <w:t>；</w:t>
            </w:r>
            <w:r>
              <w:rPr>
                <w:rFonts w:hint="eastAsia" w:ascii="Times New Roman" w:hAnsi="Times New Roman" w:eastAsia="宋体"/>
                <w:color w:val="auto"/>
                <w:sz w:val="24"/>
                <w:szCs w:val="24"/>
                <w:highlight w:val="none"/>
                <w:lang w:val="zh-CN"/>
              </w:rPr>
              <w:t>郊区道路交通声环境均值65.7dB</w:t>
            </w:r>
            <w:r>
              <w:rPr>
                <w:rFonts w:hint="eastAsia"/>
                <w:color w:val="auto"/>
                <w:sz w:val="24"/>
                <w:szCs w:val="24"/>
                <w:highlight w:val="none"/>
                <w:lang w:val="zh-CN"/>
              </w:rPr>
              <w:t>，</w:t>
            </w:r>
            <w:r>
              <w:rPr>
                <w:rFonts w:hint="eastAsia" w:ascii="Times New Roman" w:hAnsi="Times New Roman" w:eastAsia="宋体"/>
                <w:color w:val="auto"/>
                <w:sz w:val="24"/>
                <w:szCs w:val="24"/>
                <w:highlight w:val="none"/>
                <w:lang w:val="zh-CN"/>
              </w:rPr>
              <w:t>同比下降0.4dB。全市功能区声环境监测点20个，昼间达标率为97.5%</w:t>
            </w:r>
            <w:r>
              <w:rPr>
                <w:rFonts w:hint="eastAsia"/>
                <w:color w:val="auto"/>
                <w:sz w:val="24"/>
                <w:szCs w:val="24"/>
                <w:highlight w:val="none"/>
                <w:lang w:val="zh-CN"/>
              </w:rPr>
              <w:t>，</w:t>
            </w:r>
            <w:r>
              <w:rPr>
                <w:rFonts w:hint="eastAsia" w:ascii="Times New Roman" w:hAnsi="Times New Roman" w:eastAsia="宋体"/>
                <w:color w:val="auto"/>
                <w:sz w:val="24"/>
                <w:szCs w:val="24"/>
                <w:highlight w:val="none"/>
                <w:lang w:val="zh-CN"/>
              </w:rPr>
              <w:t>夜间达标率为82.5%</w:t>
            </w:r>
            <w:r>
              <w:rPr>
                <w:rFonts w:hint="eastAsia"/>
                <w:color w:val="auto"/>
                <w:sz w:val="24"/>
                <w:szCs w:val="24"/>
                <w:highlight w:val="none"/>
                <w:lang w:val="zh-CN"/>
              </w:rPr>
              <w:t>（</w:t>
            </w:r>
            <w:r>
              <w:rPr>
                <w:rFonts w:hint="eastAsia" w:ascii="Times New Roman" w:hAnsi="Times New Roman" w:eastAsia="宋体"/>
                <w:color w:val="auto"/>
                <w:sz w:val="24"/>
                <w:szCs w:val="24"/>
                <w:highlight w:val="none"/>
                <w:lang w:val="zh-CN"/>
              </w:rPr>
              <w:t>2024年，全市功能区声环境监测点位及评价方式均发生改变</w:t>
            </w:r>
            <w:r>
              <w:rPr>
                <w:rFonts w:hint="eastAsia"/>
                <w:color w:val="auto"/>
                <w:sz w:val="24"/>
                <w:szCs w:val="24"/>
                <w:highlight w:val="none"/>
                <w:lang w:val="zh-CN"/>
              </w:rPr>
              <w:t>）</w:t>
            </w:r>
            <w:r>
              <w:rPr>
                <w:rFonts w:hint="eastAsia" w:ascii="Times New Roman" w:hAnsi="Times New Roman" w:eastAsia="宋体"/>
                <w:color w:val="auto"/>
                <w:sz w:val="24"/>
                <w:szCs w:val="24"/>
                <w:highlight w:val="none"/>
                <w:lang w:val="zh-CN"/>
              </w:rPr>
              <w:t>。</w:t>
            </w:r>
          </w:p>
          <w:p w14:paraId="620044CA">
            <w:pPr>
              <w:keepNext w:val="0"/>
              <w:keepLines w:val="0"/>
              <w:suppressLineNumbers w:val="0"/>
              <w:spacing w:before="0" w:beforeAutospacing="0" w:after="0" w:afterAutospacing="0"/>
              <w:ind w:left="0" w:right="0" w:firstLine="480"/>
              <w:rPr>
                <w:rFonts w:hint="default" w:ascii="Times New Roman" w:hAnsi="Times New Roman" w:eastAsia="宋体"/>
                <w:color w:val="auto"/>
                <w:sz w:val="24"/>
                <w:szCs w:val="24"/>
                <w:highlight w:val="none"/>
                <w:lang w:val="en-US"/>
              </w:rPr>
            </w:pPr>
            <w:r>
              <w:rPr>
                <w:rFonts w:hint="eastAsia" w:ascii="Times New Roman" w:hAnsi="Times New Roman" w:eastAsia="宋体"/>
                <w:color w:val="auto"/>
                <w:sz w:val="24"/>
                <w:szCs w:val="24"/>
                <w:highlight w:val="none"/>
                <w:lang w:val="en-US"/>
              </w:rPr>
              <w:t>根据《建设项目环境影响报告表编制技术指南（污染影响类）》（试行），声环境厂界外周边50米范围内存在声环境保护目标的建设项目，应监测保护目标声环境质量现状并评价达标情况；本项目厂界周边50m</w:t>
            </w:r>
            <w:r>
              <w:rPr>
                <w:rFonts w:hint="eastAsia" w:ascii="Times New Roman" w:hAnsi="Times New Roman" w:eastAsia="宋体"/>
                <w:color w:val="auto"/>
                <w:sz w:val="24"/>
                <w:szCs w:val="24"/>
                <w:highlight w:val="none"/>
                <w:lang w:val="en-US" w:eastAsia="zh-CN"/>
              </w:rPr>
              <w:t>范围内无声环境保护目标</w:t>
            </w:r>
            <w:r>
              <w:rPr>
                <w:rFonts w:hint="eastAsia" w:ascii="Times New Roman" w:hAnsi="Times New Roman" w:eastAsia="宋体"/>
                <w:color w:val="auto"/>
                <w:sz w:val="24"/>
                <w:szCs w:val="24"/>
                <w:highlight w:val="none"/>
                <w:lang w:val="en-US"/>
              </w:rPr>
              <w:t>，无声环境保护目标，因此，可不进行噪声监测</w:t>
            </w:r>
            <w:r>
              <w:rPr>
                <w:rFonts w:hint="default" w:ascii="Times New Roman" w:hAnsi="Times New Roman" w:eastAsia="宋体"/>
                <w:color w:val="auto"/>
                <w:sz w:val="24"/>
                <w:szCs w:val="24"/>
                <w:highlight w:val="none"/>
                <w:lang w:val="en-US"/>
              </w:rPr>
              <w:t>。</w:t>
            </w:r>
          </w:p>
          <w:p w14:paraId="3F5BD19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4、生态环境</w:t>
            </w:r>
          </w:p>
          <w:p w14:paraId="4083C639">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本项目利用现有厂房进行建设，不新增用地，且用地范围内不涉及生态环境目标，无需进行生态现状调查。</w:t>
            </w:r>
          </w:p>
          <w:p w14:paraId="1A586009">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5、电磁辐射</w:t>
            </w:r>
          </w:p>
          <w:p w14:paraId="4B68FF41">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本项目属于</w:t>
            </w:r>
            <w:r>
              <w:rPr>
                <w:rFonts w:hint="eastAsia"/>
                <w:color w:val="auto"/>
                <w:highlight w:val="none"/>
                <w:lang w:val="en-US" w:eastAsia="zh-CN"/>
              </w:rPr>
              <w:t>C1522</w:t>
            </w:r>
            <w:r>
              <w:rPr>
                <w:rFonts w:hint="eastAsia" w:ascii="Times New Roman" w:hAnsi="Times New Roman" w:eastAsia="宋体"/>
                <w:color w:val="auto"/>
                <w:highlight w:val="none"/>
                <w:lang w:val="en-US"/>
              </w:rPr>
              <w:t>瓶（罐）装饮用水制造</w:t>
            </w:r>
            <w:r>
              <w:rPr>
                <w:rFonts w:hint="eastAsia" w:ascii="Times New Roman" w:hAnsi="Times New Roman" w:eastAsia="宋体"/>
                <w:color w:val="auto"/>
                <w:highlight w:val="none"/>
                <w:lang w:val="en-US" w:eastAsia="zh-CN"/>
              </w:rPr>
              <w:t>行业</w:t>
            </w:r>
            <w:r>
              <w:rPr>
                <w:rFonts w:hint="eastAsia" w:ascii="Times New Roman" w:hAnsi="Times New Roman" w:eastAsia="宋体"/>
                <w:color w:val="auto"/>
                <w:highlight w:val="none"/>
                <w:lang w:val="en-US"/>
              </w:rPr>
              <w:t>，不属于广播电台、差转台、电视塔台、卫星地球上行站、雷达等电磁辐射类项目，无需开展电磁辐射现状开展监测与评价。</w:t>
            </w:r>
          </w:p>
          <w:p w14:paraId="16152D1E">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6、地下水、土壤环境</w:t>
            </w:r>
          </w:p>
          <w:p w14:paraId="45709CD5">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本项目在</w:t>
            </w:r>
            <w:r>
              <w:rPr>
                <w:rFonts w:hint="default" w:ascii="Times New Roman" w:hAnsi="Times New Roman" w:eastAsia="宋体"/>
                <w:color w:val="auto"/>
                <w:highlight w:val="none"/>
              </w:rPr>
              <w:t>南京江宁区空港工业园东西京路以东、双塘路以南（吴歌路36号）</w:t>
            </w:r>
            <w:r>
              <w:rPr>
                <w:rFonts w:hint="eastAsia" w:ascii="Times New Roman" w:hAnsi="Times New Roman" w:eastAsia="宋体"/>
                <w:color w:val="auto"/>
                <w:highlight w:val="none"/>
                <w:lang w:val="en-US" w:eastAsia="zh-CN"/>
              </w:rPr>
              <w:t>现有</w:t>
            </w:r>
            <w:r>
              <w:rPr>
                <w:rFonts w:hint="eastAsia"/>
                <w:color w:val="auto"/>
                <w:highlight w:val="none"/>
                <w:lang w:val="en-US" w:eastAsia="zh-CN"/>
              </w:rPr>
              <w:t>厂区</w:t>
            </w:r>
            <w:r>
              <w:rPr>
                <w:rFonts w:hint="eastAsia" w:ascii="Times New Roman" w:hAnsi="Times New Roman" w:eastAsia="宋体"/>
                <w:color w:val="auto"/>
                <w:highlight w:val="none"/>
                <w:lang w:val="en-US" w:eastAsia="zh-CN"/>
              </w:rPr>
              <w:t>内</w:t>
            </w:r>
            <w:r>
              <w:rPr>
                <w:rFonts w:hint="default" w:ascii="Times New Roman" w:hAnsi="Times New Roman" w:eastAsia="宋体"/>
                <w:color w:val="auto"/>
                <w:highlight w:val="none"/>
                <w:lang w:val="en-US"/>
              </w:rPr>
              <w:t>进行建设，厂房地面全部硬化，基本可杜绝地下水、土壤污染途径，故项目不开展地下水、土壤环境质量现状调查。</w:t>
            </w:r>
          </w:p>
        </w:tc>
      </w:tr>
      <w:tr w14:paraId="7BE724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454" w:type="dxa"/>
            <w:tcMar>
              <w:top w:w="16" w:type="dxa"/>
              <w:left w:w="16" w:type="dxa"/>
              <w:right w:w="16" w:type="dxa"/>
            </w:tcMar>
            <w:vAlign w:val="center"/>
          </w:tcPr>
          <w:p w14:paraId="2CCE3BC6">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环境保护目标</w:t>
            </w:r>
          </w:p>
        </w:tc>
        <w:tc>
          <w:tcPr>
            <w:tcW w:w="7878" w:type="dxa"/>
            <w:vAlign w:val="center"/>
          </w:tcPr>
          <w:p w14:paraId="7ED7F3B7">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1、大气环境</w:t>
            </w:r>
          </w:p>
          <w:p w14:paraId="3DADBD0D">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eastAsia="zh-CN"/>
              </w:rPr>
            </w:pPr>
            <w:r>
              <w:rPr>
                <w:rFonts w:hint="default" w:ascii="Times New Roman" w:hAnsi="Times New Roman" w:eastAsia="宋体"/>
                <w:color w:val="auto"/>
                <w:highlight w:val="none"/>
                <w:lang w:val="en-US"/>
              </w:rPr>
              <w:t>项目厂界</w:t>
            </w:r>
            <w:r>
              <w:rPr>
                <w:rFonts w:hint="eastAsia"/>
                <w:color w:val="auto"/>
                <w:highlight w:val="none"/>
                <w:lang w:val="en-US" w:eastAsia="zh-CN"/>
              </w:rPr>
              <w:t>周边</w:t>
            </w:r>
            <w:r>
              <w:rPr>
                <w:rFonts w:hint="default" w:ascii="Times New Roman" w:hAnsi="Times New Roman" w:eastAsia="宋体"/>
                <w:color w:val="auto"/>
                <w:highlight w:val="none"/>
                <w:lang w:val="en-US"/>
              </w:rPr>
              <w:t>500m范围内</w:t>
            </w:r>
            <w:r>
              <w:rPr>
                <w:rFonts w:hint="eastAsia"/>
                <w:color w:val="auto"/>
                <w:highlight w:val="none"/>
                <w:lang w:val="en-US" w:eastAsia="zh-CN"/>
              </w:rPr>
              <w:t>无</w:t>
            </w:r>
            <w:r>
              <w:rPr>
                <w:rFonts w:hint="default" w:ascii="Times New Roman" w:hAnsi="Times New Roman" w:eastAsia="宋体"/>
                <w:color w:val="auto"/>
                <w:highlight w:val="none"/>
                <w:lang w:val="en-US"/>
              </w:rPr>
              <w:t>大气环境保护</w:t>
            </w:r>
            <w:r>
              <w:rPr>
                <w:rFonts w:hint="eastAsia"/>
                <w:color w:val="auto"/>
                <w:highlight w:val="none"/>
                <w:lang w:val="en-US" w:eastAsia="zh-CN"/>
              </w:rPr>
              <w:t>目标。</w:t>
            </w:r>
          </w:p>
          <w:p w14:paraId="2E06CBAE">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2、声环境</w:t>
            </w:r>
          </w:p>
          <w:p w14:paraId="55C09259">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项目</w:t>
            </w:r>
            <w:r>
              <w:rPr>
                <w:rFonts w:hint="default" w:ascii="Times New Roman" w:hAnsi="Times New Roman" w:eastAsia="宋体"/>
                <w:color w:val="auto"/>
                <w:highlight w:val="none"/>
                <w:lang w:val="en-US"/>
              </w:rPr>
              <w:t>厂界50米范围</w:t>
            </w:r>
            <w:r>
              <w:rPr>
                <w:rFonts w:hint="eastAsia" w:ascii="Times New Roman" w:hAnsi="Times New Roman" w:eastAsia="宋体"/>
                <w:color w:val="auto"/>
                <w:highlight w:val="none"/>
                <w:lang w:val="en-US"/>
              </w:rPr>
              <w:t>内</w:t>
            </w:r>
            <w:r>
              <w:rPr>
                <w:rFonts w:hint="default" w:ascii="Times New Roman" w:hAnsi="Times New Roman" w:eastAsia="宋体"/>
                <w:color w:val="auto"/>
                <w:highlight w:val="none"/>
                <w:lang w:val="en-US"/>
              </w:rPr>
              <w:t>无声环境</w:t>
            </w:r>
            <w:r>
              <w:rPr>
                <w:rFonts w:hint="eastAsia" w:ascii="Times New Roman" w:hAnsi="Times New Roman" w:eastAsia="宋体"/>
                <w:color w:val="auto"/>
                <w:highlight w:val="none"/>
                <w:lang w:val="en-US" w:eastAsia="zh-CN"/>
              </w:rPr>
              <w:t>保护</w:t>
            </w:r>
            <w:r>
              <w:rPr>
                <w:rFonts w:hint="default" w:ascii="Times New Roman" w:hAnsi="Times New Roman" w:eastAsia="宋体"/>
                <w:color w:val="auto"/>
                <w:highlight w:val="none"/>
                <w:lang w:val="en-US"/>
              </w:rPr>
              <w:t>目标。</w:t>
            </w:r>
          </w:p>
          <w:p w14:paraId="57BB4CC1">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3、地下水环境</w:t>
            </w:r>
          </w:p>
          <w:p w14:paraId="477C5B95">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项目厂界外500米范围内无地下水集中式饮用水水源和热水、矿泉水、温泉等特殊地下水资源。</w:t>
            </w:r>
          </w:p>
          <w:p w14:paraId="08D24A4F">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4、生态环境</w:t>
            </w:r>
          </w:p>
          <w:p w14:paraId="067970C0">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eastAsia="zh-CN"/>
              </w:rPr>
            </w:pPr>
            <w:r>
              <w:rPr>
                <w:rFonts w:hint="default" w:ascii="Times New Roman" w:hAnsi="Times New Roman" w:eastAsia="宋体"/>
                <w:color w:val="auto"/>
                <w:highlight w:val="none"/>
                <w:lang w:val="en-US"/>
              </w:rPr>
              <w:t>本项目用地性质为工业用地，不属于产业园区外新增用地，项目用地范围内无生态环境保护目标</w:t>
            </w:r>
            <w:r>
              <w:rPr>
                <w:rFonts w:hint="eastAsia" w:ascii="Times New Roman" w:hAnsi="Times New Roman" w:eastAsia="宋体"/>
                <w:color w:val="auto"/>
                <w:highlight w:val="none"/>
                <w:lang w:val="en-US" w:eastAsia="zh-CN"/>
              </w:rPr>
              <w:t>。</w:t>
            </w:r>
          </w:p>
        </w:tc>
      </w:tr>
      <w:tr w14:paraId="06BE2C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454" w:type="dxa"/>
            <w:tcMar>
              <w:top w:w="16" w:type="dxa"/>
              <w:left w:w="16" w:type="dxa"/>
              <w:right w:w="16" w:type="dxa"/>
            </w:tcMar>
            <w:vAlign w:val="center"/>
          </w:tcPr>
          <w:p w14:paraId="6D61F089">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污染物排放控制标准</w:t>
            </w:r>
          </w:p>
        </w:tc>
        <w:tc>
          <w:tcPr>
            <w:tcW w:w="7878" w:type="dxa"/>
            <w:vAlign w:val="center"/>
          </w:tcPr>
          <w:p w14:paraId="61559CFF">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1、废气排放标准</w:t>
            </w:r>
          </w:p>
          <w:p w14:paraId="5A64107F">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ascii="Times New Roman" w:hAnsi="Times New Roman" w:eastAsia="宋体"/>
                <w:color w:val="auto"/>
                <w:highlight w:val="none"/>
                <w:lang w:val="en-US"/>
              </w:rPr>
              <w:t>本项目营运期</w:t>
            </w:r>
            <w:r>
              <w:rPr>
                <w:rFonts w:hint="eastAsia"/>
                <w:color w:val="auto"/>
                <w:highlight w:val="none"/>
                <w:lang w:val="en-US" w:eastAsia="zh-CN"/>
              </w:rPr>
              <w:t>DA001排气筒中非甲烷总烃、乙醛</w:t>
            </w:r>
            <w:r>
              <w:rPr>
                <w:rFonts w:hint="eastAsia" w:ascii="Times New Roman" w:hAnsi="Times New Roman" w:eastAsia="宋体"/>
                <w:color w:val="auto"/>
                <w:highlight w:val="none"/>
                <w:lang w:val="en-US"/>
              </w:rPr>
              <w:t>执行</w:t>
            </w:r>
            <w:r>
              <w:rPr>
                <w:rFonts w:hint="default"/>
                <w:color w:val="auto"/>
                <w:highlight w:val="none"/>
              </w:rPr>
              <w:t>《</w:t>
            </w:r>
            <w:r>
              <w:rPr>
                <w:rFonts w:hint="eastAsia"/>
                <w:color w:val="auto"/>
                <w:highlight w:val="none"/>
                <w:lang w:val="en-US" w:eastAsia="zh-CN"/>
              </w:rPr>
              <w:t>合成树脂工业</w:t>
            </w:r>
            <w:r>
              <w:rPr>
                <w:rFonts w:hint="default"/>
                <w:color w:val="auto"/>
                <w:highlight w:val="none"/>
              </w:rPr>
              <w:t>污染物排放标准》（</w:t>
            </w:r>
            <w:r>
              <w:rPr>
                <w:rFonts w:hint="eastAsia"/>
                <w:color w:val="auto"/>
                <w:highlight w:val="none"/>
                <w:lang w:val="en-US" w:eastAsia="zh-CN"/>
              </w:rPr>
              <w:t>GB31572-2015</w:t>
            </w:r>
            <w:r>
              <w:rPr>
                <w:rFonts w:hint="default"/>
                <w:color w:val="auto"/>
                <w:highlight w:val="none"/>
              </w:rPr>
              <w:t>）</w:t>
            </w:r>
            <w:r>
              <w:rPr>
                <w:rFonts w:hint="eastAsia"/>
                <w:color w:val="auto"/>
                <w:highlight w:val="none"/>
                <w:lang w:val="en-US" w:eastAsia="zh-CN"/>
              </w:rPr>
              <w:t>表5特别排放限值。</w:t>
            </w:r>
          </w:p>
          <w:p w14:paraId="6C6F28D0">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厂界非甲烷总烃无组织排放浓度执行</w:t>
            </w:r>
            <w:r>
              <w:rPr>
                <w:rFonts w:hint="default"/>
                <w:color w:val="auto"/>
                <w:highlight w:val="none"/>
              </w:rPr>
              <w:t>《</w:t>
            </w:r>
            <w:r>
              <w:rPr>
                <w:rFonts w:hint="eastAsia"/>
                <w:color w:val="auto"/>
                <w:highlight w:val="none"/>
                <w:lang w:val="en-US" w:eastAsia="zh-CN"/>
              </w:rPr>
              <w:t>合成树脂工业</w:t>
            </w:r>
            <w:r>
              <w:rPr>
                <w:rFonts w:hint="default"/>
                <w:color w:val="auto"/>
                <w:highlight w:val="none"/>
              </w:rPr>
              <w:t>污染物排放标准》（</w:t>
            </w:r>
            <w:r>
              <w:rPr>
                <w:rFonts w:hint="eastAsia"/>
                <w:color w:val="auto"/>
                <w:highlight w:val="none"/>
                <w:lang w:val="en-US" w:eastAsia="zh-CN"/>
              </w:rPr>
              <w:t>GB31572-2015</w:t>
            </w:r>
            <w:r>
              <w:rPr>
                <w:rFonts w:hint="default"/>
                <w:color w:val="auto"/>
                <w:highlight w:val="none"/>
              </w:rPr>
              <w:t>）</w:t>
            </w:r>
            <w:r>
              <w:rPr>
                <w:rFonts w:hint="eastAsia"/>
                <w:color w:val="auto"/>
                <w:highlight w:val="none"/>
                <w:lang w:val="en-US" w:eastAsia="zh-CN"/>
              </w:rPr>
              <w:t>表9限值，乙醛、氮氧化物无组织排放浓度执行</w:t>
            </w:r>
            <w:r>
              <w:rPr>
                <w:rFonts w:hint="default"/>
                <w:color w:val="auto"/>
                <w:highlight w:val="none"/>
              </w:rPr>
              <w:t>《</w:t>
            </w:r>
            <w:r>
              <w:rPr>
                <w:rFonts w:hint="eastAsia"/>
                <w:color w:val="auto"/>
                <w:highlight w:val="none"/>
                <w:lang w:val="en-US" w:eastAsia="zh-CN"/>
              </w:rPr>
              <w:t>大气污染物综合排放标准</w:t>
            </w:r>
            <w:r>
              <w:rPr>
                <w:rFonts w:hint="default"/>
                <w:color w:val="auto"/>
                <w:highlight w:val="none"/>
              </w:rPr>
              <w:t>》（</w:t>
            </w:r>
            <w:r>
              <w:rPr>
                <w:rFonts w:hint="eastAsia"/>
                <w:color w:val="auto"/>
                <w:highlight w:val="none"/>
                <w:lang w:val="en-US" w:eastAsia="zh-CN"/>
              </w:rPr>
              <w:t>DB32/4041-2021</w:t>
            </w:r>
            <w:r>
              <w:rPr>
                <w:rFonts w:hint="default"/>
                <w:color w:val="auto"/>
                <w:highlight w:val="none"/>
              </w:rPr>
              <w:t>）</w:t>
            </w:r>
            <w:r>
              <w:rPr>
                <w:rFonts w:hint="eastAsia"/>
                <w:color w:val="auto"/>
                <w:highlight w:val="none"/>
                <w:lang w:val="en-US" w:eastAsia="zh-CN"/>
              </w:rPr>
              <w:t>表3限值，臭气浓度、氨、硫化氢无组织排放浓度执行《恶臭污染物排放标准》（GB14554-93）表1二级新扩改建项目限值。</w:t>
            </w:r>
          </w:p>
          <w:p w14:paraId="695ED434">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厂区内非甲烷总烃无组织排放浓度执行</w:t>
            </w:r>
            <w:r>
              <w:rPr>
                <w:rFonts w:hint="eastAsia" w:ascii="Times New Roman" w:hAnsi="Times New Roman" w:eastAsia="宋体"/>
                <w:color w:val="auto"/>
                <w:highlight w:val="none"/>
                <w:lang w:val="en-US" w:eastAsia="zh-CN"/>
              </w:rPr>
              <w:t>《挥发性有机物无组织排放控制标准》（GB37822</w:t>
            </w:r>
            <w:r>
              <w:rPr>
                <w:rFonts w:hint="eastAsia"/>
                <w:color w:val="auto"/>
                <w:highlight w:val="none"/>
                <w:lang w:val="en-US" w:eastAsia="zh-CN"/>
              </w:rPr>
              <w:t>-</w:t>
            </w:r>
            <w:r>
              <w:rPr>
                <w:rFonts w:hint="eastAsia" w:ascii="Times New Roman" w:hAnsi="Times New Roman" w:eastAsia="宋体"/>
                <w:color w:val="auto"/>
                <w:highlight w:val="none"/>
                <w:lang w:val="en-US" w:eastAsia="zh-CN"/>
              </w:rPr>
              <w:t>2019）</w:t>
            </w:r>
            <w:r>
              <w:rPr>
                <w:rFonts w:hint="eastAsia"/>
                <w:color w:val="auto"/>
                <w:highlight w:val="none"/>
                <w:lang w:val="en-US" w:eastAsia="zh-CN"/>
              </w:rPr>
              <w:t>附录A表A.1限值。</w:t>
            </w:r>
          </w:p>
          <w:p w14:paraId="2C74CBC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color w:val="auto"/>
                <w:highlight w:val="none"/>
                <w:lang w:val="en-US" w:eastAsia="zh-CN"/>
              </w:rPr>
              <w:t>项目所在厂区食堂设置2个灶头，食堂油烟执行《饮食业油烟排放标准（试行）》（GB18483-2001）中型标准，</w:t>
            </w:r>
            <w:r>
              <w:rPr>
                <w:rFonts w:hint="eastAsia" w:ascii="Times New Roman" w:hAnsi="Times New Roman" w:eastAsia="宋体"/>
                <w:color w:val="auto"/>
                <w:highlight w:val="none"/>
                <w:lang w:val="en-US"/>
              </w:rPr>
              <w:t>具体标准限值见下表：</w:t>
            </w:r>
          </w:p>
          <w:p w14:paraId="21419252">
            <w:pPr>
              <w:pStyle w:val="23"/>
              <w:keepNext w:val="0"/>
              <w:keepLines w:val="0"/>
              <w:suppressLineNumbers w:val="0"/>
              <w:spacing w:before="0" w:beforeAutospacing="0" w:after="0" w:afterAutospacing="0"/>
              <w:ind w:left="0" w:right="0"/>
              <w:rPr>
                <w:rFonts w:ascii="Times New Roman" w:hAnsi="Times New Roman" w:eastAsia="宋体"/>
                <w:color w:val="auto"/>
                <w:highlight w:val="none"/>
              </w:rPr>
            </w:pPr>
          </w:p>
          <w:p w14:paraId="17B9CB9D">
            <w:pPr>
              <w:pStyle w:val="23"/>
              <w:keepNext w:val="0"/>
              <w:keepLines w:val="0"/>
              <w:suppressLineNumbers w:val="0"/>
              <w:spacing w:before="0" w:beforeAutospacing="0" w:after="0" w:afterAutospacing="0"/>
              <w:ind w:left="0" w:right="0"/>
              <w:rPr>
                <w:rFonts w:hint="default" w:ascii="Times New Roman" w:hAnsi="Times New Roman" w:eastAsia="宋体"/>
                <w:color w:val="auto"/>
                <w:sz w:val="21"/>
                <w:szCs w:val="21"/>
                <w:highlight w:val="none"/>
                <w:vertAlign w:val="superscript"/>
                <w:lang w:val="en-US" w:eastAsia="zh-CN"/>
              </w:rPr>
            </w:pPr>
            <w:r>
              <w:rPr>
                <w:rFonts w:ascii="Times New Roman" w:hAnsi="Times New Roman" w:eastAsia="宋体"/>
                <w:color w:val="auto"/>
                <w:highlight w:val="none"/>
              </w:rPr>
              <w:t>表3-</w:t>
            </w:r>
            <w:r>
              <w:rPr>
                <w:rFonts w:hint="eastAsia"/>
                <w:color w:val="auto"/>
                <w:highlight w:val="none"/>
                <w:lang w:val="en-US" w:eastAsia="zh-CN"/>
              </w:rPr>
              <w:t>5</w:t>
            </w:r>
            <w:r>
              <w:rPr>
                <w:rFonts w:hint="eastAsia" w:ascii="Times New Roman" w:hAnsi="Times New Roman" w:eastAsia="宋体"/>
                <w:color w:val="auto"/>
                <w:highlight w:val="none"/>
              </w:rPr>
              <w:t>有组织废气排放标准</w:t>
            </w:r>
            <w:r>
              <w:rPr>
                <w:rFonts w:hint="eastAsia"/>
                <w:color w:val="auto"/>
                <w:sz w:val="21"/>
                <w:szCs w:val="21"/>
                <w:highlight w:val="none"/>
                <w:lang w:val="en-US" w:eastAsia="zh-CN"/>
              </w:rPr>
              <w:t>单位mg/m</w:t>
            </w:r>
            <w:r>
              <w:rPr>
                <w:rFonts w:hint="eastAsia"/>
                <w:color w:val="auto"/>
                <w:sz w:val="21"/>
                <w:szCs w:val="21"/>
                <w:highlight w:val="none"/>
                <w:vertAlign w:val="superscript"/>
                <w:lang w:val="en-US" w:eastAsia="zh-CN"/>
              </w:rPr>
              <w:t>3</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15"/>
              <w:gridCol w:w="750"/>
              <w:gridCol w:w="1195"/>
              <w:gridCol w:w="944"/>
              <w:gridCol w:w="1097"/>
              <w:gridCol w:w="3221"/>
            </w:tblGrid>
            <w:tr w14:paraId="395669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5" w:type="dxa"/>
                  <w:vMerge w:val="restart"/>
                  <w:vAlign w:val="center"/>
                </w:tcPr>
                <w:p w14:paraId="1F89FBF8">
                  <w:pPr>
                    <w:pStyle w:val="21"/>
                    <w:keepNext w:val="0"/>
                    <w:keepLines w:val="0"/>
                    <w:suppressLineNumbers w:val="0"/>
                    <w:bidi w:val="0"/>
                    <w:spacing w:before="0" w:beforeAutospacing="0" w:after="0" w:afterAutospacing="0"/>
                    <w:ind w:left="0" w:right="0"/>
                    <w:rPr>
                      <w:rFonts w:hint="eastAsia" w:ascii="Times New Roman" w:hAnsi="Times New Roman" w:eastAsia="宋体"/>
                      <w:b/>
                      <w:bCs/>
                      <w:color w:val="auto"/>
                      <w:highlight w:val="none"/>
                      <w:lang w:val="en-US" w:eastAsia="zh-CN"/>
                    </w:rPr>
                  </w:pPr>
                  <w:r>
                    <w:rPr>
                      <w:rFonts w:hint="eastAsia" w:ascii="Times New Roman" w:hAnsi="Times New Roman" w:eastAsia="宋体"/>
                      <w:b/>
                      <w:bCs/>
                      <w:color w:val="auto"/>
                      <w:highlight w:val="none"/>
                      <w:lang w:val="en-US" w:eastAsia="zh-CN"/>
                    </w:rPr>
                    <w:t>产生工序</w:t>
                  </w:r>
                </w:p>
              </w:tc>
              <w:tc>
                <w:tcPr>
                  <w:tcW w:w="750" w:type="dxa"/>
                  <w:vMerge w:val="restart"/>
                  <w:vAlign w:val="center"/>
                </w:tcPr>
                <w:p w14:paraId="7BE64DF6">
                  <w:pPr>
                    <w:pStyle w:val="21"/>
                    <w:keepNext w:val="0"/>
                    <w:keepLines w:val="0"/>
                    <w:suppressLineNumbers w:val="0"/>
                    <w:bidi w:val="0"/>
                    <w:spacing w:before="0" w:beforeAutospacing="0" w:after="0" w:afterAutospacing="0"/>
                    <w:ind w:left="0" w:right="0"/>
                    <w:rPr>
                      <w:rFonts w:hint="eastAsia" w:ascii="Times New Roman" w:hAnsi="Times New Roman" w:eastAsia="宋体"/>
                      <w:b/>
                      <w:bCs/>
                      <w:color w:val="auto"/>
                      <w:highlight w:val="none"/>
                      <w:lang w:val="en-US" w:eastAsia="zh-CN"/>
                    </w:rPr>
                  </w:pPr>
                  <w:r>
                    <w:rPr>
                      <w:rFonts w:hint="eastAsia" w:ascii="Times New Roman" w:hAnsi="Times New Roman" w:eastAsia="宋体"/>
                      <w:b/>
                      <w:bCs/>
                      <w:color w:val="auto"/>
                      <w:highlight w:val="none"/>
                      <w:lang w:val="en-US" w:eastAsia="zh-CN"/>
                    </w:rPr>
                    <w:t>排气筒</w:t>
                  </w:r>
                </w:p>
              </w:tc>
              <w:tc>
                <w:tcPr>
                  <w:tcW w:w="1195" w:type="dxa"/>
                  <w:vMerge w:val="restart"/>
                  <w:vAlign w:val="center"/>
                </w:tcPr>
                <w:p w14:paraId="285EA208">
                  <w:pPr>
                    <w:pStyle w:val="21"/>
                    <w:keepNext w:val="0"/>
                    <w:keepLines w:val="0"/>
                    <w:suppressLineNumbers w:val="0"/>
                    <w:bidi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污染因子</w:t>
                  </w:r>
                </w:p>
              </w:tc>
              <w:tc>
                <w:tcPr>
                  <w:tcW w:w="2041" w:type="dxa"/>
                  <w:gridSpan w:val="2"/>
                  <w:vAlign w:val="center"/>
                </w:tcPr>
                <w:p w14:paraId="2263C81B">
                  <w:pPr>
                    <w:pStyle w:val="21"/>
                    <w:keepNext w:val="0"/>
                    <w:keepLines w:val="0"/>
                    <w:suppressLineNumbers w:val="0"/>
                    <w:bidi w:val="0"/>
                    <w:spacing w:before="0" w:beforeAutospacing="0" w:after="0" w:afterAutospacing="0"/>
                    <w:ind w:left="0" w:right="0"/>
                    <w:rPr>
                      <w:rFonts w:hint="default" w:ascii="Times New Roman" w:hAnsi="Times New Roman" w:eastAsia="宋体"/>
                      <w:b/>
                      <w:bCs/>
                      <w:color w:val="auto"/>
                      <w:highlight w:val="none"/>
                      <w:lang w:val="en-US" w:eastAsia="zh-CN"/>
                    </w:rPr>
                  </w:pPr>
                  <w:r>
                    <w:rPr>
                      <w:rFonts w:hint="eastAsia" w:ascii="Times New Roman" w:hAnsi="Times New Roman" w:eastAsia="宋体"/>
                      <w:b/>
                      <w:bCs/>
                      <w:color w:val="auto"/>
                      <w:highlight w:val="none"/>
                      <w:lang w:val="en-US" w:eastAsia="zh-CN"/>
                    </w:rPr>
                    <w:t>有组织允许排放参数</w:t>
                  </w:r>
                </w:p>
              </w:tc>
              <w:tc>
                <w:tcPr>
                  <w:tcW w:w="3221" w:type="dxa"/>
                  <w:vMerge w:val="restart"/>
                  <w:vAlign w:val="center"/>
                </w:tcPr>
                <w:p w14:paraId="3659AAA2">
                  <w:pPr>
                    <w:pStyle w:val="21"/>
                    <w:keepNext w:val="0"/>
                    <w:keepLines w:val="0"/>
                    <w:suppressLineNumbers w:val="0"/>
                    <w:bidi w:val="0"/>
                    <w:spacing w:before="0" w:beforeAutospacing="0" w:after="0" w:afterAutospacing="0"/>
                    <w:ind w:left="0" w:right="0"/>
                    <w:rPr>
                      <w:rFonts w:hint="eastAsia" w:ascii="Times New Roman" w:hAnsi="Times New Roman" w:eastAsia="宋体"/>
                      <w:b/>
                      <w:bCs/>
                      <w:color w:val="auto"/>
                      <w:highlight w:val="none"/>
                      <w:lang w:val="en-US" w:eastAsia="zh-CN"/>
                    </w:rPr>
                  </w:pPr>
                  <w:r>
                    <w:rPr>
                      <w:rFonts w:hint="eastAsia" w:ascii="Times New Roman" w:hAnsi="Times New Roman" w:eastAsia="宋体"/>
                      <w:b/>
                      <w:bCs/>
                      <w:color w:val="auto"/>
                      <w:highlight w:val="none"/>
                      <w:lang w:val="en-US" w:eastAsia="zh-CN"/>
                    </w:rPr>
                    <w:t>标准来源</w:t>
                  </w:r>
                </w:p>
              </w:tc>
            </w:tr>
            <w:tr w14:paraId="169B38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5" w:type="dxa"/>
                  <w:vMerge w:val="continue"/>
                  <w:vAlign w:val="center"/>
                </w:tcPr>
                <w:p w14:paraId="4447CAED">
                  <w:pPr>
                    <w:pStyle w:val="21"/>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rPr>
                  </w:pPr>
                </w:p>
              </w:tc>
              <w:tc>
                <w:tcPr>
                  <w:tcW w:w="750" w:type="dxa"/>
                  <w:vMerge w:val="continue"/>
                  <w:vAlign w:val="center"/>
                </w:tcPr>
                <w:p w14:paraId="39B41821">
                  <w:pPr>
                    <w:pStyle w:val="21"/>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rPr>
                  </w:pPr>
                </w:p>
              </w:tc>
              <w:tc>
                <w:tcPr>
                  <w:tcW w:w="1195" w:type="dxa"/>
                  <w:vMerge w:val="continue"/>
                  <w:vAlign w:val="center"/>
                </w:tcPr>
                <w:p w14:paraId="12CBBB40">
                  <w:pPr>
                    <w:pStyle w:val="21"/>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rPr>
                  </w:pPr>
                </w:p>
              </w:tc>
              <w:tc>
                <w:tcPr>
                  <w:tcW w:w="944" w:type="dxa"/>
                  <w:vAlign w:val="center"/>
                </w:tcPr>
                <w:p w14:paraId="01ABC1A8">
                  <w:pPr>
                    <w:pStyle w:val="21"/>
                    <w:keepNext w:val="0"/>
                    <w:keepLines w:val="0"/>
                    <w:suppressLineNumbers w:val="0"/>
                    <w:bidi w:val="0"/>
                    <w:spacing w:before="0" w:beforeAutospacing="0" w:after="0" w:afterAutospacing="0"/>
                    <w:ind w:left="0" w:right="0"/>
                    <w:rPr>
                      <w:rFonts w:hint="default" w:ascii="Times New Roman" w:hAnsi="Times New Roman" w:eastAsia="宋体"/>
                      <w:b/>
                      <w:bCs/>
                      <w:color w:val="auto"/>
                      <w:highlight w:val="none"/>
                      <w:lang w:val="en-US" w:eastAsia="zh-CN"/>
                    </w:rPr>
                  </w:pPr>
                  <w:r>
                    <w:rPr>
                      <w:rFonts w:hint="eastAsia"/>
                      <w:b/>
                      <w:bCs/>
                      <w:color w:val="auto"/>
                      <w:highlight w:val="none"/>
                      <w:lang w:val="en-US" w:eastAsia="zh-CN"/>
                    </w:rPr>
                    <w:t>排放限值</w:t>
                  </w:r>
                </w:p>
              </w:tc>
              <w:tc>
                <w:tcPr>
                  <w:tcW w:w="1097" w:type="dxa"/>
                  <w:vAlign w:val="center"/>
                </w:tcPr>
                <w:p w14:paraId="7A161393">
                  <w:pPr>
                    <w:pStyle w:val="21"/>
                    <w:keepNext w:val="0"/>
                    <w:keepLines w:val="0"/>
                    <w:suppressLineNumbers w:val="0"/>
                    <w:bidi w:val="0"/>
                    <w:spacing w:before="0" w:beforeAutospacing="0" w:after="0" w:afterAutospacing="0"/>
                    <w:ind w:left="0" w:right="0"/>
                    <w:rPr>
                      <w:rFonts w:hint="eastAsia" w:ascii="Times New Roman" w:hAnsi="Times New Roman" w:eastAsia="宋体"/>
                      <w:b/>
                      <w:bCs/>
                      <w:color w:val="auto"/>
                      <w:highlight w:val="none"/>
                      <w:lang w:val="en-US" w:eastAsia="zh-CN"/>
                    </w:rPr>
                  </w:pPr>
                  <w:r>
                    <w:rPr>
                      <w:rFonts w:hint="eastAsia" w:ascii="Times New Roman" w:hAnsi="Times New Roman" w:eastAsia="宋体"/>
                      <w:b/>
                      <w:bCs/>
                      <w:color w:val="auto"/>
                      <w:highlight w:val="none"/>
                      <w:lang w:val="en-US" w:eastAsia="zh-CN"/>
                    </w:rPr>
                    <w:t>监控位置</w:t>
                  </w:r>
                </w:p>
              </w:tc>
              <w:tc>
                <w:tcPr>
                  <w:tcW w:w="3221" w:type="dxa"/>
                  <w:vMerge w:val="continue"/>
                  <w:vAlign w:val="center"/>
                </w:tcPr>
                <w:p w14:paraId="354C6002">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r>
            <w:tr w14:paraId="3874F7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5" w:type="dxa"/>
                  <w:vMerge w:val="restart"/>
                  <w:vAlign w:val="center"/>
                </w:tcPr>
                <w:p w14:paraId="241F937B">
                  <w:pPr>
                    <w:pStyle w:val="21"/>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制瓶、压盖</w:t>
                  </w:r>
                </w:p>
              </w:tc>
              <w:tc>
                <w:tcPr>
                  <w:tcW w:w="750" w:type="dxa"/>
                  <w:vMerge w:val="restart"/>
                  <w:vAlign w:val="center"/>
                </w:tcPr>
                <w:p w14:paraId="146932A7">
                  <w:pPr>
                    <w:pStyle w:val="21"/>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DA001</w:t>
                  </w:r>
                </w:p>
              </w:tc>
              <w:tc>
                <w:tcPr>
                  <w:tcW w:w="1195" w:type="dxa"/>
                  <w:vAlign w:val="center"/>
                </w:tcPr>
                <w:p w14:paraId="45776AF3">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color w:val="auto"/>
                      <w:highlight w:val="none"/>
                      <w:lang w:val="en-US" w:eastAsia="zh-CN"/>
                    </w:rPr>
                    <w:t>非甲烷总烃</w:t>
                  </w:r>
                </w:p>
              </w:tc>
              <w:tc>
                <w:tcPr>
                  <w:tcW w:w="944" w:type="dxa"/>
                  <w:vAlign w:val="center"/>
                </w:tcPr>
                <w:p w14:paraId="78E0E5D9">
                  <w:pPr>
                    <w:pStyle w:val="21"/>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60</w:t>
                  </w:r>
                </w:p>
              </w:tc>
              <w:tc>
                <w:tcPr>
                  <w:tcW w:w="1097" w:type="dxa"/>
                  <w:vMerge w:val="restart"/>
                  <w:vAlign w:val="center"/>
                </w:tcPr>
                <w:p w14:paraId="43A7EE31">
                  <w:pPr>
                    <w:pStyle w:val="21"/>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车间或生产设施排气筒</w:t>
                  </w:r>
                </w:p>
              </w:tc>
              <w:tc>
                <w:tcPr>
                  <w:tcW w:w="3221" w:type="dxa"/>
                  <w:vMerge w:val="restart"/>
                  <w:vAlign w:val="center"/>
                </w:tcPr>
                <w:p w14:paraId="5CDBFE67">
                  <w:pPr>
                    <w:pStyle w:val="21"/>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《合成树脂工业污染物排放标准》（GB31572-2015）表5特别排放限值</w:t>
                  </w:r>
                </w:p>
              </w:tc>
            </w:tr>
            <w:tr w14:paraId="0A192D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5" w:type="dxa"/>
                  <w:vMerge w:val="continue"/>
                  <w:vAlign w:val="center"/>
                </w:tcPr>
                <w:p w14:paraId="0C5A2A6C">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lang w:val="en-US" w:eastAsia="zh-CN"/>
                    </w:rPr>
                  </w:pPr>
                </w:p>
              </w:tc>
              <w:tc>
                <w:tcPr>
                  <w:tcW w:w="750" w:type="dxa"/>
                  <w:vMerge w:val="continue"/>
                  <w:vAlign w:val="center"/>
                </w:tcPr>
                <w:p w14:paraId="78690A56">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1195" w:type="dxa"/>
                  <w:vAlign w:val="center"/>
                </w:tcPr>
                <w:p w14:paraId="109B0D60">
                  <w:pPr>
                    <w:pStyle w:val="21"/>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乙醛</w:t>
                  </w:r>
                </w:p>
              </w:tc>
              <w:tc>
                <w:tcPr>
                  <w:tcW w:w="944" w:type="dxa"/>
                  <w:vAlign w:val="center"/>
                </w:tcPr>
                <w:p w14:paraId="10678A9A">
                  <w:pPr>
                    <w:pStyle w:val="21"/>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20</w:t>
                  </w:r>
                </w:p>
              </w:tc>
              <w:tc>
                <w:tcPr>
                  <w:tcW w:w="1097" w:type="dxa"/>
                  <w:vMerge w:val="continue"/>
                  <w:vAlign w:val="center"/>
                </w:tcPr>
                <w:p w14:paraId="01F972FA">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3221" w:type="dxa"/>
                  <w:vMerge w:val="continue"/>
                  <w:vAlign w:val="center"/>
                </w:tcPr>
                <w:p w14:paraId="287F1316">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lang w:val="en-US" w:eastAsia="zh-CN"/>
                    </w:rPr>
                  </w:pPr>
                </w:p>
              </w:tc>
            </w:tr>
          </w:tbl>
          <w:p w14:paraId="3C28111D">
            <w:pPr>
              <w:pStyle w:val="23"/>
              <w:keepNext w:val="0"/>
              <w:keepLines w:val="0"/>
              <w:suppressLineNumbers w:val="0"/>
              <w:spacing w:before="0" w:beforeAutospacing="0" w:after="0" w:afterAutospacing="0"/>
              <w:ind w:left="0" w:right="0"/>
              <w:rPr>
                <w:rFonts w:ascii="Times New Roman" w:hAnsi="Times New Roman" w:eastAsia="宋体"/>
                <w:color w:val="auto"/>
                <w:highlight w:val="none"/>
              </w:rPr>
            </w:pPr>
            <w:r>
              <w:rPr>
                <w:rFonts w:ascii="Times New Roman" w:hAnsi="Times New Roman" w:eastAsia="宋体"/>
                <w:color w:val="auto"/>
                <w:highlight w:val="none"/>
              </w:rPr>
              <w:t>表3-</w:t>
            </w:r>
            <w:r>
              <w:rPr>
                <w:rFonts w:hint="eastAsia"/>
                <w:color w:val="auto"/>
                <w:highlight w:val="none"/>
                <w:lang w:val="en-US" w:eastAsia="zh-CN"/>
              </w:rPr>
              <w:t>6厂界</w:t>
            </w:r>
            <w:r>
              <w:rPr>
                <w:rFonts w:hint="eastAsia" w:ascii="Times New Roman" w:hAnsi="Times New Roman" w:eastAsia="宋体"/>
                <w:color w:val="auto"/>
                <w:highlight w:val="none"/>
                <w:lang w:val="en-US" w:eastAsia="zh-CN"/>
              </w:rPr>
              <w:t>无</w:t>
            </w:r>
            <w:r>
              <w:rPr>
                <w:rFonts w:hint="eastAsia" w:ascii="Times New Roman" w:hAnsi="Times New Roman" w:eastAsia="宋体"/>
                <w:color w:val="auto"/>
                <w:highlight w:val="none"/>
              </w:rPr>
              <w:t>组织废气排放标准</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397"/>
              <w:gridCol w:w="2384"/>
              <w:gridCol w:w="4041"/>
            </w:tblGrid>
            <w:tr w14:paraId="0FAC08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892" w:type="pct"/>
                  <w:tcBorders>
                    <w:tl2br w:val="nil"/>
                    <w:tr2bl w:val="nil"/>
                  </w:tcBorders>
                  <w:vAlign w:val="center"/>
                </w:tcPr>
                <w:p w14:paraId="5F8BB942">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污染物项目</w:t>
                  </w:r>
                </w:p>
              </w:tc>
              <w:tc>
                <w:tcPr>
                  <w:tcW w:w="1523" w:type="pct"/>
                  <w:tcBorders>
                    <w:tl2br w:val="nil"/>
                    <w:tr2bl w:val="nil"/>
                  </w:tcBorders>
                  <w:vAlign w:val="center"/>
                </w:tcPr>
                <w:p w14:paraId="25C736B9">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监控浓度限值（mg/m</w:t>
                  </w:r>
                  <w:r>
                    <w:rPr>
                      <w:rFonts w:hint="default" w:ascii="Times New Roman" w:hAnsi="Times New Roman" w:eastAsia="宋体"/>
                      <w:b/>
                      <w:bCs/>
                      <w:color w:val="auto"/>
                      <w:highlight w:val="none"/>
                      <w:vertAlign w:val="superscript"/>
                    </w:rPr>
                    <w:t>3</w:t>
                  </w:r>
                  <w:r>
                    <w:rPr>
                      <w:rFonts w:hint="default" w:ascii="Times New Roman" w:hAnsi="Times New Roman" w:eastAsia="宋体"/>
                      <w:b/>
                      <w:bCs/>
                      <w:color w:val="auto"/>
                      <w:highlight w:val="none"/>
                    </w:rPr>
                    <w:t>）</w:t>
                  </w:r>
                </w:p>
              </w:tc>
              <w:tc>
                <w:tcPr>
                  <w:tcW w:w="2583" w:type="pct"/>
                  <w:tcBorders>
                    <w:tl2br w:val="nil"/>
                    <w:tr2bl w:val="nil"/>
                  </w:tcBorders>
                  <w:vAlign w:val="center"/>
                </w:tcPr>
                <w:p w14:paraId="111640D8">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标准来源</w:t>
                  </w:r>
                </w:p>
              </w:tc>
            </w:tr>
            <w:tr w14:paraId="68BE12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892" w:type="pct"/>
                  <w:tcBorders>
                    <w:tl2br w:val="nil"/>
                    <w:tr2bl w:val="nil"/>
                  </w:tcBorders>
                  <w:vAlign w:val="center"/>
                </w:tcPr>
                <w:p w14:paraId="12AC527C">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color w:val="auto"/>
                      <w:highlight w:val="none"/>
                      <w:lang w:val="en-US" w:eastAsia="zh-CN"/>
                    </w:rPr>
                    <w:t>非甲烷总烃</w:t>
                  </w:r>
                </w:p>
              </w:tc>
              <w:tc>
                <w:tcPr>
                  <w:tcW w:w="1523" w:type="pct"/>
                  <w:tcBorders>
                    <w:tl2br w:val="nil"/>
                    <w:tr2bl w:val="nil"/>
                  </w:tcBorders>
                  <w:vAlign w:val="center"/>
                </w:tcPr>
                <w:p w14:paraId="4769F15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4.0</w:t>
                  </w:r>
                </w:p>
              </w:tc>
              <w:tc>
                <w:tcPr>
                  <w:tcW w:w="2583" w:type="pct"/>
                  <w:tcBorders>
                    <w:tl2br w:val="nil"/>
                    <w:tr2bl w:val="nil"/>
                  </w:tcBorders>
                  <w:vAlign w:val="center"/>
                </w:tcPr>
                <w:p w14:paraId="5303F77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eastAsia="zh-CN"/>
                    </w:rPr>
                    <w:t>《合成树脂工业污染物排放标准》（GB31572-2015）表9限值</w:t>
                  </w:r>
                </w:p>
              </w:tc>
            </w:tr>
            <w:tr w14:paraId="0105EE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892" w:type="pct"/>
                  <w:tcBorders>
                    <w:tl2br w:val="nil"/>
                    <w:tr2bl w:val="nil"/>
                  </w:tcBorders>
                  <w:vAlign w:val="center"/>
                </w:tcPr>
                <w:p w14:paraId="615A225B">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乙醛</w:t>
                  </w:r>
                </w:p>
              </w:tc>
              <w:tc>
                <w:tcPr>
                  <w:tcW w:w="1523" w:type="pct"/>
                  <w:tcBorders>
                    <w:tl2br w:val="nil"/>
                    <w:tr2bl w:val="nil"/>
                  </w:tcBorders>
                  <w:vAlign w:val="center"/>
                </w:tcPr>
                <w:p w14:paraId="3CFE43CC">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0.01</w:t>
                  </w:r>
                </w:p>
              </w:tc>
              <w:tc>
                <w:tcPr>
                  <w:tcW w:w="2583" w:type="pct"/>
                  <w:vMerge w:val="restart"/>
                  <w:tcBorders>
                    <w:tl2br w:val="nil"/>
                    <w:tr2bl w:val="nil"/>
                  </w:tcBorders>
                  <w:vAlign w:val="center"/>
                </w:tcPr>
                <w:p w14:paraId="5DD5EB91">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《大气污染物综合排放标准》（DB32/4041-2021）表3限值</w:t>
                  </w:r>
                </w:p>
              </w:tc>
            </w:tr>
            <w:tr w14:paraId="771078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892" w:type="pct"/>
                  <w:tcBorders>
                    <w:tl2br w:val="nil"/>
                    <w:tr2bl w:val="nil"/>
                  </w:tcBorders>
                  <w:vAlign w:val="center"/>
                </w:tcPr>
                <w:p w14:paraId="43677BE3">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氮氧化物</w:t>
                  </w:r>
                </w:p>
              </w:tc>
              <w:tc>
                <w:tcPr>
                  <w:tcW w:w="1523" w:type="pct"/>
                  <w:tcBorders>
                    <w:tl2br w:val="nil"/>
                    <w:tr2bl w:val="nil"/>
                  </w:tcBorders>
                  <w:vAlign w:val="center"/>
                </w:tcPr>
                <w:p w14:paraId="25FFEBDF">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0.12</w:t>
                  </w:r>
                </w:p>
              </w:tc>
              <w:tc>
                <w:tcPr>
                  <w:tcW w:w="2583" w:type="pct"/>
                  <w:vMerge w:val="continue"/>
                  <w:tcBorders>
                    <w:tl2br w:val="nil"/>
                    <w:tr2bl w:val="nil"/>
                  </w:tcBorders>
                  <w:vAlign w:val="center"/>
                </w:tcPr>
                <w:p w14:paraId="184B6929">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r>
            <w:tr w14:paraId="56E25A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892" w:type="pct"/>
                  <w:tcBorders>
                    <w:tl2br w:val="nil"/>
                    <w:tr2bl w:val="nil"/>
                  </w:tcBorders>
                  <w:vAlign w:val="center"/>
                </w:tcPr>
                <w:p w14:paraId="624A6957">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氨</w:t>
                  </w:r>
                </w:p>
              </w:tc>
              <w:tc>
                <w:tcPr>
                  <w:tcW w:w="1523" w:type="pct"/>
                  <w:tcBorders>
                    <w:tl2br w:val="nil"/>
                    <w:tr2bl w:val="nil"/>
                  </w:tcBorders>
                  <w:vAlign w:val="center"/>
                </w:tcPr>
                <w:p w14:paraId="6F392AA9">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1.5</w:t>
                  </w:r>
                </w:p>
              </w:tc>
              <w:tc>
                <w:tcPr>
                  <w:tcW w:w="2583" w:type="pct"/>
                  <w:vMerge w:val="restart"/>
                  <w:tcBorders>
                    <w:tl2br w:val="nil"/>
                    <w:tr2bl w:val="nil"/>
                  </w:tcBorders>
                  <w:vAlign w:val="center"/>
                </w:tcPr>
                <w:p w14:paraId="1D8595FF">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《恶臭污染物排放标准》（GB14554-93）表1二级新扩改建项目限值</w:t>
                  </w:r>
                </w:p>
              </w:tc>
            </w:tr>
            <w:tr w14:paraId="06859D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892" w:type="pct"/>
                  <w:tcBorders>
                    <w:tl2br w:val="nil"/>
                    <w:tr2bl w:val="nil"/>
                  </w:tcBorders>
                  <w:vAlign w:val="center"/>
                </w:tcPr>
                <w:p w14:paraId="0EDF3133">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硫化氢</w:t>
                  </w:r>
                </w:p>
              </w:tc>
              <w:tc>
                <w:tcPr>
                  <w:tcW w:w="1523" w:type="pct"/>
                  <w:tcBorders>
                    <w:tl2br w:val="nil"/>
                    <w:tr2bl w:val="nil"/>
                  </w:tcBorders>
                  <w:vAlign w:val="center"/>
                </w:tcPr>
                <w:p w14:paraId="644A9B4D">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0.06</w:t>
                  </w:r>
                </w:p>
              </w:tc>
              <w:tc>
                <w:tcPr>
                  <w:tcW w:w="2583" w:type="pct"/>
                  <w:vMerge w:val="continue"/>
                  <w:tcBorders>
                    <w:tl2br w:val="nil"/>
                    <w:tr2bl w:val="nil"/>
                  </w:tcBorders>
                  <w:vAlign w:val="center"/>
                </w:tcPr>
                <w:p w14:paraId="03B445C1">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r>
            <w:tr w14:paraId="62FECD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892" w:type="pct"/>
                  <w:tcBorders>
                    <w:tl2br w:val="nil"/>
                    <w:tr2bl w:val="nil"/>
                  </w:tcBorders>
                  <w:vAlign w:val="center"/>
                </w:tcPr>
                <w:p w14:paraId="6CEB80CE">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臭气浓度</w:t>
                  </w:r>
                </w:p>
              </w:tc>
              <w:tc>
                <w:tcPr>
                  <w:tcW w:w="1523" w:type="pct"/>
                  <w:tcBorders>
                    <w:tl2br w:val="nil"/>
                    <w:tr2bl w:val="nil"/>
                  </w:tcBorders>
                  <w:vAlign w:val="center"/>
                </w:tcPr>
                <w:p w14:paraId="0B664CA3">
                  <w:pPr>
                    <w:pStyle w:val="21"/>
                    <w:keepNext w:val="0"/>
                    <w:keepLines w:val="0"/>
                    <w:suppressLineNumbers w:val="0"/>
                    <w:spacing w:before="0" w:beforeAutospacing="0" w:after="0" w:afterAutospacing="0"/>
                    <w:ind w:left="0" w:right="0"/>
                    <w:rPr>
                      <w:rFonts w:hint="eastAsia" w:eastAsia="宋体"/>
                      <w:color w:val="auto"/>
                      <w:highlight w:val="none"/>
                      <w:lang w:val="en-US" w:eastAsia="zh-CN"/>
                    </w:rPr>
                  </w:pPr>
                  <w:r>
                    <w:rPr>
                      <w:rFonts w:hint="eastAsia"/>
                      <w:color w:val="auto"/>
                      <w:highlight w:val="none"/>
                      <w:lang w:val="en-US" w:eastAsia="zh-CN"/>
                    </w:rPr>
                    <w:t>20</w:t>
                  </w:r>
                  <w:r>
                    <w:rPr>
                      <w:rFonts w:hint="eastAsia"/>
                      <w:color w:val="auto"/>
                      <w:lang w:eastAsia="zh-CN"/>
                    </w:rPr>
                    <w:t>（</w:t>
                  </w:r>
                  <w:r>
                    <w:rPr>
                      <w:rFonts w:hint="eastAsia"/>
                      <w:color w:val="auto"/>
                      <w:lang w:val="en-US" w:eastAsia="zh-CN"/>
                    </w:rPr>
                    <w:t>无量纲</w:t>
                  </w:r>
                  <w:r>
                    <w:rPr>
                      <w:rFonts w:hint="eastAsia"/>
                      <w:color w:val="auto"/>
                      <w:lang w:eastAsia="zh-CN"/>
                    </w:rPr>
                    <w:t>）</w:t>
                  </w:r>
                </w:p>
              </w:tc>
              <w:tc>
                <w:tcPr>
                  <w:tcW w:w="2583" w:type="pct"/>
                  <w:vMerge w:val="continue"/>
                  <w:tcBorders>
                    <w:tl2br w:val="nil"/>
                    <w:tr2bl w:val="nil"/>
                  </w:tcBorders>
                  <w:vAlign w:val="center"/>
                </w:tcPr>
                <w:p w14:paraId="719CAA2F">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r>
          </w:tbl>
          <w:p w14:paraId="753BEB5D">
            <w:pPr>
              <w:pStyle w:val="23"/>
              <w:keepNext w:val="0"/>
              <w:keepLines w:val="0"/>
              <w:suppressLineNumbers w:val="0"/>
              <w:spacing w:before="0" w:beforeAutospacing="0" w:after="0" w:afterAutospacing="0"/>
              <w:ind w:left="0" w:right="0"/>
              <w:rPr>
                <w:rFonts w:hint="default" w:ascii="Times New Roman" w:hAnsi="Times New Roman" w:eastAsia="宋体"/>
                <w:color w:val="auto"/>
                <w:sz w:val="21"/>
                <w:szCs w:val="21"/>
                <w:highlight w:val="none"/>
                <w:vertAlign w:val="superscript"/>
                <w:lang w:val="en-US" w:eastAsia="zh-CN"/>
              </w:rPr>
            </w:pPr>
            <w:r>
              <w:rPr>
                <w:rFonts w:ascii="Times New Roman" w:hAnsi="Times New Roman" w:eastAsia="宋体"/>
                <w:color w:val="auto"/>
                <w:highlight w:val="none"/>
              </w:rPr>
              <w:t>表3-</w:t>
            </w:r>
            <w:r>
              <w:rPr>
                <w:rFonts w:hint="eastAsia"/>
                <w:color w:val="auto"/>
                <w:highlight w:val="none"/>
                <w:lang w:val="en-US" w:eastAsia="zh-CN"/>
              </w:rPr>
              <w:t>8厂区内</w:t>
            </w:r>
            <w:r>
              <w:rPr>
                <w:rFonts w:hint="eastAsia" w:ascii="Times New Roman" w:hAnsi="Times New Roman" w:eastAsia="宋体"/>
                <w:color w:val="auto"/>
                <w:highlight w:val="none"/>
                <w:lang w:val="en-US" w:eastAsia="zh-CN"/>
              </w:rPr>
              <w:t>无</w:t>
            </w:r>
            <w:r>
              <w:rPr>
                <w:rFonts w:hint="eastAsia" w:ascii="Times New Roman" w:hAnsi="Times New Roman" w:eastAsia="宋体"/>
                <w:color w:val="auto"/>
                <w:highlight w:val="none"/>
              </w:rPr>
              <w:t>组织</w:t>
            </w:r>
            <w:r>
              <w:rPr>
                <w:rFonts w:hint="eastAsia" w:ascii="Times New Roman" w:hAnsi="Times New Roman" w:eastAsia="宋体"/>
                <w:color w:val="auto"/>
                <w:highlight w:val="none"/>
                <w:lang w:val="en-US" w:eastAsia="zh-CN"/>
              </w:rPr>
              <w:t>非甲烷总烃</w:t>
            </w:r>
            <w:r>
              <w:rPr>
                <w:rFonts w:hint="eastAsia" w:ascii="Times New Roman" w:hAnsi="Times New Roman" w:eastAsia="宋体"/>
                <w:color w:val="auto"/>
                <w:highlight w:val="none"/>
              </w:rPr>
              <w:t>排放标准</w:t>
            </w:r>
            <w:r>
              <w:rPr>
                <w:rFonts w:hint="eastAsia"/>
                <w:color w:val="auto"/>
                <w:sz w:val="21"/>
                <w:szCs w:val="21"/>
                <w:highlight w:val="none"/>
                <w:lang w:val="en-US" w:eastAsia="zh-CN"/>
              </w:rPr>
              <w:t>单位：mg/m</w:t>
            </w:r>
            <w:r>
              <w:rPr>
                <w:rFonts w:hint="eastAsia"/>
                <w:color w:val="auto"/>
                <w:sz w:val="21"/>
                <w:szCs w:val="21"/>
                <w:highlight w:val="none"/>
                <w:vertAlign w:val="superscript"/>
                <w:lang w:val="en-US" w:eastAsia="zh-CN"/>
              </w:rPr>
              <w:t>3</w:t>
            </w:r>
          </w:p>
          <w:tbl>
            <w:tblPr>
              <w:tblStyle w:val="16"/>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091"/>
              <w:gridCol w:w="1079"/>
              <w:gridCol w:w="1617"/>
              <w:gridCol w:w="1090"/>
              <w:gridCol w:w="2939"/>
            </w:tblGrid>
            <w:tr w14:paraId="2C70D0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97" w:type="pct"/>
                  <w:tcBorders>
                    <w:tl2br w:val="nil"/>
                    <w:tr2bl w:val="nil"/>
                  </w:tcBorders>
                  <w:vAlign w:val="center"/>
                </w:tcPr>
                <w:p w14:paraId="77D31835">
                  <w:pPr>
                    <w:pStyle w:val="21"/>
                    <w:keepNext w:val="0"/>
                    <w:keepLines w:val="0"/>
                    <w:suppressLineNumbers w:val="0"/>
                    <w:spacing w:before="0" w:beforeAutospacing="0" w:after="0" w:afterAutospacing="0"/>
                    <w:ind w:left="0" w:right="0"/>
                    <w:rPr>
                      <w:rFonts w:hint="default"/>
                      <w:b/>
                      <w:bCs/>
                      <w:color w:val="auto"/>
                      <w:highlight w:val="none"/>
                    </w:rPr>
                  </w:pPr>
                  <w:r>
                    <w:rPr>
                      <w:rFonts w:hint="default"/>
                      <w:b/>
                      <w:bCs/>
                      <w:color w:val="auto"/>
                      <w:highlight w:val="none"/>
                    </w:rPr>
                    <w:t>污染物项目</w:t>
                  </w:r>
                </w:p>
              </w:tc>
              <w:tc>
                <w:tcPr>
                  <w:tcW w:w="690" w:type="pct"/>
                  <w:tcBorders>
                    <w:tl2br w:val="nil"/>
                    <w:tr2bl w:val="nil"/>
                  </w:tcBorders>
                  <w:vAlign w:val="center"/>
                </w:tcPr>
                <w:p w14:paraId="7B92BC3B">
                  <w:pPr>
                    <w:pStyle w:val="21"/>
                    <w:keepNext w:val="0"/>
                    <w:keepLines w:val="0"/>
                    <w:suppressLineNumbers w:val="0"/>
                    <w:spacing w:before="0" w:beforeAutospacing="0" w:after="0" w:afterAutospacing="0"/>
                    <w:ind w:left="0" w:right="0"/>
                    <w:rPr>
                      <w:rFonts w:hint="default"/>
                      <w:b/>
                      <w:bCs/>
                      <w:color w:val="auto"/>
                      <w:highlight w:val="none"/>
                    </w:rPr>
                  </w:pPr>
                  <w:r>
                    <w:rPr>
                      <w:rFonts w:hint="default"/>
                      <w:b/>
                      <w:bCs/>
                      <w:color w:val="auto"/>
                      <w:highlight w:val="none"/>
                    </w:rPr>
                    <w:t>监控</w:t>
                  </w:r>
                  <w:r>
                    <w:rPr>
                      <w:rFonts w:hint="eastAsia"/>
                      <w:b/>
                      <w:bCs/>
                      <w:color w:val="auto"/>
                      <w:highlight w:val="none"/>
                      <w:lang w:val="en-US" w:eastAsia="zh-CN"/>
                    </w:rPr>
                    <w:t>点</w:t>
                  </w:r>
                  <w:r>
                    <w:rPr>
                      <w:rFonts w:hint="default"/>
                      <w:b/>
                      <w:bCs/>
                      <w:color w:val="auto"/>
                      <w:highlight w:val="none"/>
                    </w:rPr>
                    <w:t>限值</w:t>
                  </w:r>
                </w:p>
              </w:tc>
              <w:tc>
                <w:tcPr>
                  <w:tcW w:w="1034" w:type="pct"/>
                  <w:tcBorders>
                    <w:tl2br w:val="nil"/>
                    <w:tr2bl w:val="nil"/>
                  </w:tcBorders>
                  <w:vAlign w:val="center"/>
                </w:tcPr>
                <w:p w14:paraId="14088F99">
                  <w:pPr>
                    <w:pStyle w:val="21"/>
                    <w:keepNext w:val="0"/>
                    <w:keepLines w:val="0"/>
                    <w:suppressLineNumbers w:val="0"/>
                    <w:spacing w:before="0" w:beforeAutospacing="0" w:after="0" w:afterAutospacing="0"/>
                    <w:ind w:left="0" w:right="0"/>
                    <w:rPr>
                      <w:rFonts w:hint="default" w:eastAsia="宋体"/>
                      <w:b/>
                      <w:bCs/>
                      <w:color w:val="auto"/>
                      <w:highlight w:val="none"/>
                      <w:lang w:val="en-US" w:eastAsia="zh-CN"/>
                    </w:rPr>
                  </w:pPr>
                  <w:r>
                    <w:rPr>
                      <w:rFonts w:hint="eastAsia"/>
                      <w:b/>
                      <w:bCs/>
                      <w:color w:val="auto"/>
                      <w:highlight w:val="none"/>
                      <w:lang w:val="en-US" w:eastAsia="zh-CN"/>
                    </w:rPr>
                    <w:t>限值含义</w:t>
                  </w:r>
                </w:p>
              </w:tc>
              <w:tc>
                <w:tcPr>
                  <w:tcW w:w="697" w:type="pct"/>
                  <w:tcBorders>
                    <w:tl2br w:val="nil"/>
                    <w:tr2bl w:val="nil"/>
                  </w:tcBorders>
                  <w:vAlign w:val="center"/>
                </w:tcPr>
                <w:p w14:paraId="1FC48156">
                  <w:pPr>
                    <w:pStyle w:val="21"/>
                    <w:keepNext w:val="0"/>
                    <w:keepLines w:val="0"/>
                    <w:suppressLineNumbers w:val="0"/>
                    <w:spacing w:before="0" w:beforeAutospacing="0" w:after="0" w:afterAutospacing="0"/>
                    <w:ind w:left="0" w:right="0"/>
                    <w:rPr>
                      <w:rFonts w:hint="default"/>
                      <w:b/>
                      <w:bCs/>
                      <w:color w:val="auto"/>
                      <w:highlight w:val="none"/>
                    </w:rPr>
                  </w:pPr>
                  <w:r>
                    <w:rPr>
                      <w:rFonts w:hint="default"/>
                      <w:b/>
                      <w:bCs/>
                      <w:color w:val="auto"/>
                      <w:highlight w:val="none"/>
                    </w:rPr>
                    <w:t>监控位置</w:t>
                  </w:r>
                </w:p>
              </w:tc>
              <w:tc>
                <w:tcPr>
                  <w:tcW w:w="1880" w:type="pct"/>
                  <w:tcBorders>
                    <w:tl2br w:val="nil"/>
                    <w:tr2bl w:val="nil"/>
                  </w:tcBorders>
                  <w:vAlign w:val="center"/>
                </w:tcPr>
                <w:p w14:paraId="6C3A74B5">
                  <w:pPr>
                    <w:pStyle w:val="21"/>
                    <w:keepNext w:val="0"/>
                    <w:keepLines w:val="0"/>
                    <w:suppressLineNumbers w:val="0"/>
                    <w:spacing w:before="0" w:beforeAutospacing="0" w:after="0" w:afterAutospacing="0"/>
                    <w:ind w:left="0" w:right="0"/>
                    <w:rPr>
                      <w:rFonts w:hint="default"/>
                      <w:b/>
                      <w:bCs/>
                      <w:color w:val="auto"/>
                      <w:highlight w:val="none"/>
                    </w:rPr>
                  </w:pPr>
                  <w:r>
                    <w:rPr>
                      <w:rFonts w:hint="default"/>
                      <w:b/>
                      <w:bCs/>
                      <w:color w:val="auto"/>
                      <w:highlight w:val="none"/>
                    </w:rPr>
                    <w:t>标准来源</w:t>
                  </w:r>
                </w:p>
              </w:tc>
            </w:tr>
            <w:tr w14:paraId="7F1F91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97" w:type="pct"/>
                  <w:vMerge w:val="restart"/>
                  <w:tcBorders>
                    <w:tl2br w:val="nil"/>
                    <w:tr2bl w:val="nil"/>
                  </w:tcBorders>
                  <w:vAlign w:val="center"/>
                </w:tcPr>
                <w:p w14:paraId="25FA2BEA">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非甲烷总烃</w:t>
                  </w:r>
                </w:p>
              </w:tc>
              <w:tc>
                <w:tcPr>
                  <w:tcW w:w="690" w:type="pct"/>
                  <w:tcBorders>
                    <w:tl2br w:val="nil"/>
                    <w:tr2bl w:val="nil"/>
                  </w:tcBorders>
                  <w:vAlign w:val="center"/>
                </w:tcPr>
                <w:p w14:paraId="02C88DD8">
                  <w:pPr>
                    <w:pStyle w:val="21"/>
                    <w:keepNext w:val="0"/>
                    <w:keepLines w:val="0"/>
                    <w:suppressLineNumbers w:val="0"/>
                    <w:spacing w:before="0" w:beforeAutospacing="0" w:after="0" w:afterAutospacing="0"/>
                    <w:ind w:left="0" w:right="0"/>
                    <w:rPr>
                      <w:rFonts w:hint="eastAsia" w:eastAsia="宋体"/>
                      <w:color w:val="auto"/>
                      <w:highlight w:val="none"/>
                      <w:lang w:val="en-US" w:eastAsia="zh-CN"/>
                    </w:rPr>
                  </w:pPr>
                  <w:r>
                    <w:rPr>
                      <w:rFonts w:hint="eastAsia"/>
                      <w:color w:val="auto"/>
                      <w:highlight w:val="none"/>
                      <w:lang w:val="en-US" w:eastAsia="zh-CN"/>
                    </w:rPr>
                    <w:t>6</w:t>
                  </w:r>
                </w:p>
              </w:tc>
              <w:tc>
                <w:tcPr>
                  <w:tcW w:w="1034" w:type="pct"/>
                  <w:tcBorders>
                    <w:tl2br w:val="nil"/>
                    <w:tr2bl w:val="nil"/>
                  </w:tcBorders>
                  <w:vAlign w:val="center"/>
                </w:tcPr>
                <w:p w14:paraId="249A357E">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监控点处1h平均浓度值</w:t>
                  </w:r>
                </w:p>
              </w:tc>
              <w:tc>
                <w:tcPr>
                  <w:tcW w:w="697" w:type="pct"/>
                  <w:vMerge w:val="restart"/>
                  <w:tcBorders>
                    <w:tl2br w:val="nil"/>
                    <w:tr2bl w:val="nil"/>
                  </w:tcBorders>
                  <w:vAlign w:val="center"/>
                </w:tcPr>
                <w:p w14:paraId="2BCA6692">
                  <w:pPr>
                    <w:pStyle w:val="21"/>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在厂房外设置监控点</w:t>
                  </w:r>
                </w:p>
              </w:tc>
              <w:tc>
                <w:tcPr>
                  <w:tcW w:w="1880" w:type="pct"/>
                  <w:vMerge w:val="restart"/>
                  <w:tcBorders>
                    <w:tl2br w:val="nil"/>
                    <w:tr2bl w:val="nil"/>
                  </w:tcBorders>
                  <w:vAlign w:val="center"/>
                </w:tcPr>
                <w:p w14:paraId="3ECC9789">
                  <w:pPr>
                    <w:pStyle w:val="21"/>
                    <w:keepNext w:val="0"/>
                    <w:keepLines w:val="0"/>
                    <w:suppressLineNumbers w:val="0"/>
                    <w:spacing w:before="0" w:beforeAutospacing="0" w:after="0" w:afterAutospacing="0"/>
                    <w:ind w:left="0" w:right="0"/>
                    <w:rPr>
                      <w:rFonts w:hint="default"/>
                      <w:color w:val="auto"/>
                      <w:highlight w:val="none"/>
                    </w:rPr>
                  </w:pPr>
                  <w:r>
                    <w:rPr>
                      <w:rFonts w:hint="eastAsia" w:ascii="Times New Roman" w:hAnsi="Times New Roman" w:eastAsia="宋体"/>
                      <w:color w:val="auto"/>
                      <w:highlight w:val="none"/>
                      <w:lang w:val="en-US" w:eastAsia="zh-CN"/>
                    </w:rPr>
                    <w:t>《挥发性有机物无组织排放控制标准》（GB37822</w:t>
                  </w:r>
                  <w:r>
                    <w:rPr>
                      <w:rFonts w:hint="eastAsia"/>
                      <w:color w:val="auto"/>
                      <w:highlight w:val="none"/>
                      <w:lang w:val="en-US" w:eastAsia="zh-CN"/>
                    </w:rPr>
                    <w:t>-</w:t>
                  </w:r>
                  <w:r>
                    <w:rPr>
                      <w:rFonts w:hint="eastAsia" w:ascii="Times New Roman" w:hAnsi="Times New Roman" w:eastAsia="宋体"/>
                      <w:color w:val="auto"/>
                      <w:highlight w:val="none"/>
                      <w:lang w:val="en-US" w:eastAsia="zh-CN"/>
                    </w:rPr>
                    <w:t>2019）</w:t>
                  </w:r>
                  <w:r>
                    <w:rPr>
                      <w:rFonts w:hint="eastAsia"/>
                      <w:color w:val="auto"/>
                      <w:highlight w:val="none"/>
                      <w:lang w:val="en-US" w:eastAsia="zh-CN"/>
                    </w:rPr>
                    <w:t>附录A表A.1限值</w:t>
                  </w:r>
                </w:p>
              </w:tc>
            </w:tr>
            <w:tr w14:paraId="3F2E5A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97" w:type="pct"/>
                  <w:vMerge w:val="continue"/>
                  <w:tcBorders>
                    <w:tl2br w:val="nil"/>
                    <w:tr2bl w:val="nil"/>
                  </w:tcBorders>
                  <w:vAlign w:val="center"/>
                </w:tcPr>
                <w:p w14:paraId="28F100DC">
                  <w:pPr>
                    <w:pStyle w:val="21"/>
                    <w:keepNext w:val="0"/>
                    <w:keepLines w:val="0"/>
                    <w:suppressLineNumbers w:val="0"/>
                    <w:spacing w:before="0" w:beforeAutospacing="0" w:after="0" w:afterAutospacing="0"/>
                    <w:ind w:left="0" w:right="0"/>
                    <w:rPr>
                      <w:rFonts w:hint="default"/>
                      <w:color w:val="auto"/>
                      <w:highlight w:val="none"/>
                      <w:lang w:val="en-US"/>
                    </w:rPr>
                  </w:pPr>
                </w:p>
              </w:tc>
              <w:tc>
                <w:tcPr>
                  <w:tcW w:w="690" w:type="pct"/>
                  <w:tcBorders>
                    <w:tl2br w:val="nil"/>
                    <w:tr2bl w:val="nil"/>
                  </w:tcBorders>
                  <w:vAlign w:val="center"/>
                </w:tcPr>
                <w:p w14:paraId="0723D9E9">
                  <w:pPr>
                    <w:pStyle w:val="21"/>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20</w:t>
                  </w:r>
                </w:p>
              </w:tc>
              <w:tc>
                <w:tcPr>
                  <w:tcW w:w="1034" w:type="pct"/>
                  <w:tcBorders>
                    <w:tl2br w:val="nil"/>
                    <w:tr2bl w:val="nil"/>
                  </w:tcBorders>
                  <w:vAlign w:val="center"/>
                </w:tcPr>
                <w:p w14:paraId="15ADE739">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监控点处任意一次浓度值</w:t>
                  </w:r>
                </w:p>
              </w:tc>
              <w:tc>
                <w:tcPr>
                  <w:tcW w:w="697" w:type="pct"/>
                  <w:vMerge w:val="continue"/>
                  <w:tcBorders>
                    <w:tl2br w:val="nil"/>
                    <w:tr2bl w:val="nil"/>
                  </w:tcBorders>
                  <w:vAlign w:val="center"/>
                </w:tcPr>
                <w:p w14:paraId="3435AF24">
                  <w:pPr>
                    <w:pStyle w:val="21"/>
                    <w:keepNext w:val="0"/>
                    <w:keepLines w:val="0"/>
                    <w:suppressLineNumbers w:val="0"/>
                    <w:spacing w:before="0" w:beforeAutospacing="0" w:after="0" w:afterAutospacing="0"/>
                    <w:ind w:left="0" w:right="0"/>
                    <w:rPr>
                      <w:rFonts w:hint="default"/>
                      <w:color w:val="auto"/>
                      <w:highlight w:val="none"/>
                    </w:rPr>
                  </w:pPr>
                </w:p>
              </w:tc>
              <w:tc>
                <w:tcPr>
                  <w:tcW w:w="1880" w:type="pct"/>
                  <w:vMerge w:val="continue"/>
                  <w:tcBorders>
                    <w:tl2br w:val="nil"/>
                    <w:tr2bl w:val="nil"/>
                  </w:tcBorders>
                  <w:vAlign w:val="center"/>
                </w:tcPr>
                <w:p w14:paraId="1B7F5161">
                  <w:pPr>
                    <w:pStyle w:val="21"/>
                    <w:keepNext w:val="0"/>
                    <w:keepLines w:val="0"/>
                    <w:suppressLineNumbers w:val="0"/>
                    <w:spacing w:before="0" w:beforeAutospacing="0" w:after="0" w:afterAutospacing="0"/>
                    <w:ind w:left="0" w:right="0"/>
                    <w:rPr>
                      <w:rFonts w:hint="default"/>
                      <w:color w:val="auto"/>
                      <w:highlight w:val="none"/>
                    </w:rPr>
                  </w:pPr>
                </w:p>
              </w:tc>
            </w:tr>
          </w:tbl>
          <w:p w14:paraId="646BB02F">
            <w:pPr>
              <w:pStyle w:val="23"/>
              <w:keepNext w:val="0"/>
              <w:keepLines w:val="0"/>
              <w:suppressLineNumbers w:val="0"/>
              <w:spacing w:before="0" w:beforeAutospacing="0" w:after="0" w:afterAutospacing="0"/>
              <w:ind w:left="0" w:right="0"/>
              <w:rPr>
                <w:rFonts w:ascii="Times New Roman" w:hAnsi="Times New Roman" w:eastAsia="宋体"/>
                <w:color w:val="auto"/>
                <w:highlight w:val="none"/>
              </w:rPr>
            </w:pPr>
            <w:r>
              <w:rPr>
                <w:rFonts w:ascii="Times New Roman" w:hAnsi="Times New Roman" w:eastAsia="宋体"/>
                <w:color w:val="auto"/>
                <w:highlight w:val="none"/>
              </w:rPr>
              <w:t>表3-</w:t>
            </w:r>
            <w:r>
              <w:rPr>
                <w:rFonts w:hint="eastAsia"/>
                <w:color w:val="auto"/>
                <w:highlight w:val="none"/>
                <w:lang w:val="en-US" w:eastAsia="zh-CN"/>
              </w:rPr>
              <w:t>9</w:t>
            </w:r>
            <w:r>
              <w:rPr>
                <w:rFonts w:hint="eastAsia" w:ascii="Times New Roman" w:hAnsi="Times New Roman" w:eastAsia="宋体"/>
                <w:color w:val="auto"/>
                <w:highlight w:val="none"/>
                <w:lang w:val="en-US" w:eastAsia="zh-CN"/>
              </w:rPr>
              <w:t>食堂油烟</w:t>
            </w:r>
            <w:r>
              <w:rPr>
                <w:rFonts w:hint="eastAsia" w:ascii="Times New Roman" w:hAnsi="Times New Roman" w:eastAsia="宋体"/>
                <w:color w:val="auto"/>
                <w:highlight w:val="none"/>
              </w:rPr>
              <w:t>排放标准</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368"/>
              <w:gridCol w:w="4454"/>
            </w:tblGrid>
            <w:tr w14:paraId="33B29E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152" w:type="pct"/>
                  <w:tcBorders>
                    <w:tl2br w:val="nil"/>
                    <w:tr2bl w:val="nil"/>
                  </w:tcBorders>
                  <w:vAlign w:val="center"/>
                </w:tcPr>
                <w:p w14:paraId="046847F6">
                  <w:pPr>
                    <w:pStyle w:val="21"/>
                    <w:keepNext w:val="0"/>
                    <w:keepLines w:val="0"/>
                    <w:suppressLineNumbers w:val="0"/>
                    <w:spacing w:before="0" w:beforeAutospacing="0" w:after="0" w:afterAutospacing="0"/>
                    <w:ind w:left="0" w:right="0"/>
                    <w:rPr>
                      <w:rFonts w:hint="eastAsia" w:ascii="Times New Roman" w:hAnsi="Times New Roman" w:eastAsia="宋体"/>
                      <w:b/>
                      <w:bCs/>
                      <w:color w:val="auto"/>
                      <w:highlight w:val="none"/>
                      <w:lang w:eastAsia="zh-CN"/>
                    </w:rPr>
                  </w:pPr>
                  <w:r>
                    <w:rPr>
                      <w:rFonts w:hint="eastAsia" w:ascii="Times New Roman" w:hAnsi="Times New Roman" w:eastAsia="宋体"/>
                      <w:b/>
                      <w:bCs/>
                      <w:color w:val="auto"/>
                      <w:highlight w:val="none"/>
                      <w:lang w:val="en-US" w:eastAsia="zh-CN"/>
                    </w:rPr>
                    <w:t>规模</w:t>
                  </w:r>
                </w:p>
              </w:tc>
              <w:tc>
                <w:tcPr>
                  <w:tcW w:w="2847" w:type="pct"/>
                  <w:tcBorders>
                    <w:tl2br w:val="nil"/>
                    <w:tr2bl w:val="nil"/>
                  </w:tcBorders>
                  <w:vAlign w:val="center"/>
                </w:tcPr>
                <w:p w14:paraId="267DD01E">
                  <w:pPr>
                    <w:pStyle w:val="21"/>
                    <w:keepNext w:val="0"/>
                    <w:keepLines w:val="0"/>
                    <w:suppressLineNumbers w:val="0"/>
                    <w:spacing w:before="0" w:beforeAutospacing="0" w:after="0" w:afterAutospacing="0"/>
                    <w:ind w:left="0" w:right="0"/>
                    <w:rPr>
                      <w:rFonts w:hint="eastAsia" w:ascii="Times New Roman" w:hAnsi="Times New Roman" w:eastAsia="宋体"/>
                      <w:b/>
                      <w:bCs/>
                      <w:color w:val="auto"/>
                      <w:highlight w:val="none"/>
                      <w:lang w:eastAsia="zh-CN"/>
                    </w:rPr>
                  </w:pPr>
                  <w:r>
                    <w:rPr>
                      <w:rFonts w:hint="eastAsia"/>
                      <w:b w:val="0"/>
                      <w:bCs w:val="0"/>
                      <w:color w:val="auto"/>
                      <w:highlight w:val="none"/>
                      <w:lang w:val="en-US" w:eastAsia="zh-CN"/>
                    </w:rPr>
                    <w:t>中</w:t>
                  </w:r>
                  <w:r>
                    <w:rPr>
                      <w:rFonts w:hint="eastAsia" w:ascii="Times New Roman" w:hAnsi="Times New Roman" w:eastAsia="宋体"/>
                      <w:b w:val="0"/>
                      <w:bCs w:val="0"/>
                      <w:color w:val="auto"/>
                      <w:highlight w:val="none"/>
                      <w:lang w:val="en-US" w:eastAsia="zh-CN"/>
                    </w:rPr>
                    <w:t>型</w:t>
                  </w:r>
                </w:p>
              </w:tc>
            </w:tr>
            <w:tr w14:paraId="52BA23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152" w:type="pct"/>
                  <w:tcBorders>
                    <w:tl2br w:val="nil"/>
                    <w:tr2bl w:val="nil"/>
                  </w:tcBorders>
                  <w:vAlign w:val="center"/>
                </w:tcPr>
                <w:p w14:paraId="12E30867">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eastAsia="zh-CN"/>
                    </w:rPr>
                  </w:pPr>
                  <w:r>
                    <w:rPr>
                      <w:rFonts w:hint="eastAsia" w:ascii="Times New Roman" w:hAnsi="Times New Roman" w:eastAsia="宋体"/>
                      <w:b/>
                      <w:bCs/>
                      <w:color w:val="auto"/>
                      <w:highlight w:val="none"/>
                      <w:lang w:val="en-US" w:eastAsia="zh-CN"/>
                    </w:rPr>
                    <w:t>最高允许排放浓度（mg/m</w:t>
                  </w:r>
                  <w:r>
                    <w:rPr>
                      <w:rFonts w:hint="eastAsia" w:ascii="Times New Roman" w:hAnsi="Times New Roman" w:eastAsia="宋体"/>
                      <w:b/>
                      <w:bCs/>
                      <w:color w:val="auto"/>
                      <w:highlight w:val="none"/>
                      <w:vertAlign w:val="superscript"/>
                      <w:lang w:val="en-US" w:eastAsia="zh-CN"/>
                    </w:rPr>
                    <w:t>3</w:t>
                  </w:r>
                  <w:r>
                    <w:rPr>
                      <w:rFonts w:hint="eastAsia" w:ascii="Times New Roman" w:hAnsi="Times New Roman" w:eastAsia="宋体"/>
                      <w:b/>
                      <w:bCs/>
                      <w:color w:val="auto"/>
                      <w:highlight w:val="none"/>
                      <w:lang w:val="en-US" w:eastAsia="zh-CN"/>
                    </w:rPr>
                    <w:t>）</w:t>
                  </w:r>
                </w:p>
              </w:tc>
              <w:tc>
                <w:tcPr>
                  <w:tcW w:w="2847" w:type="pct"/>
                  <w:tcBorders>
                    <w:tl2br w:val="nil"/>
                    <w:tr2bl w:val="nil"/>
                  </w:tcBorders>
                  <w:vAlign w:val="center"/>
                </w:tcPr>
                <w:p w14:paraId="263E33F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color w:val="auto"/>
                      <w:highlight w:val="none"/>
                      <w:lang w:val="en-US" w:eastAsia="zh-CN"/>
                    </w:rPr>
                    <w:t>2.0</w:t>
                  </w:r>
                </w:p>
              </w:tc>
            </w:tr>
            <w:tr w14:paraId="7C102D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152" w:type="pct"/>
                  <w:tcBorders>
                    <w:tl2br w:val="nil"/>
                    <w:tr2bl w:val="nil"/>
                  </w:tcBorders>
                  <w:vAlign w:val="center"/>
                </w:tcPr>
                <w:p w14:paraId="6A2DFDD6">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eastAsia="zh-CN"/>
                    </w:rPr>
                  </w:pPr>
                  <w:r>
                    <w:rPr>
                      <w:rFonts w:hint="eastAsia" w:ascii="Times New Roman" w:hAnsi="Times New Roman" w:eastAsia="宋体"/>
                      <w:b/>
                      <w:bCs/>
                      <w:color w:val="auto"/>
                      <w:highlight w:val="none"/>
                      <w:lang w:val="en-US" w:eastAsia="zh-CN"/>
                    </w:rPr>
                    <w:t>净化设施最低去除效率（%）</w:t>
                  </w:r>
                </w:p>
              </w:tc>
              <w:tc>
                <w:tcPr>
                  <w:tcW w:w="2847" w:type="pct"/>
                  <w:tcBorders>
                    <w:tl2br w:val="nil"/>
                    <w:tr2bl w:val="nil"/>
                  </w:tcBorders>
                  <w:vAlign w:val="center"/>
                </w:tcPr>
                <w:p w14:paraId="33AFF69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75</w:t>
                  </w:r>
                </w:p>
              </w:tc>
            </w:tr>
          </w:tbl>
          <w:p w14:paraId="65EC5A1C">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2、废水</w:t>
            </w:r>
          </w:p>
          <w:p w14:paraId="3749CD4C">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rPr>
            </w:pPr>
            <w:r>
              <w:rPr>
                <w:rFonts w:hint="default" w:ascii="Times New Roman" w:hAnsi="Times New Roman" w:eastAsia="宋体"/>
                <w:color w:val="auto"/>
                <w:highlight w:val="none"/>
                <w:lang w:val="en-US"/>
              </w:rPr>
              <w:t>本项目运营期废水</w:t>
            </w:r>
            <w:r>
              <w:rPr>
                <w:rFonts w:hint="eastAsia"/>
                <w:color w:val="auto"/>
                <w:highlight w:val="none"/>
                <w:lang w:val="en-US" w:eastAsia="zh-CN"/>
              </w:rPr>
              <w:t>依托租赁厂区现有污水处理设施处理后</w:t>
            </w:r>
            <w:r>
              <w:rPr>
                <w:rFonts w:hint="eastAsia" w:ascii="Times New Roman" w:hAnsi="Times New Roman" w:eastAsia="宋体"/>
                <w:color w:val="auto"/>
                <w:highlight w:val="none"/>
                <w:lang w:val="en-US"/>
              </w:rPr>
              <w:t>接管到</w:t>
            </w:r>
            <w:r>
              <w:rPr>
                <w:rFonts w:hint="eastAsia"/>
                <w:color w:val="auto"/>
                <w:highlight w:val="none"/>
                <w:lang w:val="en-US" w:eastAsia="zh-CN"/>
              </w:rPr>
              <w:t>空港</w:t>
            </w:r>
            <w:r>
              <w:rPr>
                <w:rFonts w:hint="eastAsia" w:ascii="Times New Roman" w:hAnsi="Times New Roman" w:eastAsia="宋体"/>
                <w:color w:val="auto"/>
                <w:highlight w:val="none"/>
                <w:lang w:val="en-US"/>
              </w:rPr>
              <w:t>污水处理厂集中处理，尾水排入</w:t>
            </w:r>
            <w:r>
              <w:rPr>
                <w:rFonts w:hint="eastAsia"/>
                <w:color w:val="auto"/>
                <w:highlight w:val="none"/>
                <w:lang w:val="en-US" w:eastAsia="zh-CN"/>
              </w:rPr>
              <w:t>云台山</w:t>
            </w:r>
            <w:r>
              <w:rPr>
                <w:rFonts w:hint="eastAsia" w:ascii="Times New Roman" w:hAnsi="Times New Roman" w:eastAsia="宋体"/>
                <w:color w:val="auto"/>
                <w:highlight w:val="none"/>
                <w:lang w:val="en-US"/>
              </w:rPr>
              <w:t>河。本项目废水接管标准执行《污水综合排放标准》（GB8978-1996）表4中三级标准及</w:t>
            </w:r>
            <w:r>
              <w:rPr>
                <w:rFonts w:hint="eastAsia"/>
                <w:color w:val="auto"/>
                <w:highlight w:val="none"/>
                <w:lang w:val="en-US" w:eastAsia="zh-CN"/>
              </w:rPr>
              <w:t>空港</w:t>
            </w:r>
            <w:r>
              <w:rPr>
                <w:rFonts w:hint="eastAsia" w:ascii="Times New Roman" w:hAnsi="Times New Roman" w:eastAsia="宋体"/>
                <w:color w:val="auto"/>
                <w:highlight w:val="none"/>
                <w:lang w:val="en-US"/>
              </w:rPr>
              <w:t>污水处理厂接管水质要求。具体见下表：</w:t>
            </w:r>
          </w:p>
          <w:p w14:paraId="2555B062">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ascii="Times New Roman" w:hAnsi="Times New Roman" w:eastAsia="宋体"/>
                <w:color w:val="auto"/>
                <w:highlight w:val="none"/>
              </w:rPr>
              <w:t>表3-</w:t>
            </w:r>
            <w:r>
              <w:rPr>
                <w:rFonts w:hint="eastAsia"/>
                <w:color w:val="auto"/>
                <w:highlight w:val="none"/>
                <w:lang w:val="en-US" w:eastAsia="zh-CN"/>
              </w:rPr>
              <w:t>10</w:t>
            </w:r>
            <w:r>
              <w:rPr>
                <w:rFonts w:ascii="Times New Roman" w:hAnsi="Times New Roman" w:eastAsia="宋体"/>
                <w:color w:val="auto"/>
                <w:highlight w:val="none"/>
              </w:rPr>
              <w:t>项目废水排放标准</w:t>
            </w:r>
            <w:r>
              <w:rPr>
                <w:rFonts w:hint="default" w:ascii="Times New Roman" w:hAnsi="Times New Roman" w:eastAsia="宋体"/>
                <w:color w:val="auto"/>
                <w:sz w:val="21"/>
                <w:szCs w:val="21"/>
                <w:highlight w:val="none"/>
              </w:rPr>
              <w:t>单位：mg/L</w:t>
            </w:r>
            <w:r>
              <w:rPr>
                <w:rFonts w:hint="eastAsia"/>
                <w:color w:val="auto"/>
                <w:sz w:val="21"/>
                <w:szCs w:val="21"/>
                <w:highlight w:val="none"/>
                <w:lang w:eastAsia="zh-CN"/>
              </w:rPr>
              <w:t>，</w:t>
            </w:r>
            <w:r>
              <w:rPr>
                <w:rFonts w:hint="default" w:ascii="Times New Roman" w:hAnsi="Times New Roman" w:eastAsia="宋体"/>
                <w:color w:val="auto"/>
                <w:sz w:val="21"/>
                <w:szCs w:val="21"/>
                <w:highlight w:val="none"/>
              </w:rPr>
              <w:t>pH无量纲</w:t>
            </w:r>
          </w:p>
          <w:tbl>
            <w:tblPr>
              <w:tblStyle w:val="16"/>
              <w:tblW w:w="499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15"/>
              <w:gridCol w:w="1297"/>
              <w:gridCol w:w="2096"/>
              <w:gridCol w:w="1902"/>
              <w:gridCol w:w="1903"/>
            </w:tblGrid>
            <w:tr w14:paraId="1E657B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5" w:type="dxa"/>
                  <w:tcBorders>
                    <w:tl2br w:val="nil"/>
                    <w:tr2bl w:val="nil"/>
                  </w:tcBorders>
                  <w:shd w:val="clear" w:color="auto" w:fill="auto"/>
                  <w:vAlign w:val="center"/>
                </w:tcPr>
                <w:p w14:paraId="635C55EC">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序号</w:t>
                  </w:r>
                </w:p>
              </w:tc>
              <w:tc>
                <w:tcPr>
                  <w:tcW w:w="1297" w:type="dxa"/>
                  <w:tcBorders>
                    <w:tl2br w:val="nil"/>
                    <w:tr2bl w:val="nil"/>
                  </w:tcBorders>
                  <w:shd w:val="clear" w:color="auto" w:fill="auto"/>
                  <w:vAlign w:val="center"/>
                </w:tcPr>
                <w:p w14:paraId="68593305">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污染物名称</w:t>
                  </w:r>
                </w:p>
              </w:tc>
              <w:tc>
                <w:tcPr>
                  <w:tcW w:w="2096" w:type="dxa"/>
                  <w:tcBorders>
                    <w:tl2br w:val="nil"/>
                    <w:tr2bl w:val="nil"/>
                  </w:tcBorders>
                  <w:shd w:val="clear" w:color="auto" w:fill="auto"/>
                  <w:vAlign w:val="center"/>
                </w:tcPr>
                <w:p w14:paraId="4107436C">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污水综合排放标准</w:t>
                  </w:r>
                </w:p>
              </w:tc>
              <w:tc>
                <w:tcPr>
                  <w:tcW w:w="1902" w:type="dxa"/>
                  <w:tcBorders>
                    <w:tl2br w:val="nil"/>
                    <w:tr2bl w:val="nil"/>
                  </w:tcBorders>
                  <w:shd w:val="clear" w:color="auto" w:fill="auto"/>
                  <w:vAlign w:val="center"/>
                </w:tcPr>
                <w:p w14:paraId="4EB262B2">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eastAsia"/>
                      <w:b/>
                      <w:bCs/>
                      <w:color w:val="auto"/>
                      <w:highlight w:val="none"/>
                      <w:lang w:val="en-US" w:eastAsia="zh-CN"/>
                    </w:rPr>
                    <w:t>空港</w:t>
                  </w:r>
                  <w:r>
                    <w:rPr>
                      <w:rFonts w:hint="eastAsia" w:ascii="Times New Roman" w:hAnsi="Times New Roman" w:eastAsia="宋体"/>
                      <w:b/>
                      <w:bCs/>
                      <w:color w:val="auto"/>
                      <w:highlight w:val="none"/>
                      <w:lang w:val="en-US"/>
                    </w:rPr>
                    <w:t>污水处理厂接管水质要求</w:t>
                  </w:r>
                </w:p>
              </w:tc>
              <w:tc>
                <w:tcPr>
                  <w:tcW w:w="1903" w:type="dxa"/>
                  <w:tcBorders>
                    <w:tl2br w:val="nil"/>
                    <w:tr2bl w:val="nil"/>
                  </w:tcBorders>
                  <w:shd w:val="clear" w:color="auto" w:fill="auto"/>
                  <w:vAlign w:val="center"/>
                </w:tcPr>
                <w:p w14:paraId="111CEBDF">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eastAsia="zh-CN"/>
                    </w:rPr>
                  </w:pPr>
                  <w:r>
                    <w:rPr>
                      <w:rFonts w:hint="eastAsia" w:ascii="Times New Roman" w:hAnsi="Times New Roman" w:eastAsia="宋体"/>
                      <w:b/>
                      <w:bCs/>
                      <w:color w:val="auto"/>
                      <w:highlight w:val="none"/>
                      <w:lang w:val="en-US" w:eastAsia="zh-CN"/>
                    </w:rPr>
                    <w:t>本项目执行标准</w:t>
                  </w:r>
                </w:p>
              </w:tc>
            </w:tr>
            <w:tr w14:paraId="040634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5" w:type="dxa"/>
                  <w:tcBorders>
                    <w:tl2br w:val="nil"/>
                    <w:tr2bl w:val="nil"/>
                  </w:tcBorders>
                  <w:shd w:val="clear" w:color="auto" w:fill="auto"/>
                  <w:vAlign w:val="center"/>
                </w:tcPr>
                <w:p w14:paraId="719D7CF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1</w:t>
                  </w:r>
                </w:p>
              </w:tc>
              <w:tc>
                <w:tcPr>
                  <w:tcW w:w="1297" w:type="dxa"/>
                  <w:tcBorders>
                    <w:tl2br w:val="nil"/>
                    <w:tr2bl w:val="nil"/>
                  </w:tcBorders>
                  <w:shd w:val="clear" w:color="auto" w:fill="auto"/>
                  <w:vAlign w:val="center"/>
                </w:tcPr>
                <w:p w14:paraId="41CFEB1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pH</w:t>
                  </w:r>
                </w:p>
              </w:tc>
              <w:tc>
                <w:tcPr>
                  <w:tcW w:w="2096" w:type="dxa"/>
                  <w:tcBorders>
                    <w:tl2br w:val="nil"/>
                    <w:tr2bl w:val="nil"/>
                  </w:tcBorders>
                  <w:shd w:val="clear" w:color="auto" w:fill="auto"/>
                  <w:vAlign w:val="center"/>
                </w:tcPr>
                <w:p w14:paraId="6079D53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6-9</w:t>
                  </w:r>
                </w:p>
              </w:tc>
              <w:tc>
                <w:tcPr>
                  <w:tcW w:w="1902" w:type="dxa"/>
                  <w:tcBorders>
                    <w:tl2br w:val="nil"/>
                    <w:tr2bl w:val="nil"/>
                  </w:tcBorders>
                  <w:shd w:val="clear" w:color="auto" w:fill="auto"/>
                  <w:vAlign w:val="center"/>
                </w:tcPr>
                <w:p w14:paraId="3CF4E03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6-9</w:t>
                  </w:r>
                </w:p>
              </w:tc>
              <w:tc>
                <w:tcPr>
                  <w:tcW w:w="1903" w:type="dxa"/>
                  <w:tcBorders>
                    <w:tl2br w:val="nil"/>
                    <w:tr2bl w:val="nil"/>
                  </w:tcBorders>
                  <w:shd w:val="clear" w:color="auto" w:fill="auto"/>
                  <w:vAlign w:val="center"/>
                </w:tcPr>
                <w:p w14:paraId="506B4122">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lang w:val="en-US"/>
                    </w:rPr>
                    <w:t>6-9</w:t>
                  </w:r>
                </w:p>
              </w:tc>
            </w:tr>
            <w:tr w14:paraId="292F71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5" w:type="dxa"/>
                  <w:tcBorders>
                    <w:tl2br w:val="nil"/>
                    <w:tr2bl w:val="nil"/>
                  </w:tcBorders>
                  <w:shd w:val="clear" w:color="auto" w:fill="auto"/>
                  <w:vAlign w:val="center"/>
                </w:tcPr>
                <w:p w14:paraId="3528E07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2</w:t>
                  </w:r>
                </w:p>
              </w:tc>
              <w:tc>
                <w:tcPr>
                  <w:tcW w:w="1297" w:type="dxa"/>
                  <w:tcBorders>
                    <w:tl2br w:val="nil"/>
                    <w:tr2bl w:val="nil"/>
                  </w:tcBorders>
                  <w:shd w:val="clear" w:color="auto" w:fill="auto"/>
                  <w:vAlign w:val="center"/>
                </w:tcPr>
                <w:p w14:paraId="7C387AA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COD</w:t>
                  </w:r>
                </w:p>
              </w:tc>
              <w:tc>
                <w:tcPr>
                  <w:tcW w:w="2096" w:type="dxa"/>
                  <w:tcBorders>
                    <w:tl2br w:val="nil"/>
                    <w:tr2bl w:val="nil"/>
                  </w:tcBorders>
                  <w:shd w:val="clear" w:color="auto" w:fill="auto"/>
                  <w:vAlign w:val="center"/>
                </w:tcPr>
                <w:p w14:paraId="1DC6BD8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500</w:t>
                  </w:r>
                </w:p>
              </w:tc>
              <w:tc>
                <w:tcPr>
                  <w:tcW w:w="1902" w:type="dxa"/>
                  <w:tcBorders>
                    <w:tl2br w:val="nil"/>
                    <w:tr2bl w:val="nil"/>
                  </w:tcBorders>
                  <w:shd w:val="clear" w:color="auto" w:fill="auto"/>
                  <w:vAlign w:val="center"/>
                </w:tcPr>
                <w:p w14:paraId="6C60A72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350</w:t>
                  </w:r>
                </w:p>
              </w:tc>
              <w:tc>
                <w:tcPr>
                  <w:tcW w:w="1903" w:type="dxa"/>
                  <w:tcBorders>
                    <w:tl2br w:val="nil"/>
                    <w:tr2bl w:val="nil"/>
                  </w:tcBorders>
                  <w:shd w:val="clear" w:color="auto" w:fill="auto"/>
                  <w:vAlign w:val="center"/>
                </w:tcPr>
                <w:p w14:paraId="50E0287E">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350</w:t>
                  </w:r>
                </w:p>
              </w:tc>
            </w:tr>
            <w:tr w14:paraId="6871A3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5" w:type="dxa"/>
                  <w:tcBorders>
                    <w:tl2br w:val="nil"/>
                    <w:tr2bl w:val="nil"/>
                  </w:tcBorders>
                  <w:shd w:val="clear" w:color="auto" w:fill="auto"/>
                  <w:vAlign w:val="center"/>
                </w:tcPr>
                <w:p w14:paraId="119DD016">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lang w:val="en-US"/>
                    </w:rPr>
                    <w:t>3</w:t>
                  </w:r>
                </w:p>
              </w:tc>
              <w:tc>
                <w:tcPr>
                  <w:tcW w:w="1297" w:type="dxa"/>
                  <w:tcBorders>
                    <w:tl2br w:val="nil"/>
                    <w:tr2bl w:val="nil"/>
                  </w:tcBorders>
                  <w:shd w:val="clear" w:color="auto" w:fill="auto"/>
                  <w:vAlign w:val="center"/>
                </w:tcPr>
                <w:p w14:paraId="3FF4A86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vertAlign w:val="subscript"/>
                      <w:lang w:val="en-US" w:eastAsia="zh-CN"/>
                    </w:rPr>
                  </w:pPr>
                  <w:r>
                    <w:rPr>
                      <w:rFonts w:hint="eastAsia"/>
                      <w:color w:val="auto"/>
                      <w:highlight w:val="none"/>
                      <w:lang w:val="en-US" w:eastAsia="zh-CN"/>
                    </w:rPr>
                    <w:t>BOD</w:t>
                  </w:r>
                  <w:r>
                    <w:rPr>
                      <w:rFonts w:hint="eastAsia"/>
                      <w:color w:val="auto"/>
                      <w:highlight w:val="none"/>
                      <w:vertAlign w:val="subscript"/>
                      <w:lang w:val="en-US" w:eastAsia="zh-CN"/>
                    </w:rPr>
                    <w:t>5</w:t>
                  </w:r>
                </w:p>
              </w:tc>
              <w:tc>
                <w:tcPr>
                  <w:tcW w:w="2096" w:type="dxa"/>
                  <w:tcBorders>
                    <w:tl2br w:val="nil"/>
                    <w:tr2bl w:val="nil"/>
                  </w:tcBorders>
                  <w:shd w:val="clear" w:color="auto" w:fill="auto"/>
                  <w:vAlign w:val="center"/>
                </w:tcPr>
                <w:p w14:paraId="6BE5802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300</w:t>
                  </w:r>
                </w:p>
              </w:tc>
              <w:tc>
                <w:tcPr>
                  <w:tcW w:w="1902" w:type="dxa"/>
                  <w:tcBorders>
                    <w:tl2br w:val="nil"/>
                    <w:tr2bl w:val="nil"/>
                  </w:tcBorders>
                  <w:shd w:val="clear" w:color="auto" w:fill="auto"/>
                  <w:vAlign w:val="center"/>
                </w:tcPr>
                <w:p w14:paraId="78AF191A">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w:t>
                  </w:r>
                </w:p>
              </w:tc>
              <w:tc>
                <w:tcPr>
                  <w:tcW w:w="1903" w:type="dxa"/>
                  <w:tcBorders>
                    <w:tl2br w:val="nil"/>
                    <w:tr2bl w:val="nil"/>
                  </w:tcBorders>
                  <w:shd w:val="clear" w:color="auto" w:fill="auto"/>
                  <w:vAlign w:val="center"/>
                </w:tcPr>
                <w:p w14:paraId="2647EB1A">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300</w:t>
                  </w:r>
                </w:p>
              </w:tc>
            </w:tr>
            <w:tr w14:paraId="356F93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5" w:type="dxa"/>
                  <w:tcBorders>
                    <w:tl2br w:val="nil"/>
                    <w:tr2bl w:val="nil"/>
                  </w:tcBorders>
                  <w:shd w:val="clear" w:color="auto" w:fill="auto"/>
                  <w:vAlign w:val="center"/>
                </w:tcPr>
                <w:p w14:paraId="3E2DC434">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default" w:ascii="Times New Roman" w:hAnsi="Times New Roman" w:eastAsia="宋体"/>
                      <w:color w:val="auto"/>
                      <w:highlight w:val="none"/>
                      <w:lang w:val="en-US"/>
                    </w:rPr>
                    <w:t>4</w:t>
                  </w:r>
                </w:p>
              </w:tc>
              <w:tc>
                <w:tcPr>
                  <w:tcW w:w="1297" w:type="dxa"/>
                  <w:tcBorders>
                    <w:tl2br w:val="nil"/>
                    <w:tr2bl w:val="nil"/>
                  </w:tcBorders>
                  <w:shd w:val="clear" w:color="auto" w:fill="auto"/>
                  <w:vAlign w:val="center"/>
                </w:tcPr>
                <w:p w14:paraId="7CCCCE7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SS</w:t>
                  </w:r>
                </w:p>
              </w:tc>
              <w:tc>
                <w:tcPr>
                  <w:tcW w:w="2096" w:type="dxa"/>
                  <w:tcBorders>
                    <w:tl2br w:val="nil"/>
                    <w:tr2bl w:val="nil"/>
                  </w:tcBorders>
                  <w:shd w:val="clear" w:color="auto" w:fill="auto"/>
                  <w:vAlign w:val="center"/>
                </w:tcPr>
                <w:p w14:paraId="5819815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400</w:t>
                  </w:r>
                </w:p>
              </w:tc>
              <w:tc>
                <w:tcPr>
                  <w:tcW w:w="1902" w:type="dxa"/>
                  <w:tcBorders>
                    <w:tl2br w:val="nil"/>
                    <w:tr2bl w:val="nil"/>
                  </w:tcBorders>
                  <w:shd w:val="clear" w:color="auto" w:fill="auto"/>
                  <w:vAlign w:val="center"/>
                </w:tcPr>
                <w:p w14:paraId="65831BC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color w:val="auto"/>
                      <w:highlight w:val="none"/>
                      <w:lang w:val="en-US" w:eastAsia="zh-CN"/>
                    </w:rPr>
                    <w:t>25</w:t>
                  </w:r>
                  <w:r>
                    <w:rPr>
                      <w:rFonts w:hint="eastAsia" w:ascii="Times New Roman" w:hAnsi="Times New Roman" w:eastAsia="宋体"/>
                      <w:color w:val="auto"/>
                      <w:highlight w:val="none"/>
                      <w:lang w:val="en-US"/>
                    </w:rPr>
                    <w:t>0</w:t>
                  </w:r>
                </w:p>
              </w:tc>
              <w:tc>
                <w:tcPr>
                  <w:tcW w:w="1903" w:type="dxa"/>
                  <w:tcBorders>
                    <w:tl2br w:val="nil"/>
                    <w:tr2bl w:val="nil"/>
                  </w:tcBorders>
                  <w:shd w:val="clear" w:color="auto" w:fill="auto"/>
                  <w:vAlign w:val="center"/>
                </w:tcPr>
                <w:p w14:paraId="731B765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25</w:t>
                  </w:r>
                  <w:r>
                    <w:rPr>
                      <w:rFonts w:hint="eastAsia" w:ascii="Times New Roman" w:hAnsi="Times New Roman" w:eastAsia="宋体"/>
                      <w:color w:val="auto"/>
                      <w:highlight w:val="none"/>
                      <w:lang w:val="en-US"/>
                    </w:rPr>
                    <w:t>0</w:t>
                  </w:r>
                </w:p>
              </w:tc>
            </w:tr>
            <w:tr w14:paraId="554E7F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5" w:type="dxa"/>
                  <w:tcBorders>
                    <w:tl2br w:val="nil"/>
                    <w:tr2bl w:val="nil"/>
                  </w:tcBorders>
                  <w:shd w:val="clear" w:color="auto" w:fill="auto"/>
                  <w:vAlign w:val="center"/>
                </w:tcPr>
                <w:p w14:paraId="4DD7A4B4">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default" w:ascii="Times New Roman" w:hAnsi="Times New Roman" w:eastAsia="宋体"/>
                      <w:color w:val="auto"/>
                      <w:highlight w:val="none"/>
                      <w:lang w:val="en-US"/>
                    </w:rPr>
                    <w:t>5</w:t>
                  </w:r>
                </w:p>
              </w:tc>
              <w:tc>
                <w:tcPr>
                  <w:tcW w:w="1297" w:type="dxa"/>
                  <w:tcBorders>
                    <w:tl2br w:val="nil"/>
                    <w:tr2bl w:val="nil"/>
                  </w:tcBorders>
                  <w:shd w:val="clear" w:color="auto" w:fill="auto"/>
                  <w:vAlign w:val="center"/>
                </w:tcPr>
                <w:p w14:paraId="64D6703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NH</w:t>
                  </w:r>
                  <w:r>
                    <w:rPr>
                      <w:rFonts w:hint="default" w:ascii="Times New Roman" w:hAnsi="Times New Roman" w:eastAsia="宋体"/>
                      <w:color w:val="auto"/>
                      <w:highlight w:val="none"/>
                      <w:vertAlign w:val="subscript"/>
                      <w:lang w:val="en-US"/>
                    </w:rPr>
                    <w:t>3</w:t>
                  </w:r>
                  <w:r>
                    <w:rPr>
                      <w:rFonts w:hint="default" w:ascii="Times New Roman" w:hAnsi="Times New Roman" w:eastAsia="宋体"/>
                      <w:color w:val="auto"/>
                      <w:highlight w:val="none"/>
                      <w:lang w:val="en-US"/>
                    </w:rPr>
                    <w:t>-N</w:t>
                  </w:r>
                </w:p>
              </w:tc>
              <w:tc>
                <w:tcPr>
                  <w:tcW w:w="2096" w:type="dxa"/>
                  <w:tcBorders>
                    <w:tl2br w:val="nil"/>
                    <w:tr2bl w:val="nil"/>
                  </w:tcBorders>
                  <w:shd w:val="clear" w:color="auto" w:fill="auto"/>
                  <w:vAlign w:val="center"/>
                </w:tcPr>
                <w:p w14:paraId="119C0497">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eastAsia="zh-CN"/>
                    </w:rPr>
                  </w:pPr>
                  <w:r>
                    <w:rPr>
                      <w:rFonts w:hint="eastAsia" w:ascii="Times New Roman" w:hAnsi="Times New Roman" w:eastAsia="宋体"/>
                      <w:color w:val="auto"/>
                      <w:highlight w:val="none"/>
                      <w:lang w:val="en-US" w:eastAsia="zh-CN"/>
                    </w:rPr>
                    <w:t>/</w:t>
                  </w:r>
                </w:p>
              </w:tc>
              <w:tc>
                <w:tcPr>
                  <w:tcW w:w="1902" w:type="dxa"/>
                  <w:tcBorders>
                    <w:tl2br w:val="nil"/>
                    <w:tr2bl w:val="nil"/>
                  </w:tcBorders>
                  <w:shd w:val="clear" w:color="auto" w:fill="auto"/>
                  <w:vAlign w:val="center"/>
                </w:tcPr>
                <w:p w14:paraId="2968CC1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35</w:t>
                  </w:r>
                </w:p>
              </w:tc>
              <w:tc>
                <w:tcPr>
                  <w:tcW w:w="1903" w:type="dxa"/>
                  <w:tcBorders>
                    <w:tl2br w:val="nil"/>
                    <w:tr2bl w:val="nil"/>
                  </w:tcBorders>
                  <w:shd w:val="clear" w:color="auto" w:fill="auto"/>
                  <w:vAlign w:val="center"/>
                </w:tcPr>
                <w:p w14:paraId="2E89C355">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35</w:t>
                  </w:r>
                </w:p>
              </w:tc>
            </w:tr>
            <w:tr w14:paraId="631D0A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5" w:type="dxa"/>
                  <w:tcBorders>
                    <w:tl2br w:val="nil"/>
                    <w:tr2bl w:val="nil"/>
                  </w:tcBorders>
                  <w:shd w:val="clear" w:color="auto" w:fill="auto"/>
                  <w:vAlign w:val="center"/>
                </w:tcPr>
                <w:p w14:paraId="5F2C4725">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default" w:ascii="Times New Roman" w:hAnsi="Times New Roman" w:eastAsia="宋体"/>
                      <w:color w:val="auto"/>
                      <w:highlight w:val="none"/>
                      <w:lang w:val="en-US"/>
                    </w:rPr>
                    <w:t>6</w:t>
                  </w:r>
                </w:p>
              </w:tc>
              <w:tc>
                <w:tcPr>
                  <w:tcW w:w="1297" w:type="dxa"/>
                  <w:tcBorders>
                    <w:tl2br w:val="nil"/>
                    <w:tr2bl w:val="nil"/>
                  </w:tcBorders>
                  <w:shd w:val="clear" w:color="auto" w:fill="auto"/>
                  <w:vAlign w:val="center"/>
                </w:tcPr>
                <w:p w14:paraId="40B2376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TP</w:t>
                  </w:r>
                </w:p>
              </w:tc>
              <w:tc>
                <w:tcPr>
                  <w:tcW w:w="2096" w:type="dxa"/>
                  <w:tcBorders>
                    <w:tl2br w:val="nil"/>
                    <w:tr2bl w:val="nil"/>
                  </w:tcBorders>
                  <w:shd w:val="clear" w:color="auto" w:fill="auto"/>
                  <w:vAlign w:val="center"/>
                </w:tcPr>
                <w:p w14:paraId="10041F8C">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eastAsia="zh-CN"/>
                    </w:rPr>
                  </w:pPr>
                  <w:r>
                    <w:rPr>
                      <w:rFonts w:hint="eastAsia" w:ascii="Times New Roman" w:hAnsi="Times New Roman" w:eastAsia="宋体"/>
                      <w:color w:val="auto"/>
                      <w:highlight w:val="none"/>
                      <w:lang w:val="en-US" w:eastAsia="zh-CN"/>
                    </w:rPr>
                    <w:t>/</w:t>
                  </w:r>
                </w:p>
              </w:tc>
              <w:tc>
                <w:tcPr>
                  <w:tcW w:w="1902" w:type="dxa"/>
                  <w:tcBorders>
                    <w:tl2br w:val="nil"/>
                    <w:tr2bl w:val="nil"/>
                  </w:tcBorders>
                  <w:shd w:val="clear" w:color="auto" w:fill="auto"/>
                  <w:vAlign w:val="center"/>
                </w:tcPr>
                <w:p w14:paraId="093AE90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4</w:t>
                  </w:r>
                </w:p>
              </w:tc>
              <w:tc>
                <w:tcPr>
                  <w:tcW w:w="1903" w:type="dxa"/>
                  <w:tcBorders>
                    <w:tl2br w:val="nil"/>
                    <w:tr2bl w:val="nil"/>
                  </w:tcBorders>
                  <w:shd w:val="clear" w:color="auto" w:fill="auto"/>
                  <w:vAlign w:val="center"/>
                </w:tcPr>
                <w:p w14:paraId="319D6F45">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4</w:t>
                  </w:r>
                </w:p>
              </w:tc>
            </w:tr>
            <w:tr w14:paraId="58C005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5" w:type="dxa"/>
                  <w:tcBorders>
                    <w:tl2br w:val="nil"/>
                    <w:tr2bl w:val="nil"/>
                  </w:tcBorders>
                  <w:shd w:val="clear" w:color="auto" w:fill="auto"/>
                  <w:vAlign w:val="center"/>
                </w:tcPr>
                <w:p w14:paraId="05EA9D8A">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7</w:t>
                  </w:r>
                </w:p>
              </w:tc>
              <w:tc>
                <w:tcPr>
                  <w:tcW w:w="1297" w:type="dxa"/>
                  <w:tcBorders>
                    <w:tl2br w:val="nil"/>
                    <w:tr2bl w:val="nil"/>
                  </w:tcBorders>
                  <w:shd w:val="clear" w:color="auto" w:fill="auto"/>
                  <w:vAlign w:val="center"/>
                </w:tcPr>
                <w:p w14:paraId="14AA5BC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TN</w:t>
                  </w:r>
                </w:p>
              </w:tc>
              <w:tc>
                <w:tcPr>
                  <w:tcW w:w="2096" w:type="dxa"/>
                  <w:tcBorders>
                    <w:tl2br w:val="nil"/>
                    <w:tr2bl w:val="nil"/>
                  </w:tcBorders>
                  <w:shd w:val="clear" w:color="auto" w:fill="auto"/>
                  <w:vAlign w:val="center"/>
                </w:tcPr>
                <w:p w14:paraId="668F8DF3">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eastAsia="zh-CN"/>
                    </w:rPr>
                  </w:pPr>
                  <w:r>
                    <w:rPr>
                      <w:rFonts w:hint="eastAsia" w:ascii="Times New Roman" w:hAnsi="Times New Roman" w:eastAsia="宋体"/>
                      <w:color w:val="auto"/>
                      <w:highlight w:val="none"/>
                      <w:lang w:val="en-US" w:eastAsia="zh-CN"/>
                    </w:rPr>
                    <w:t>/</w:t>
                  </w:r>
                </w:p>
              </w:tc>
              <w:tc>
                <w:tcPr>
                  <w:tcW w:w="1902" w:type="dxa"/>
                  <w:tcBorders>
                    <w:tl2br w:val="nil"/>
                    <w:tr2bl w:val="nil"/>
                  </w:tcBorders>
                  <w:shd w:val="clear" w:color="auto" w:fill="auto"/>
                  <w:vAlign w:val="center"/>
                </w:tcPr>
                <w:p w14:paraId="2C45870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45</w:t>
                  </w:r>
                </w:p>
              </w:tc>
              <w:tc>
                <w:tcPr>
                  <w:tcW w:w="1903" w:type="dxa"/>
                  <w:tcBorders>
                    <w:tl2br w:val="nil"/>
                    <w:tr2bl w:val="nil"/>
                  </w:tcBorders>
                  <w:shd w:val="clear" w:color="auto" w:fill="auto"/>
                  <w:vAlign w:val="center"/>
                </w:tcPr>
                <w:p w14:paraId="108B92A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45</w:t>
                  </w:r>
                </w:p>
              </w:tc>
            </w:tr>
            <w:tr w14:paraId="28CCFA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615" w:type="dxa"/>
                  <w:tcBorders>
                    <w:tl2br w:val="nil"/>
                    <w:tr2bl w:val="nil"/>
                  </w:tcBorders>
                  <w:shd w:val="clear" w:color="auto" w:fill="auto"/>
                  <w:vAlign w:val="center"/>
                </w:tcPr>
                <w:p w14:paraId="701069F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8</w:t>
                  </w:r>
                </w:p>
              </w:tc>
              <w:tc>
                <w:tcPr>
                  <w:tcW w:w="1297" w:type="dxa"/>
                  <w:tcBorders>
                    <w:tl2br w:val="nil"/>
                    <w:tr2bl w:val="nil"/>
                  </w:tcBorders>
                  <w:shd w:val="clear" w:color="auto" w:fill="auto"/>
                  <w:vAlign w:val="center"/>
                </w:tcPr>
                <w:p w14:paraId="691ED185">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动植物油</w:t>
                  </w:r>
                </w:p>
              </w:tc>
              <w:tc>
                <w:tcPr>
                  <w:tcW w:w="2096" w:type="dxa"/>
                  <w:tcBorders>
                    <w:tl2br w:val="nil"/>
                    <w:tr2bl w:val="nil"/>
                  </w:tcBorders>
                  <w:shd w:val="clear" w:color="auto" w:fill="auto"/>
                  <w:vAlign w:val="center"/>
                </w:tcPr>
                <w:p w14:paraId="15E77A9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100</w:t>
                  </w:r>
                </w:p>
              </w:tc>
              <w:tc>
                <w:tcPr>
                  <w:tcW w:w="1902" w:type="dxa"/>
                  <w:tcBorders>
                    <w:tl2br w:val="nil"/>
                    <w:tr2bl w:val="nil"/>
                  </w:tcBorders>
                  <w:shd w:val="clear" w:color="auto" w:fill="auto"/>
                  <w:vAlign w:val="center"/>
                </w:tcPr>
                <w:p w14:paraId="272E021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20</w:t>
                  </w:r>
                </w:p>
              </w:tc>
              <w:tc>
                <w:tcPr>
                  <w:tcW w:w="1903" w:type="dxa"/>
                  <w:tcBorders>
                    <w:tl2br w:val="nil"/>
                    <w:tr2bl w:val="nil"/>
                  </w:tcBorders>
                  <w:shd w:val="clear" w:color="auto" w:fill="auto"/>
                  <w:vAlign w:val="center"/>
                </w:tcPr>
                <w:p w14:paraId="34F98627">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20</w:t>
                  </w:r>
                </w:p>
              </w:tc>
            </w:tr>
          </w:tbl>
          <w:p w14:paraId="5B3A9499">
            <w:pPr>
              <w:keepNext w:val="0"/>
              <w:keepLines w:val="0"/>
              <w:suppressLineNumbers w:val="0"/>
              <w:spacing w:before="0" w:beforeAutospacing="0" w:after="0" w:afterAutospacing="0"/>
              <w:ind w:left="0" w:right="0" w:firstLine="200"/>
              <w:rPr>
                <w:rFonts w:hint="default" w:ascii="Times New Roman" w:hAnsi="Times New Roman" w:eastAsia="宋体"/>
                <w:color w:val="auto"/>
                <w:sz w:val="10"/>
                <w:szCs w:val="10"/>
                <w:highlight w:val="none"/>
                <w:lang w:val="en-US"/>
              </w:rPr>
            </w:pPr>
          </w:p>
          <w:p w14:paraId="385B77F4">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rPr>
            </w:pPr>
            <w:r>
              <w:rPr>
                <w:rFonts w:hint="eastAsia"/>
                <w:color w:val="auto"/>
                <w:highlight w:val="none"/>
                <w:lang w:val="en-US" w:eastAsia="zh-CN"/>
              </w:rPr>
              <w:t>空港</w:t>
            </w:r>
            <w:r>
              <w:rPr>
                <w:rFonts w:hint="eastAsia" w:ascii="Times New Roman" w:hAnsi="Times New Roman" w:eastAsia="宋体"/>
                <w:color w:val="auto"/>
                <w:highlight w:val="none"/>
                <w:lang w:val="en-US"/>
              </w:rPr>
              <w:t>污水处理厂</w:t>
            </w:r>
            <w:r>
              <w:rPr>
                <w:rFonts w:hint="eastAsia" w:ascii="Times New Roman" w:hAnsi="Times New Roman" w:eastAsia="宋体"/>
                <w:color w:val="auto"/>
                <w:highlight w:val="none"/>
                <w:lang w:val="en-US" w:eastAsia="zh-CN"/>
              </w:rPr>
              <w:t>排放</w:t>
            </w:r>
            <w:r>
              <w:rPr>
                <w:rFonts w:hint="eastAsia" w:ascii="Times New Roman" w:hAnsi="Times New Roman" w:eastAsia="宋体"/>
                <w:color w:val="auto"/>
                <w:highlight w:val="none"/>
                <w:lang w:val="en-US"/>
              </w:rPr>
              <w:t>尾水</w:t>
            </w:r>
            <w:r>
              <w:rPr>
                <w:rFonts w:hint="eastAsia" w:ascii="Times New Roman" w:hAnsi="Times New Roman" w:eastAsia="宋体"/>
                <w:color w:val="auto"/>
                <w:highlight w:val="none"/>
                <w:lang w:val="en-US" w:eastAsia="zh-CN"/>
              </w:rPr>
              <w:t>执行《城镇污水处理厂污染物排放标准》（GB18918-2002）中一级A标准</w:t>
            </w:r>
            <w:r>
              <w:rPr>
                <w:rFonts w:hint="eastAsia" w:ascii="Times New Roman" w:hAnsi="Times New Roman" w:eastAsia="宋体"/>
                <w:color w:val="auto"/>
                <w:highlight w:val="none"/>
                <w:lang w:val="en-US"/>
              </w:rPr>
              <w:t>。具体见下表：</w:t>
            </w:r>
          </w:p>
          <w:p w14:paraId="2815A9E7">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表3-</w:t>
            </w:r>
            <w:r>
              <w:rPr>
                <w:rFonts w:hint="eastAsia"/>
                <w:color w:val="auto"/>
                <w:highlight w:val="none"/>
                <w:lang w:val="en-US" w:eastAsia="zh-CN"/>
              </w:rPr>
              <w:t>11空港</w:t>
            </w:r>
            <w:r>
              <w:rPr>
                <w:rFonts w:hint="default" w:ascii="Times New Roman" w:hAnsi="Times New Roman" w:eastAsia="宋体"/>
                <w:color w:val="auto"/>
                <w:highlight w:val="none"/>
              </w:rPr>
              <w:t>污水处理厂尾水排放标准单位：mg/L</w:t>
            </w:r>
            <w:r>
              <w:rPr>
                <w:rFonts w:hint="eastAsia"/>
                <w:color w:val="auto"/>
                <w:highlight w:val="none"/>
                <w:lang w:eastAsia="zh-CN"/>
              </w:rPr>
              <w:t>，</w:t>
            </w:r>
            <w:r>
              <w:rPr>
                <w:rFonts w:hint="default" w:ascii="Times New Roman" w:hAnsi="Times New Roman" w:eastAsia="宋体"/>
                <w:color w:val="auto"/>
                <w:highlight w:val="none"/>
              </w:rPr>
              <w:t>pH无量纲</w:t>
            </w:r>
          </w:p>
          <w:tbl>
            <w:tblPr>
              <w:tblStyle w:val="16"/>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180"/>
              <w:gridCol w:w="788"/>
              <w:gridCol w:w="733"/>
              <w:gridCol w:w="734"/>
              <w:gridCol w:w="652"/>
              <w:gridCol w:w="1032"/>
              <w:gridCol w:w="853"/>
              <w:gridCol w:w="924"/>
              <w:gridCol w:w="925"/>
            </w:tblGrid>
            <w:tr w14:paraId="2AA618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80" w:type="dxa"/>
                  <w:tcBorders>
                    <w:tl2br w:val="nil"/>
                    <w:tr2bl w:val="nil"/>
                  </w:tcBorders>
                  <w:vAlign w:val="center"/>
                </w:tcPr>
                <w:p w14:paraId="6223C9B9">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污染物</w:t>
                  </w:r>
                </w:p>
              </w:tc>
              <w:tc>
                <w:tcPr>
                  <w:tcW w:w="788" w:type="dxa"/>
                  <w:tcBorders>
                    <w:tl2br w:val="nil"/>
                    <w:tr2bl w:val="nil"/>
                  </w:tcBorders>
                  <w:vAlign w:val="center"/>
                </w:tcPr>
                <w:p w14:paraId="11FEB100">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color w:val="auto"/>
                      <w:highlight w:val="none"/>
                    </w:rPr>
                    <w:t>pH</w:t>
                  </w:r>
                </w:p>
              </w:tc>
              <w:tc>
                <w:tcPr>
                  <w:tcW w:w="733" w:type="dxa"/>
                  <w:tcBorders>
                    <w:tl2br w:val="nil"/>
                    <w:tr2bl w:val="nil"/>
                  </w:tcBorders>
                  <w:vAlign w:val="center"/>
                </w:tcPr>
                <w:p w14:paraId="72D90AF7">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color w:val="auto"/>
                      <w:highlight w:val="none"/>
                    </w:rPr>
                    <w:t>COD</w:t>
                  </w:r>
                </w:p>
              </w:tc>
              <w:tc>
                <w:tcPr>
                  <w:tcW w:w="734" w:type="dxa"/>
                  <w:tcBorders>
                    <w:tl2br w:val="nil"/>
                    <w:tr2bl w:val="nil"/>
                  </w:tcBorders>
                  <w:vAlign w:val="center"/>
                </w:tcPr>
                <w:p w14:paraId="2206040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vertAlign w:val="subscript"/>
                      <w:lang w:val="en-US" w:eastAsia="zh-CN"/>
                    </w:rPr>
                  </w:pPr>
                  <w:r>
                    <w:rPr>
                      <w:rFonts w:hint="eastAsia"/>
                      <w:color w:val="auto"/>
                      <w:highlight w:val="none"/>
                      <w:lang w:val="en-US" w:eastAsia="zh-CN"/>
                    </w:rPr>
                    <w:t>BOD</w:t>
                  </w:r>
                  <w:r>
                    <w:rPr>
                      <w:rFonts w:hint="eastAsia"/>
                      <w:color w:val="auto"/>
                      <w:highlight w:val="none"/>
                      <w:vertAlign w:val="subscript"/>
                      <w:lang w:val="en-US" w:eastAsia="zh-CN"/>
                    </w:rPr>
                    <w:t>5</w:t>
                  </w:r>
                </w:p>
              </w:tc>
              <w:tc>
                <w:tcPr>
                  <w:tcW w:w="652" w:type="dxa"/>
                  <w:tcBorders>
                    <w:tl2br w:val="nil"/>
                    <w:tr2bl w:val="nil"/>
                  </w:tcBorders>
                  <w:vAlign w:val="center"/>
                </w:tcPr>
                <w:p w14:paraId="0B8687E4">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color w:val="auto"/>
                      <w:highlight w:val="none"/>
                    </w:rPr>
                    <w:t>SS</w:t>
                  </w:r>
                </w:p>
              </w:tc>
              <w:tc>
                <w:tcPr>
                  <w:tcW w:w="1032" w:type="dxa"/>
                  <w:tcBorders>
                    <w:tl2br w:val="nil"/>
                    <w:tr2bl w:val="nil"/>
                  </w:tcBorders>
                  <w:vAlign w:val="center"/>
                </w:tcPr>
                <w:p w14:paraId="4317E781">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color w:val="auto"/>
                      <w:highlight w:val="none"/>
                    </w:rPr>
                    <w:t>NH</w:t>
                  </w:r>
                  <w:r>
                    <w:rPr>
                      <w:rFonts w:hint="default" w:ascii="Times New Roman" w:hAnsi="Times New Roman" w:eastAsia="宋体"/>
                      <w:color w:val="auto"/>
                      <w:highlight w:val="none"/>
                      <w:vertAlign w:val="subscript"/>
                    </w:rPr>
                    <w:t>3</w:t>
                  </w:r>
                  <w:r>
                    <w:rPr>
                      <w:rFonts w:hint="default" w:ascii="Times New Roman" w:hAnsi="Times New Roman" w:eastAsia="宋体"/>
                      <w:color w:val="auto"/>
                      <w:highlight w:val="none"/>
                    </w:rPr>
                    <w:t>-N</w:t>
                  </w:r>
                </w:p>
              </w:tc>
              <w:tc>
                <w:tcPr>
                  <w:tcW w:w="853" w:type="dxa"/>
                  <w:tcBorders>
                    <w:tl2br w:val="nil"/>
                    <w:tr2bl w:val="nil"/>
                  </w:tcBorders>
                  <w:vAlign w:val="center"/>
                </w:tcPr>
                <w:p w14:paraId="07192A1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TN</w:t>
                  </w:r>
                </w:p>
              </w:tc>
              <w:tc>
                <w:tcPr>
                  <w:tcW w:w="924" w:type="dxa"/>
                  <w:tcBorders>
                    <w:tl2br w:val="nil"/>
                    <w:tr2bl w:val="nil"/>
                  </w:tcBorders>
                  <w:vAlign w:val="center"/>
                </w:tcPr>
                <w:p w14:paraId="6B7163B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TP</w:t>
                  </w:r>
                </w:p>
              </w:tc>
              <w:tc>
                <w:tcPr>
                  <w:tcW w:w="925" w:type="dxa"/>
                  <w:tcBorders>
                    <w:tl2br w:val="nil"/>
                    <w:tr2bl w:val="nil"/>
                  </w:tcBorders>
                  <w:vAlign w:val="center"/>
                </w:tcPr>
                <w:p w14:paraId="278BA964">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动植物油</w:t>
                  </w:r>
                </w:p>
              </w:tc>
            </w:tr>
            <w:tr w14:paraId="3F4E98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80" w:type="dxa"/>
                  <w:tcBorders>
                    <w:tl2br w:val="nil"/>
                    <w:tr2bl w:val="nil"/>
                  </w:tcBorders>
                  <w:vAlign w:val="center"/>
                </w:tcPr>
                <w:p w14:paraId="0763F88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b/>
                      <w:bCs/>
                      <w:color w:val="auto"/>
                      <w:highlight w:val="none"/>
                    </w:rPr>
                    <w:t>排放标准</w:t>
                  </w:r>
                </w:p>
              </w:tc>
              <w:tc>
                <w:tcPr>
                  <w:tcW w:w="788" w:type="dxa"/>
                  <w:tcBorders>
                    <w:tl2br w:val="nil"/>
                    <w:tr2bl w:val="nil"/>
                  </w:tcBorders>
                  <w:vAlign w:val="center"/>
                </w:tcPr>
                <w:p w14:paraId="2141F48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6-9</w:t>
                  </w:r>
                </w:p>
              </w:tc>
              <w:tc>
                <w:tcPr>
                  <w:tcW w:w="733" w:type="dxa"/>
                  <w:tcBorders>
                    <w:tl2br w:val="nil"/>
                    <w:tr2bl w:val="nil"/>
                  </w:tcBorders>
                  <w:vAlign w:val="center"/>
                </w:tcPr>
                <w:p w14:paraId="7A4F0D0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50</w:t>
                  </w:r>
                </w:p>
              </w:tc>
              <w:tc>
                <w:tcPr>
                  <w:tcW w:w="734" w:type="dxa"/>
                  <w:tcBorders>
                    <w:tl2br w:val="nil"/>
                    <w:tr2bl w:val="nil"/>
                  </w:tcBorders>
                  <w:vAlign w:val="center"/>
                </w:tcPr>
                <w:p w14:paraId="1488C886">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10</w:t>
                  </w:r>
                </w:p>
              </w:tc>
              <w:tc>
                <w:tcPr>
                  <w:tcW w:w="652" w:type="dxa"/>
                  <w:tcBorders>
                    <w:tl2br w:val="nil"/>
                    <w:tr2bl w:val="nil"/>
                  </w:tcBorders>
                  <w:vAlign w:val="center"/>
                </w:tcPr>
                <w:p w14:paraId="45B3968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10</w:t>
                  </w:r>
                </w:p>
              </w:tc>
              <w:tc>
                <w:tcPr>
                  <w:tcW w:w="1032" w:type="dxa"/>
                  <w:tcBorders>
                    <w:tl2br w:val="nil"/>
                    <w:tr2bl w:val="nil"/>
                  </w:tcBorders>
                  <w:vAlign w:val="center"/>
                </w:tcPr>
                <w:p w14:paraId="15A3139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color w:val="auto"/>
                      <w:highlight w:val="none"/>
                      <w:lang w:val="en-US" w:eastAsia="zh-CN"/>
                    </w:rPr>
                    <w:t>5</w:t>
                  </w:r>
                  <w:r>
                    <w:rPr>
                      <w:rFonts w:hint="eastAsia" w:ascii="Times New Roman" w:hAnsi="Times New Roman" w:eastAsia="宋体"/>
                      <w:color w:val="auto"/>
                      <w:highlight w:val="none"/>
                      <w:lang w:eastAsia="zh-CN"/>
                    </w:rPr>
                    <w:t>(</w:t>
                  </w:r>
                  <w:r>
                    <w:rPr>
                      <w:rFonts w:hint="eastAsia"/>
                      <w:color w:val="auto"/>
                      <w:highlight w:val="none"/>
                      <w:lang w:val="en-US" w:eastAsia="zh-CN"/>
                    </w:rPr>
                    <w:t>8</w:t>
                  </w:r>
                  <w:r>
                    <w:rPr>
                      <w:rFonts w:hint="eastAsia" w:ascii="Times New Roman" w:hAnsi="Times New Roman" w:eastAsia="宋体"/>
                      <w:color w:val="auto"/>
                      <w:highlight w:val="none"/>
                      <w:lang w:eastAsia="zh-CN"/>
                    </w:rPr>
                    <w:t>)</w:t>
                  </w:r>
                  <w:r>
                    <w:rPr>
                      <w:rFonts w:hint="default" w:ascii="Times New Roman" w:hAnsi="Times New Roman" w:eastAsia="宋体"/>
                      <w:color w:val="auto"/>
                      <w:highlight w:val="none"/>
                    </w:rPr>
                    <w:t>*</w:t>
                  </w:r>
                </w:p>
              </w:tc>
              <w:tc>
                <w:tcPr>
                  <w:tcW w:w="853" w:type="dxa"/>
                  <w:tcBorders>
                    <w:tl2br w:val="nil"/>
                    <w:tr2bl w:val="nil"/>
                  </w:tcBorders>
                  <w:vAlign w:val="center"/>
                </w:tcPr>
                <w:p w14:paraId="2C341B9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15</w:t>
                  </w:r>
                </w:p>
              </w:tc>
              <w:tc>
                <w:tcPr>
                  <w:tcW w:w="924" w:type="dxa"/>
                  <w:tcBorders>
                    <w:tl2br w:val="nil"/>
                    <w:tr2bl w:val="nil"/>
                  </w:tcBorders>
                  <w:vAlign w:val="center"/>
                </w:tcPr>
                <w:p w14:paraId="66135A7A">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eastAsia="zh-CN"/>
                    </w:rPr>
                  </w:pPr>
                  <w:r>
                    <w:rPr>
                      <w:rFonts w:hint="default" w:ascii="Times New Roman" w:hAnsi="Times New Roman" w:eastAsia="宋体"/>
                      <w:color w:val="auto"/>
                      <w:highlight w:val="none"/>
                    </w:rPr>
                    <w:t>0.</w:t>
                  </w:r>
                  <w:r>
                    <w:rPr>
                      <w:rFonts w:hint="eastAsia"/>
                      <w:color w:val="auto"/>
                      <w:highlight w:val="none"/>
                      <w:lang w:val="en-US" w:eastAsia="zh-CN"/>
                    </w:rPr>
                    <w:t>5</w:t>
                  </w:r>
                </w:p>
              </w:tc>
              <w:tc>
                <w:tcPr>
                  <w:tcW w:w="925" w:type="dxa"/>
                  <w:tcBorders>
                    <w:tl2br w:val="nil"/>
                    <w:tr2bl w:val="nil"/>
                  </w:tcBorders>
                  <w:vAlign w:val="center"/>
                </w:tcPr>
                <w:p w14:paraId="7D3CF125">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1</w:t>
                  </w:r>
                </w:p>
              </w:tc>
            </w:tr>
          </w:tbl>
          <w:p w14:paraId="2BCC7B24">
            <w:pPr>
              <w:keepNext w:val="0"/>
              <w:keepLines w:val="0"/>
              <w:suppressLineNumbers w:val="0"/>
              <w:spacing w:before="0" w:beforeAutospacing="0" w:after="0" w:afterAutospacing="0"/>
              <w:ind w:left="0" w:right="0" w:firstLine="0" w:firstLineChars="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注：括号外数值为水温＞12℃时的控制指标，括号内数值为水温≤12℃时的控制指标。</w:t>
            </w:r>
          </w:p>
          <w:p w14:paraId="5E9CE97F">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3、噪声排放标准</w:t>
            </w:r>
          </w:p>
          <w:p w14:paraId="44B689AC">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rPr>
            </w:pPr>
            <w:r>
              <w:rPr>
                <w:rFonts w:hint="eastAsia"/>
                <w:color w:val="auto"/>
                <w:highlight w:val="none"/>
                <w:lang w:val="en-US" w:eastAsia="zh-CN"/>
              </w:rPr>
              <w:t>根据《江宁经济技术开发区声环境功能区划》，</w:t>
            </w:r>
            <w:r>
              <w:rPr>
                <w:rFonts w:hint="eastAsia" w:ascii="Times New Roman" w:hAnsi="Times New Roman" w:eastAsia="宋体"/>
                <w:color w:val="auto"/>
                <w:highlight w:val="none"/>
                <w:lang w:val="en-US"/>
              </w:rPr>
              <w:t>本项目</w:t>
            </w:r>
            <w:r>
              <w:rPr>
                <w:rFonts w:hint="eastAsia"/>
                <w:color w:val="auto"/>
                <w:highlight w:val="none"/>
                <w:lang w:val="en-US" w:eastAsia="zh-CN"/>
              </w:rPr>
              <w:t>位于声环境功能3类区（江宁经济技术开发区声环境功能区划图见附图10），</w:t>
            </w:r>
            <w:r>
              <w:rPr>
                <w:rFonts w:hint="eastAsia" w:ascii="Times New Roman" w:hAnsi="Times New Roman" w:eastAsia="宋体"/>
                <w:color w:val="auto"/>
                <w:highlight w:val="none"/>
                <w:lang w:val="en-US"/>
              </w:rPr>
              <w:t>厂界噪声执行《工业企业厂界环境噪声排放标准》（GB12348-2008）</w:t>
            </w:r>
            <w:r>
              <w:rPr>
                <w:rFonts w:hint="eastAsia"/>
                <w:color w:val="auto"/>
                <w:highlight w:val="none"/>
                <w:lang w:val="en-US" w:eastAsia="zh-CN"/>
              </w:rPr>
              <w:t>3</w:t>
            </w:r>
            <w:r>
              <w:rPr>
                <w:rFonts w:hint="eastAsia" w:ascii="Times New Roman" w:hAnsi="Times New Roman" w:eastAsia="宋体"/>
                <w:color w:val="auto"/>
                <w:highlight w:val="none"/>
                <w:lang w:val="en-US"/>
              </w:rPr>
              <w:t>类标准，具体标准限值见下表：</w:t>
            </w:r>
          </w:p>
          <w:p w14:paraId="2337FD3B">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ascii="Times New Roman" w:hAnsi="Times New Roman" w:eastAsia="宋体"/>
                <w:color w:val="auto"/>
                <w:highlight w:val="none"/>
              </w:rPr>
              <w:t>表3-</w:t>
            </w:r>
            <w:r>
              <w:rPr>
                <w:rFonts w:hint="eastAsia"/>
                <w:color w:val="auto"/>
                <w:highlight w:val="none"/>
                <w:lang w:val="en-US" w:eastAsia="zh-CN"/>
              </w:rPr>
              <w:t>12</w:t>
            </w:r>
            <w:r>
              <w:rPr>
                <w:rFonts w:ascii="Times New Roman" w:hAnsi="Times New Roman" w:eastAsia="宋体"/>
                <w:color w:val="auto"/>
                <w:highlight w:val="none"/>
              </w:rPr>
              <w:t>《工业企业厂界环境噪声排放标准》（GB12348-2008）</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2567"/>
              <w:gridCol w:w="2627"/>
              <w:gridCol w:w="2627"/>
            </w:tblGrid>
            <w:tr w14:paraId="561E5C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079" w:type="dxa"/>
                  <w:tcBorders>
                    <w:tl2br w:val="nil"/>
                    <w:tr2bl w:val="nil"/>
                  </w:tcBorders>
                  <w:shd w:val="clear" w:color="auto" w:fill="auto"/>
                  <w:vAlign w:val="center"/>
                </w:tcPr>
                <w:p w14:paraId="35FA75C9">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类别</w:t>
                  </w:r>
                </w:p>
              </w:tc>
              <w:tc>
                <w:tcPr>
                  <w:tcW w:w="1104" w:type="dxa"/>
                  <w:tcBorders>
                    <w:tl2br w:val="nil"/>
                    <w:tr2bl w:val="nil"/>
                  </w:tcBorders>
                  <w:shd w:val="clear" w:color="auto" w:fill="auto"/>
                  <w:vAlign w:val="center"/>
                </w:tcPr>
                <w:p w14:paraId="64856015">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eastAsia" w:ascii="Times New Roman" w:hAnsi="Times New Roman" w:eastAsia="宋体"/>
                      <w:b/>
                      <w:bCs/>
                      <w:color w:val="auto"/>
                      <w:highlight w:val="none"/>
                      <w:lang w:val="en-US"/>
                    </w:rPr>
                    <w:t>昼间（dB（A））</w:t>
                  </w:r>
                </w:p>
              </w:tc>
              <w:tc>
                <w:tcPr>
                  <w:tcW w:w="1104" w:type="dxa"/>
                  <w:tcBorders>
                    <w:tl2br w:val="nil"/>
                    <w:tr2bl w:val="nil"/>
                  </w:tcBorders>
                  <w:shd w:val="clear" w:color="auto" w:fill="auto"/>
                  <w:vAlign w:val="center"/>
                </w:tcPr>
                <w:p w14:paraId="6BC3EB14">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eastAsia" w:ascii="Times New Roman" w:hAnsi="Times New Roman" w:eastAsia="宋体"/>
                      <w:b/>
                      <w:bCs/>
                      <w:color w:val="auto"/>
                      <w:highlight w:val="none"/>
                      <w:lang w:val="en-US"/>
                    </w:rPr>
                    <w:t>夜间（dB（A））</w:t>
                  </w:r>
                </w:p>
              </w:tc>
            </w:tr>
            <w:tr w14:paraId="2E94C9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079" w:type="dxa"/>
                  <w:tcBorders>
                    <w:tl2br w:val="nil"/>
                    <w:tr2bl w:val="nil"/>
                  </w:tcBorders>
                  <w:shd w:val="clear" w:color="auto" w:fill="auto"/>
                  <w:vAlign w:val="center"/>
                </w:tcPr>
                <w:p w14:paraId="65C4B73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color w:val="auto"/>
                      <w:highlight w:val="none"/>
                      <w:lang w:val="en-US" w:eastAsia="zh-CN"/>
                    </w:rPr>
                    <w:t>3</w:t>
                  </w:r>
                  <w:r>
                    <w:rPr>
                      <w:rFonts w:hint="eastAsia" w:ascii="Times New Roman" w:hAnsi="Times New Roman" w:eastAsia="宋体"/>
                      <w:color w:val="auto"/>
                      <w:highlight w:val="none"/>
                    </w:rPr>
                    <w:t>类</w:t>
                  </w:r>
                </w:p>
              </w:tc>
              <w:tc>
                <w:tcPr>
                  <w:tcW w:w="1104" w:type="dxa"/>
                  <w:tcBorders>
                    <w:tl2br w:val="nil"/>
                    <w:tr2bl w:val="nil"/>
                  </w:tcBorders>
                  <w:shd w:val="clear" w:color="auto" w:fill="auto"/>
                  <w:vAlign w:val="center"/>
                </w:tcPr>
                <w:p w14:paraId="46B5C83E">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default" w:ascii="Times New Roman" w:hAnsi="Times New Roman" w:eastAsia="宋体"/>
                      <w:color w:val="auto"/>
                      <w:highlight w:val="none"/>
                      <w:lang w:val="en-US"/>
                    </w:rPr>
                    <w:t>6</w:t>
                  </w:r>
                  <w:r>
                    <w:rPr>
                      <w:rFonts w:hint="eastAsia"/>
                      <w:color w:val="auto"/>
                      <w:highlight w:val="none"/>
                      <w:lang w:val="en-US" w:eastAsia="zh-CN"/>
                    </w:rPr>
                    <w:t>5</w:t>
                  </w:r>
                </w:p>
              </w:tc>
              <w:tc>
                <w:tcPr>
                  <w:tcW w:w="1104" w:type="dxa"/>
                  <w:tcBorders>
                    <w:tl2br w:val="nil"/>
                    <w:tr2bl w:val="nil"/>
                  </w:tcBorders>
                  <w:shd w:val="clear" w:color="auto" w:fill="auto"/>
                  <w:vAlign w:val="center"/>
                </w:tcPr>
                <w:p w14:paraId="46CFD7C0">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rPr>
                    <w:t>5</w:t>
                  </w:r>
                  <w:r>
                    <w:rPr>
                      <w:rFonts w:hint="eastAsia"/>
                      <w:color w:val="auto"/>
                      <w:highlight w:val="none"/>
                      <w:lang w:val="en-US" w:eastAsia="zh-CN"/>
                    </w:rPr>
                    <w:t>5</w:t>
                  </w:r>
                </w:p>
              </w:tc>
            </w:tr>
          </w:tbl>
          <w:p w14:paraId="1D0E8A47">
            <w:pPr>
              <w:keepNext w:val="0"/>
              <w:keepLines w:val="0"/>
              <w:suppressLineNumbers w:val="0"/>
              <w:spacing w:before="0" w:beforeAutospacing="0" w:after="0" w:afterAutospacing="0"/>
              <w:ind w:left="0" w:right="0" w:firstLine="422"/>
              <w:rPr>
                <w:rFonts w:hint="default" w:ascii="Times New Roman" w:hAnsi="Times New Roman" w:eastAsia="宋体"/>
                <w:b/>
                <w:bCs/>
                <w:color w:val="auto"/>
                <w:sz w:val="21"/>
                <w:szCs w:val="21"/>
                <w:highlight w:val="none"/>
                <w:lang w:val="en-US"/>
              </w:rPr>
            </w:pPr>
            <w:r>
              <w:rPr>
                <w:rFonts w:hint="eastAsia" w:ascii="Times New Roman" w:hAnsi="Times New Roman" w:eastAsia="宋体"/>
                <w:b/>
                <w:bCs/>
                <w:color w:val="auto"/>
                <w:sz w:val="21"/>
                <w:szCs w:val="21"/>
                <w:highlight w:val="none"/>
                <w:lang w:val="en-US"/>
              </w:rPr>
              <w:t>注：昼间指每日06:00~22:00，夜间指22:00～次日06:00。</w:t>
            </w:r>
          </w:p>
          <w:p w14:paraId="51DB803C">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4、固废</w:t>
            </w:r>
          </w:p>
          <w:p w14:paraId="6CD371B5">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color w:val="auto"/>
                <w:highlight w:val="none"/>
                <w:lang w:val="en-US"/>
              </w:rPr>
              <w:t>本项目危险废物贮存执行《危险废物贮存污染控制标准》（GB18597-2023）、《江苏省固体废物全过程环境监管工作意见》（苏环办〔2024〕16号）、《关于做好江苏省危险废物全生命周期监控系统上线运行工作的通知》（苏环办〔2020〕401号）相关要求；危险废物的收集、贮存、运输过程执行《危险废物收集贮存运输技术规范》（HJ2025-2012）相关要求</w:t>
            </w:r>
            <w:r>
              <w:rPr>
                <w:rFonts w:hint="eastAsia"/>
                <w:color w:val="auto"/>
                <w:highlight w:val="none"/>
                <w:lang w:val="en-US" w:eastAsia="zh-CN"/>
              </w:rPr>
              <w:t>。</w:t>
            </w:r>
            <w:r>
              <w:rPr>
                <w:rFonts w:hint="eastAsia"/>
                <w:color w:val="auto"/>
                <w:highlight w:val="none"/>
                <w:lang w:val="en-US"/>
              </w:rPr>
              <w:t>一般工业固废</w:t>
            </w:r>
            <w:r>
              <w:rPr>
                <w:rFonts w:hint="eastAsia"/>
                <w:color w:val="auto"/>
                <w:highlight w:val="none"/>
                <w:lang w:val="en-US" w:eastAsia="zh-CN"/>
              </w:rPr>
              <w:t>在室内</w:t>
            </w:r>
            <w:r>
              <w:rPr>
                <w:rFonts w:hint="eastAsia"/>
                <w:color w:val="auto"/>
                <w:highlight w:val="none"/>
                <w:lang w:val="en-US"/>
              </w:rPr>
              <w:t>贮存</w:t>
            </w:r>
            <w:r>
              <w:rPr>
                <w:rFonts w:hint="eastAsia"/>
                <w:color w:val="auto"/>
                <w:highlight w:val="none"/>
                <w:lang w:val="en-US" w:eastAsia="zh-CN"/>
              </w:rPr>
              <w:t>，</w:t>
            </w:r>
            <w:r>
              <w:rPr>
                <w:rFonts w:hint="eastAsia"/>
                <w:color w:val="auto"/>
                <w:highlight w:val="none"/>
              </w:rPr>
              <w:t>满足相应防渗漏、防雨淋、防扬尘等环境保护要求</w:t>
            </w:r>
            <w:r>
              <w:rPr>
                <w:rFonts w:hint="eastAsia"/>
                <w:color w:val="auto"/>
                <w:highlight w:val="none"/>
                <w:lang w:val="en-US"/>
              </w:rPr>
              <w:t>。</w:t>
            </w:r>
          </w:p>
        </w:tc>
      </w:tr>
      <w:tr w14:paraId="734B65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454" w:type="dxa"/>
            <w:tcMar>
              <w:top w:w="16" w:type="dxa"/>
              <w:left w:w="16" w:type="dxa"/>
              <w:right w:w="16" w:type="dxa"/>
            </w:tcMar>
            <w:vAlign w:val="center"/>
          </w:tcPr>
          <w:p w14:paraId="48CCA4F4">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总量控制指标</w:t>
            </w:r>
          </w:p>
        </w:tc>
        <w:tc>
          <w:tcPr>
            <w:tcW w:w="7878" w:type="dxa"/>
            <w:vAlign w:val="center"/>
          </w:tcPr>
          <w:p w14:paraId="6DE11016">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1、总量控制指标</w:t>
            </w:r>
          </w:p>
          <w:p w14:paraId="6E3307F6">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根据本项目排污特征，确定总量控制及考核因子为：</w:t>
            </w:r>
          </w:p>
          <w:p w14:paraId="36C55ED4">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（1）废水</w:t>
            </w:r>
          </w:p>
          <w:p w14:paraId="4CD3CB99">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总量考核因子（</w:t>
            </w:r>
            <w:r>
              <w:rPr>
                <w:rFonts w:hint="eastAsia" w:ascii="Times New Roman" w:hAnsi="Times New Roman" w:eastAsia="宋体"/>
                <w:color w:val="auto"/>
                <w:highlight w:val="none"/>
                <w:lang w:val="en-US"/>
              </w:rPr>
              <w:t>最终外排</w:t>
            </w:r>
            <w:r>
              <w:rPr>
                <w:rFonts w:hint="default" w:ascii="Times New Roman" w:hAnsi="Times New Roman" w:eastAsia="宋体"/>
                <w:color w:val="auto"/>
                <w:highlight w:val="none"/>
                <w:lang w:val="en-US"/>
              </w:rPr>
              <w:t>量）：SS</w:t>
            </w:r>
            <w:r>
              <w:rPr>
                <w:rFonts w:hint="eastAsia"/>
                <w:color w:val="auto"/>
                <w:highlight w:val="none"/>
                <w:lang w:val="en-US" w:eastAsia="zh-CN"/>
              </w:rPr>
              <w:t>1.407</w:t>
            </w:r>
            <w:r>
              <w:rPr>
                <w:rFonts w:hint="default" w:ascii="Times New Roman" w:hAnsi="Times New Roman" w:eastAsia="宋体"/>
                <w:color w:val="auto"/>
                <w:highlight w:val="none"/>
                <w:lang w:val="en-US"/>
              </w:rPr>
              <w:t>t/a、TN</w:t>
            </w:r>
            <w:r>
              <w:rPr>
                <w:rFonts w:hint="eastAsia"/>
                <w:color w:val="auto"/>
                <w:highlight w:val="none"/>
                <w:lang w:val="en-US" w:eastAsia="zh-CN"/>
              </w:rPr>
              <w:t>1468</w:t>
            </w:r>
            <w:r>
              <w:rPr>
                <w:rFonts w:hint="default" w:ascii="Times New Roman" w:hAnsi="Times New Roman" w:eastAsia="宋体"/>
                <w:color w:val="auto"/>
                <w:highlight w:val="none"/>
                <w:lang w:val="en-US"/>
              </w:rPr>
              <w:t>t/a</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TP0.0</w:t>
            </w:r>
            <w:r>
              <w:rPr>
                <w:rFonts w:hint="eastAsia"/>
                <w:color w:val="auto"/>
                <w:highlight w:val="none"/>
                <w:lang w:val="en-US" w:eastAsia="zh-CN"/>
              </w:rPr>
              <w:t>7</w:t>
            </w:r>
            <w:r>
              <w:rPr>
                <w:rFonts w:hint="default" w:ascii="Times New Roman" w:hAnsi="Times New Roman" w:eastAsia="宋体"/>
                <w:color w:val="auto"/>
                <w:highlight w:val="none"/>
                <w:lang w:val="en-US"/>
              </w:rPr>
              <w:t>t/a</w:t>
            </w:r>
            <w:r>
              <w:rPr>
                <w:rFonts w:hint="eastAsia"/>
                <w:color w:val="auto"/>
                <w:highlight w:val="none"/>
                <w:lang w:val="en-US" w:eastAsia="zh-CN"/>
              </w:rPr>
              <w:t>、动植物油0.031t/a</w:t>
            </w:r>
            <w:r>
              <w:rPr>
                <w:rFonts w:hint="default" w:ascii="Times New Roman" w:hAnsi="Times New Roman" w:eastAsia="宋体"/>
                <w:color w:val="auto"/>
                <w:highlight w:val="none"/>
                <w:lang w:val="en-US"/>
              </w:rPr>
              <w:t>；</w:t>
            </w:r>
          </w:p>
          <w:p w14:paraId="74368B97">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总量控制因子（</w:t>
            </w:r>
            <w:r>
              <w:rPr>
                <w:rFonts w:hint="eastAsia" w:ascii="Times New Roman" w:hAnsi="Times New Roman" w:eastAsia="宋体"/>
                <w:color w:val="auto"/>
                <w:highlight w:val="none"/>
                <w:lang w:val="en-US"/>
              </w:rPr>
              <w:t>最终外排</w:t>
            </w:r>
            <w:r>
              <w:rPr>
                <w:rFonts w:hint="default" w:ascii="Times New Roman" w:hAnsi="Times New Roman" w:eastAsia="宋体"/>
                <w:color w:val="auto"/>
                <w:highlight w:val="none"/>
                <w:lang w:val="en-US"/>
              </w:rPr>
              <w:t>量）：COD</w:t>
            </w:r>
            <w:r>
              <w:rPr>
                <w:rFonts w:hint="eastAsia"/>
                <w:color w:val="auto"/>
                <w:highlight w:val="none"/>
                <w:lang w:val="en-US" w:eastAsia="zh-CN"/>
              </w:rPr>
              <w:t>7.034</w:t>
            </w:r>
            <w:r>
              <w:rPr>
                <w:rFonts w:hint="default" w:ascii="Times New Roman" w:hAnsi="Times New Roman" w:eastAsia="宋体"/>
                <w:color w:val="auto"/>
                <w:highlight w:val="none"/>
                <w:lang w:val="en-US"/>
              </w:rPr>
              <w:t>t/a、NH</w:t>
            </w:r>
            <w:r>
              <w:rPr>
                <w:rFonts w:hint="default" w:ascii="Times New Roman" w:hAnsi="Times New Roman" w:eastAsia="宋体"/>
                <w:color w:val="auto"/>
                <w:highlight w:val="none"/>
                <w:vertAlign w:val="subscript"/>
                <w:lang w:val="en-US"/>
              </w:rPr>
              <w:t>3</w:t>
            </w:r>
            <w:r>
              <w:rPr>
                <w:rFonts w:hint="default" w:ascii="Times New Roman" w:hAnsi="Times New Roman" w:eastAsia="宋体"/>
                <w:color w:val="auto"/>
                <w:highlight w:val="none"/>
                <w:lang w:val="en-US"/>
              </w:rPr>
              <w:t>-N0.</w:t>
            </w:r>
            <w:r>
              <w:rPr>
                <w:rFonts w:hint="eastAsia"/>
                <w:color w:val="auto"/>
                <w:highlight w:val="none"/>
                <w:lang w:val="en-US" w:eastAsia="zh-CN"/>
              </w:rPr>
              <w:t>703</w:t>
            </w:r>
            <w:r>
              <w:rPr>
                <w:rFonts w:hint="default" w:ascii="Times New Roman" w:hAnsi="Times New Roman" w:eastAsia="宋体"/>
                <w:color w:val="auto"/>
                <w:highlight w:val="none"/>
                <w:lang w:val="en-US"/>
              </w:rPr>
              <w:t>t/a</w:t>
            </w:r>
            <w:r>
              <w:rPr>
                <w:rFonts w:hint="eastAsia" w:ascii="Times New Roman" w:hAnsi="Times New Roman" w:eastAsia="宋体"/>
                <w:color w:val="auto"/>
                <w:highlight w:val="none"/>
                <w:lang w:val="en-US"/>
              </w:rPr>
              <w:t>；</w:t>
            </w:r>
          </w:p>
          <w:p w14:paraId="6B9605FB">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污染物排放量在江宁区水减排项目中平衡。</w:t>
            </w:r>
          </w:p>
          <w:p w14:paraId="75705E3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（2）废气</w:t>
            </w:r>
          </w:p>
          <w:p w14:paraId="72DAB9A5">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总量控制因子：</w:t>
            </w:r>
            <w:r>
              <w:rPr>
                <w:rFonts w:hint="eastAsia" w:ascii="Times New Roman" w:hAnsi="Times New Roman" w:eastAsia="宋体"/>
                <w:color w:val="auto"/>
                <w:highlight w:val="none"/>
                <w:lang w:val="en-US" w:eastAsia="zh-CN"/>
              </w:rPr>
              <w:t>非甲烷总烃</w:t>
            </w:r>
            <w:r>
              <w:rPr>
                <w:rFonts w:hint="eastAsia"/>
                <w:color w:val="auto"/>
                <w:highlight w:val="none"/>
                <w:lang w:val="en-US" w:eastAsia="zh-CN"/>
              </w:rPr>
              <w:t>0.56</w:t>
            </w:r>
            <w:r>
              <w:rPr>
                <w:rFonts w:hint="eastAsia" w:ascii="Times New Roman" w:hAnsi="Times New Roman" w:eastAsia="宋体"/>
                <w:color w:val="auto"/>
                <w:highlight w:val="none"/>
                <w:lang w:val="en-US" w:eastAsia="zh-CN"/>
              </w:rPr>
              <w:t>t/a（有组织+无组织）</w:t>
            </w:r>
            <w:r>
              <w:rPr>
                <w:rFonts w:hint="eastAsia" w:ascii="Times New Roman" w:hAnsi="Times New Roman" w:eastAsia="宋体"/>
                <w:color w:val="auto"/>
                <w:highlight w:val="none"/>
                <w:lang w:val="en-US"/>
              </w:rPr>
              <w:t>。</w:t>
            </w:r>
          </w:p>
          <w:p w14:paraId="4C10D72B">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污染物排放量在江宁范围内平衡。</w:t>
            </w:r>
          </w:p>
          <w:p w14:paraId="3D1B599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（3）固废</w:t>
            </w:r>
          </w:p>
          <w:p w14:paraId="030CC24E">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固体废物分类收集，妥善暂存，合理处置。</w:t>
            </w:r>
          </w:p>
          <w:p w14:paraId="6022327B">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2、污染物产生、排放情况汇总</w:t>
            </w:r>
          </w:p>
          <w:p w14:paraId="60DA04DB">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本项目污染物产生、排放汇总见</w:t>
            </w:r>
            <w:r>
              <w:rPr>
                <w:rFonts w:hint="eastAsia" w:ascii="Times New Roman" w:hAnsi="Times New Roman" w:eastAsia="宋体"/>
                <w:color w:val="auto"/>
                <w:highlight w:val="none"/>
                <w:lang w:val="en-US"/>
              </w:rPr>
              <w:t>下</w:t>
            </w:r>
            <w:r>
              <w:rPr>
                <w:rFonts w:hint="default" w:ascii="Times New Roman" w:hAnsi="Times New Roman" w:eastAsia="宋体"/>
                <w:color w:val="auto"/>
                <w:highlight w:val="none"/>
                <w:lang w:val="en-US"/>
              </w:rPr>
              <w:t>表</w:t>
            </w:r>
            <w:r>
              <w:rPr>
                <w:rFonts w:hint="eastAsia" w:ascii="Times New Roman" w:hAnsi="Times New Roman" w:eastAsia="宋体"/>
                <w:color w:val="auto"/>
                <w:highlight w:val="none"/>
                <w:lang w:val="en-US"/>
              </w:rPr>
              <w:t>：</w:t>
            </w:r>
          </w:p>
          <w:p w14:paraId="3A27A224">
            <w:pPr>
              <w:pStyle w:val="23"/>
              <w:keepNext w:val="0"/>
              <w:keepLines w:val="0"/>
              <w:suppressLineNumbers w:val="0"/>
              <w:bidi w:val="0"/>
              <w:spacing w:before="0" w:beforeAutospacing="0" w:after="0" w:afterAutospacing="0"/>
              <w:ind w:left="0" w:right="0"/>
              <w:rPr>
                <w:rFonts w:ascii="Times New Roman" w:hAnsi="Times New Roman" w:eastAsia="宋体"/>
                <w:color w:val="auto"/>
                <w:highlight w:val="none"/>
              </w:rPr>
            </w:pPr>
            <w:r>
              <w:rPr>
                <w:rFonts w:ascii="Times New Roman" w:hAnsi="Times New Roman" w:eastAsia="宋体"/>
                <w:color w:val="auto"/>
                <w:highlight w:val="none"/>
              </w:rPr>
              <w:t>表3-</w:t>
            </w:r>
            <w:r>
              <w:rPr>
                <w:rFonts w:hint="eastAsia"/>
                <w:color w:val="auto"/>
                <w:highlight w:val="none"/>
                <w:lang w:val="en-US" w:eastAsia="zh-CN"/>
              </w:rPr>
              <w:t>13</w:t>
            </w:r>
            <w:r>
              <w:rPr>
                <w:rFonts w:ascii="Times New Roman" w:hAnsi="Times New Roman" w:eastAsia="宋体"/>
                <w:color w:val="auto"/>
                <w:highlight w:val="none"/>
              </w:rPr>
              <w:t>全厂污染物排放产生及排放三本账（t/a）</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77"/>
              <w:gridCol w:w="2005"/>
              <w:gridCol w:w="1197"/>
              <w:gridCol w:w="1197"/>
              <w:gridCol w:w="1846"/>
            </w:tblGrid>
            <w:tr w14:paraId="683B92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1008" w:type="pct"/>
                  <w:vMerge w:val="restart"/>
                  <w:noWrap w:val="0"/>
                  <w:vAlign w:val="center"/>
                </w:tcPr>
                <w:p w14:paraId="37AC570E">
                  <w:pPr>
                    <w:pStyle w:val="21"/>
                    <w:keepNext w:val="0"/>
                    <w:keepLines w:val="0"/>
                    <w:suppressLineNumbers w:val="0"/>
                    <w:bidi w:val="0"/>
                    <w:spacing w:before="0" w:beforeAutospacing="0" w:after="0" w:afterAutospacing="0"/>
                    <w:ind w:left="0" w:right="0"/>
                    <w:jc w:val="center"/>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类别</w:t>
                  </w:r>
                </w:p>
              </w:tc>
              <w:tc>
                <w:tcPr>
                  <w:tcW w:w="1281" w:type="pct"/>
                  <w:vMerge w:val="restart"/>
                  <w:noWrap w:val="0"/>
                  <w:vAlign w:val="center"/>
                </w:tcPr>
                <w:p w14:paraId="46157BE7">
                  <w:pPr>
                    <w:pStyle w:val="21"/>
                    <w:keepNext w:val="0"/>
                    <w:keepLines w:val="0"/>
                    <w:suppressLineNumbers w:val="0"/>
                    <w:bidi w:val="0"/>
                    <w:spacing w:before="0" w:beforeAutospacing="0" w:after="0" w:afterAutospacing="0"/>
                    <w:ind w:left="0" w:right="0"/>
                    <w:jc w:val="center"/>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污染物名称</w:t>
                  </w:r>
                </w:p>
              </w:tc>
              <w:tc>
                <w:tcPr>
                  <w:tcW w:w="2710" w:type="pct"/>
                  <w:gridSpan w:val="3"/>
                  <w:noWrap w:val="0"/>
                  <w:vAlign w:val="center"/>
                </w:tcPr>
                <w:p w14:paraId="72DDF0E6">
                  <w:pPr>
                    <w:pStyle w:val="21"/>
                    <w:keepNext w:val="0"/>
                    <w:keepLines w:val="0"/>
                    <w:suppressLineNumbers w:val="0"/>
                    <w:bidi w:val="0"/>
                    <w:spacing w:before="0" w:beforeAutospacing="0" w:after="0" w:afterAutospacing="0"/>
                    <w:ind w:left="0" w:right="0"/>
                    <w:jc w:val="center"/>
                    <w:rPr>
                      <w:rFonts w:hint="eastAsia" w:ascii="Times New Roman" w:hAnsi="Times New Roman" w:eastAsia="宋体"/>
                      <w:b/>
                      <w:bCs/>
                      <w:color w:val="auto"/>
                      <w:highlight w:val="none"/>
                    </w:rPr>
                  </w:pPr>
                  <w:r>
                    <w:rPr>
                      <w:rFonts w:hint="eastAsia" w:ascii="Times New Roman" w:hAnsi="Times New Roman" w:eastAsia="宋体"/>
                      <w:b/>
                      <w:bCs/>
                      <w:color w:val="auto"/>
                      <w:highlight w:val="none"/>
                    </w:rPr>
                    <w:t>本次项目</w:t>
                  </w:r>
                </w:p>
              </w:tc>
            </w:tr>
            <w:tr w14:paraId="545212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1008" w:type="pct"/>
                  <w:vMerge w:val="continue"/>
                  <w:noWrap w:val="0"/>
                  <w:vAlign w:val="center"/>
                </w:tcPr>
                <w:p w14:paraId="7532CC4C">
                  <w:pPr>
                    <w:pStyle w:val="21"/>
                    <w:keepNext w:val="0"/>
                    <w:keepLines w:val="0"/>
                    <w:suppressLineNumbers w:val="0"/>
                    <w:bidi w:val="0"/>
                    <w:spacing w:before="0" w:beforeAutospacing="0" w:after="0" w:afterAutospacing="0"/>
                    <w:ind w:left="0" w:right="0"/>
                    <w:jc w:val="center"/>
                    <w:rPr>
                      <w:rFonts w:hint="default" w:ascii="Times New Roman" w:hAnsi="Times New Roman" w:eastAsia="宋体"/>
                      <w:color w:val="auto"/>
                      <w:highlight w:val="none"/>
                    </w:rPr>
                  </w:pPr>
                </w:p>
              </w:tc>
              <w:tc>
                <w:tcPr>
                  <w:tcW w:w="1281" w:type="pct"/>
                  <w:vMerge w:val="continue"/>
                  <w:noWrap w:val="0"/>
                  <w:vAlign w:val="center"/>
                </w:tcPr>
                <w:p w14:paraId="20747BC7">
                  <w:pPr>
                    <w:pStyle w:val="21"/>
                    <w:keepNext w:val="0"/>
                    <w:keepLines w:val="0"/>
                    <w:suppressLineNumbers w:val="0"/>
                    <w:bidi w:val="0"/>
                    <w:spacing w:before="0" w:beforeAutospacing="0" w:after="0" w:afterAutospacing="0"/>
                    <w:ind w:left="0" w:right="0"/>
                    <w:jc w:val="center"/>
                    <w:rPr>
                      <w:rFonts w:hint="default" w:ascii="Times New Roman" w:hAnsi="Times New Roman" w:eastAsia="宋体"/>
                      <w:color w:val="auto"/>
                      <w:highlight w:val="none"/>
                    </w:rPr>
                  </w:pPr>
                </w:p>
              </w:tc>
              <w:tc>
                <w:tcPr>
                  <w:tcW w:w="765" w:type="pct"/>
                  <w:noWrap w:val="0"/>
                  <w:vAlign w:val="center"/>
                </w:tcPr>
                <w:p w14:paraId="7AD98072">
                  <w:pPr>
                    <w:pStyle w:val="21"/>
                    <w:keepNext w:val="0"/>
                    <w:keepLines w:val="0"/>
                    <w:suppressLineNumbers w:val="0"/>
                    <w:bidi w:val="0"/>
                    <w:spacing w:before="0" w:beforeAutospacing="0" w:after="0" w:afterAutospacing="0"/>
                    <w:ind w:left="0" w:right="0"/>
                    <w:jc w:val="center"/>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产生量</w:t>
                  </w:r>
                </w:p>
              </w:tc>
              <w:tc>
                <w:tcPr>
                  <w:tcW w:w="765" w:type="pct"/>
                  <w:noWrap w:val="0"/>
                  <w:vAlign w:val="center"/>
                </w:tcPr>
                <w:p w14:paraId="62700A69">
                  <w:pPr>
                    <w:pStyle w:val="21"/>
                    <w:keepNext w:val="0"/>
                    <w:keepLines w:val="0"/>
                    <w:suppressLineNumbers w:val="0"/>
                    <w:bidi w:val="0"/>
                    <w:spacing w:before="0" w:beforeAutospacing="0" w:after="0" w:afterAutospacing="0"/>
                    <w:ind w:left="0" w:right="0"/>
                    <w:jc w:val="center"/>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削减量</w:t>
                  </w:r>
                </w:p>
              </w:tc>
              <w:tc>
                <w:tcPr>
                  <w:tcW w:w="1180" w:type="pct"/>
                  <w:noWrap w:val="0"/>
                  <w:vAlign w:val="center"/>
                </w:tcPr>
                <w:p w14:paraId="3AEE764B">
                  <w:pPr>
                    <w:pStyle w:val="21"/>
                    <w:keepNext w:val="0"/>
                    <w:keepLines w:val="0"/>
                    <w:suppressLineNumbers w:val="0"/>
                    <w:bidi w:val="0"/>
                    <w:spacing w:before="0" w:beforeAutospacing="0" w:after="0" w:afterAutospacing="0"/>
                    <w:ind w:left="0" w:right="0"/>
                    <w:jc w:val="center"/>
                    <w:rPr>
                      <w:rFonts w:hint="default" w:ascii="Times New Roman" w:hAnsi="Times New Roman" w:eastAsia="宋体"/>
                      <w:b/>
                      <w:bCs/>
                      <w:color w:val="auto"/>
                      <w:highlight w:val="none"/>
                      <w:lang w:val="en-US" w:eastAsia="zh-CN"/>
                    </w:rPr>
                  </w:pPr>
                  <w:r>
                    <w:rPr>
                      <w:rFonts w:hint="eastAsia" w:ascii="Times New Roman" w:hAnsi="Times New Roman" w:eastAsia="宋体"/>
                      <w:b/>
                      <w:bCs/>
                      <w:color w:val="auto"/>
                      <w:highlight w:val="none"/>
                      <w:lang w:val="en-US" w:eastAsia="zh-CN"/>
                    </w:rPr>
                    <w:t>排放量</w:t>
                  </w:r>
                </w:p>
              </w:tc>
            </w:tr>
            <w:tr w14:paraId="104B4D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1008" w:type="pct"/>
                  <w:vMerge w:val="restart"/>
                  <w:noWrap w:val="0"/>
                  <w:vAlign w:val="center"/>
                </w:tcPr>
                <w:p w14:paraId="4979CCB2">
                  <w:pPr>
                    <w:pStyle w:val="2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olor w:val="auto"/>
                      <w:highlight w:val="none"/>
                    </w:rPr>
                  </w:pPr>
                  <w:r>
                    <w:rPr>
                      <w:rFonts w:hint="default" w:ascii="Times New Roman" w:hAnsi="Times New Roman" w:eastAsia="宋体"/>
                      <w:color w:val="auto"/>
                      <w:highlight w:val="none"/>
                    </w:rPr>
                    <w:t>有组织废气</w:t>
                  </w:r>
                </w:p>
              </w:tc>
              <w:tc>
                <w:tcPr>
                  <w:tcW w:w="1281" w:type="pct"/>
                  <w:noWrap w:val="0"/>
                  <w:vAlign w:val="center"/>
                </w:tcPr>
                <w:p w14:paraId="16235494">
                  <w:pPr>
                    <w:pStyle w:val="21"/>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非甲烷总烃</w:t>
                  </w:r>
                </w:p>
              </w:tc>
              <w:tc>
                <w:tcPr>
                  <w:tcW w:w="765" w:type="pct"/>
                  <w:noWrap w:val="0"/>
                  <w:vAlign w:val="center"/>
                </w:tcPr>
                <w:p w14:paraId="56E156F1">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2.569</w:t>
                  </w:r>
                </w:p>
              </w:tc>
              <w:tc>
                <w:tcPr>
                  <w:tcW w:w="765" w:type="pct"/>
                  <w:noWrap w:val="0"/>
                  <w:vAlign w:val="center"/>
                </w:tcPr>
                <w:p w14:paraId="6B89FFA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2.312</w:t>
                  </w:r>
                </w:p>
              </w:tc>
              <w:tc>
                <w:tcPr>
                  <w:tcW w:w="1180" w:type="pct"/>
                  <w:shd w:val="clear" w:color="auto" w:fill="auto"/>
                  <w:noWrap w:val="0"/>
                  <w:vAlign w:val="center"/>
                </w:tcPr>
                <w:p w14:paraId="112394DA">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0.257</w:t>
                  </w:r>
                </w:p>
              </w:tc>
            </w:tr>
            <w:tr w14:paraId="2D60BB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1008" w:type="pct"/>
                  <w:vMerge w:val="continue"/>
                  <w:noWrap w:val="0"/>
                  <w:vAlign w:val="center"/>
                </w:tcPr>
                <w:p w14:paraId="35D55458">
                  <w:pPr>
                    <w:pStyle w:val="2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olor w:val="auto"/>
                      <w:highlight w:val="none"/>
                    </w:rPr>
                  </w:pPr>
                </w:p>
              </w:tc>
              <w:tc>
                <w:tcPr>
                  <w:tcW w:w="1281" w:type="pct"/>
                  <w:noWrap w:val="0"/>
                  <w:vAlign w:val="center"/>
                </w:tcPr>
                <w:p w14:paraId="33D99DB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乙醛</w:t>
                  </w:r>
                </w:p>
              </w:tc>
              <w:tc>
                <w:tcPr>
                  <w:tcW w:w="765" w:type="pct"/>
                  <w:noWrap w:val="0"/>
                  <w:vAlign w:val="center"/>
                </w:tcPr>
                <w:p w14:paraId="048FDEB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0.1249</w:t>
                  </w:r>
                </w:p>
              </w:tc>
              <w:tc>
                <w:tcPr>
                  <w:tcW w:w="765" w:type="pct"/>
                  <w:noWrap w:val="0"/>
                  <w:vAlign w:val="center"/>
                </w:tcPr>
                <w:p w14:paraId="64C1C53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0.1119</w:t>
                  </w:r>
                </w:p>
              </w:tc>
              <w:tc>
                <w:tcPr>
                  <w:tcW w:w="1180" w:type="pct"/>
                  <w:shd w:val="clear" w:color="auto" w:fill="auto"/>
                  <w:noWrap w:val="0"/>
                  <w:vAlign w:val="center"/>
                </w:tcPr>
                <w:p w14:paraId="2DF5DFB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0.013</w:t>
                  </w:r>
                </w:p>
              </w:tc>
            </w:tr>
            <w:tr w14:paraId="4332A8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1008" w:type="pct"/>
                  <w:vMerge w:val="continue"/>
                  <w:noWrap w:val="0"/>
                  <w:vAlign w:val="center"/>
                </w:tcPr>
                <w:p w14:paraId="2F93CD65">
                  <w:pPr>
                    <w:pStyle w:val="2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olor w:val="auto"/>
                      <w:highlight w:val="none"/>
                    </w:rPr>
                  </w:pPr>
                </w:p>
              </w:tc>
              <w:tc>
                <w:tcPr>
                  <w:tcW w:w="1281" w:type="pct"/>
                  <w:noWrap w:val="0"/>
                  <w:vAlign w:val="center"/>
                </w:tcPr>
                <w:p w14:paraId="047E53D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食堂油烟</w:t>
                  </w:r>
                </w:p>
              </w:tc>
              <w:tc>
                <w:tcPr>
                  <w:tcW w:w="765" w:type="pct"/>
                  <w:noWrap w:val="0"/>
                  <w:vAlign w:val="center"/>
                </w:tcPr>
                <w:p w14:paraId="757541DA">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0.007</w:t>
                  </w:r>
                </w:p>
              </w:tc>
              <w:tc>
                <w:tcPr>
                  <w:tcW w:w="765" w:type="pct"/>
                  <w:noWrap w:val="0"/>
                  <w:vAlign w:val="center"/>
                </w:tcPr>
                <w:p w14:paraId="00D3134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0.005</w:t>
                  </w:r>
                </w:p>
              </w:tc>
              <w:tc>
                <w:tcPr>
                  <w:tcW w:w="1180" w:type="pct"/>
                  <w:shd w:val="clear" w:color="auto" w:fill="auto"/>
                  <w:noWrap w:val="0"/>
                  <w:vAlign w:val="center"/>
                </w:tcPr>
                <w:p w14:paraId="61CB44A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0.002</w:t>
                  </w:r>
                </w:p>
              </w:tc>
            </w:tr>
            <w:tr w14:paraId="0565C3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1008" w:type="pct"/>
                  <w:vMerge w:val="restart"/>
                  <w:noWrap w:val="0"/>
                  <w:vAlign w:val="center"/>
                </w:tcPr>
                <w:p w14:paraId="47A7D1BA">
                  <w:pPr>
                    <w:pStyle w:val="21"/>
                    <w:keepNext w:val="0"/>
                    <w:keepLines w:val="0"/>
                    <w:suppressLineNumbers w:val="0"/>
                    <w:bidi w:val="0"/>
                    <w:spacing w:before="0" w:beforeAutospacing="0" w:after="0" w:afterAutospacing="0"/>
                    <w:ind w:left="0" w:right="0" w:firstLine="0" w:firstLineChars="0"/>
                    <w:jc w:val="center"/>
                    <w:rPr>
                      <w:rFonts w:hint="default" w:ascii="Times New Roman" w:hAnsi="Times New Roman" w:eastAsia="宋体"/>
                      <w:color w:val="auto"/>
                      <w:highlight w:val="none"/>
                    </w:rPr>
                  </w:pPr>
                  <w:r>
                    <w:rPr>
                      <w:rFonts w:hint="eastAsia" w:ascii="Times New Roman" w:hAnsi="Times New Roman" w:eastAsia="宋体"/>
                      <w:color w:val="auto"/>
                      <w:highlight w:val="none"/>
                      <w:lang w:val="en-US" w:eastAsia="zh-CN"/>
                    </w:rPr>
                    <w:t>无组织废气</w:t>
                  </w:r>
                </w:p>
              </w:tc>
              <w:tc>
                <w:tcPr>
                  <w:tcW w:w="1281" w:type="pct"/>
                  <w:noWrap w:val="0"/>
                  <w:vAlign w:val="center"/>
                </w:tcPr>
                <w:p w14:paraId="2D18A865">
                  <w:pPr>
                    <w:pStyle w:val="21"/>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非甲烷总烃</w:t>
                  </w:r>
                </w:p>
              </w:tc>
              <w:tc>
                <w:tcPr>
                  <w:tcW w:w="765" w:type="pct"/>
                  <w:noWrap w:val="0"/>
                  <w:vAlign w:val="center"/>
                </w:tcPr>
                <w:p w14:paraId="1B488A65">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0.303</w:t>
                  </w:r>
                </w:p>
              </w:tc>
              <w:tc>
                <w:tcPr>
                  <w:tcW w:w="765" w:type="pct"/>
                  <w:noWrap w:val="0"/>
                  <w:vAlign w:val="center"/>
                </w:tcPr>
                <w:p w14:paraId="72293506">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w:t>
                  </w:r>
                </w:p>
              </w:tc>
              <w:tc>
                <w:tcPr>
                  <w:tcW w:w="1180" w:type="pct"/>
                  <w:noWrap w:val="0"/>
                  <w:vAlign w:val="center"/>
                </w:tcPr>
                <w:p w14:paraId="3AC99E4E">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0.303</w:t>
                  </w:r>
                </w:p>
              </w:tc>
            </w:tr>
            <w:tr w14:paraId="4419E3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1008" w:type="pct"/>
                  <w:vMerge w:val="continue"/>
                  <w:noWrap w:val="0"/>
                  <w:vAlign w:val="center"/>
                </w:tcPr>
                <w:p w14:paraId="08C69284">
                  <w:pPr>
                    <w:pStyle w:val="21"/>
                    <w:keepNext w:val="0"/>
                    <w:keepLines w:val="0"/>
                    <w:suppressLineNumbers w:val="0"/>
                    <w:bidi w:val="0"/>
                    <w:spacing w:before="0" w:beforeAutospacing="0" w:after="0" w:afterAutospacing="0"/>
                    <w:ind w:left="0" w:right="0" w:firstLine="0" w:firstLineChars="0"/>
                    <w:jc w:val="center"/>
                    <w:rPr>
                      <w:rFonts w:hint="eastAsia" w:ascii="Times New Roman" w:hAnsi="Times New Roman" w:eastAsia="宋体"/>
                      <w:color w:val="auto"/>
                      <w:highlight w:val="none"/>
                      <w:lang w:val="en-US" w:eastAsia="zh-CN"/>
                    </w:rPr>
                  </w:pPr>
                </w:p>
              </w:tc>
              <w:tc>
                <w:tcPr>
                  <w:tcW w:w="1281" w:type="pct"/>
                  <w:noWrap w:val="0"/>
                  <w:vAlign w:val="center"/>
                </w:tcPr>
                <w:p w14:paraId="3C5F3C9B">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乙醛</w:t>
                  </w:r>
                </w:p>
              </w:tc>
              <w:tc>
                <w:tcPr>
                  <w:tcW w:w="765" w:type="pct"/>
                  <w:noWrap w:val="0"/>
                  <w:vAlign w:val="center"/>
                </w:tcPr>
                <w:p w14:paraId="7DA4602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0.0141</w:t>
                  </w:r>
                </w:p>
              </w:tc>
              <w:tc>
                <w:tcPr>
                  <w:tcW w:w="765" w:type="pct"/>
                  <w:noWrap w:val="0"/>
                  <w:vAlign w:val="center"/>
                </w:tcPr>
                <w:p w14:paraId="427531F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w:t>
                  </w:r>
                </w:p>
              </w:tc>
              <w:tc>
                <w:tcPr>
                  <w:tcW w:w="1180" w:type="pct"/>
                  <w:noWrap w:val="0"/>
                  <w:vAlign w:val="center"/>
                </w:tcPr>
                <w:p w14:paraId="31DFB23C">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0.0141</w:t>
                  </w:r>
                </w:p>
              </w:tc>
            </w:tr>
            <w:tr w14:paraId="6AC2B6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1008" w:type="pct"/>
                  <w:vMerge w:val="continue"/>
                  <w:noWrap w:val="0"/>
                  <w:vAlign w:val="center"/>
                </w:tcPr>
                <w:p w14:paraId="4F0E80F5">
                  <w:pPr>
                    <w:pStyle w:val="21"/>
                    <w:keepNext w:val="0"/>
                    <w:keepLines w:val="0"/>
                    <w:suppressLineNumbers w:val="0"/>
                    <w:bidi w:val="0"/>
                    <w:spacing w:before="0" w:beforeAutospacing="0" w:after="0" w:afterAutospacing="0"/>
                    <w:ind w:left="0" w:right="0" w:firstLine="0" w:firstLineChars="0"/>
                    <w:jc w:val="center"/>
                    <w:rPr>
                      <w:rFonts w:hint="eastAsia" w:ascii="Times New Roman" w:hAnsi="Times New Roman" w:eastAsia="宋体"/>
                      <w:color w:val="auto"/>
                      <w:highlight w:val="none"/>
                      <w:lang w:val="en-US" w:eastAsia="zh-CN"/>
                    </w:rPr>
                  </w:pPr>
                </w:p>
              </w:tc>
              <w:tc>
                <w:tcPr>
                  <w:tcW w:w="1281" w:type="pct"/>
                  <w:noWrap w:val="0"/>
                  <w:vAlign w:val="center"/>
                </w:tcPr>
                <w:p w14:paraId="2432DD4F">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氨</w:t>
                  </w:r>
                </w:p>
              </w:tc>
              <w:tc>
                <w:tcPr>
                  <w:tcW w:w="765" w:type="pct"/>
                  <w:shd w:val="clear" w:color="auto" w:fill="auto"/>
                  <w:noWrap w:val="0"/>
                  <w:vAlign w:val="center"/>
                </w:tcPr>
                <w:p w14:paraId="76EF34B2">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0.037</w:t>
                  </w:r>
                </w:p>
              </w:tc>
              <w:tc>
                <w:tcPr>
                  <w:tcW w:w="765" w:type="pct"/>
                  <w:noWrap w:val="0"/>
                  <w:vAlign w:val="center"/>
                </w:tcPr>
                <w:p w14:paraId="5B93A522">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w:t>
                  </w:r>
                </w:p>
              </w:tc>
              <w:tc>
                <w:tcPr>
                  <w:tcW w:w="1180" w:type="pct"/>
                  <w:shd w:val="clear" w:color="auto" w:fill="auto"/>
                  <w:noWrap w:val="0"/>
                  <w:vAlign w:val="center"/>
                </w:tcPr>
                <w:p w14:paraId="1D0D87A7">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0.037</w:t>
                  </w:r>
                </w:p>
              </w:tc>
            </w:tr>
            <w:tr w14:paraId="33F9C6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1008" w:type="pct"/>
                  <w:vMerge w:val="continue"/>
                  <w:noWrap w:val="0"/>
                  <w:vAlign w:val="center"/>
                </w:tcPr>
                <w:p w14:paraId="75C47D55">
                  <w:pPr>
                    <w:pStyle w:val="21"/>
                    <w:keepNext w:val="0"/>
                    <w:keepLines w:val="0"/>
                    <w:suppressLineNumbers w:val="0"/>
                    <w:bidi w:val="0"/>
                    <w:spacing w:before="0" w:beforeAutospacing="0" w:after="0" w:afterAutospacing="0"/>
                    <w:ind w:left="0" w:right="0" w:firstLine="0" w:firstLineChars="0"/>
                    <w:jc w:val="center"/>
                    <w:rPr>
                      <w:rFonts w:hint="eastAsia" w:ascii="Times New Roman" w:hAnsi="Times New Roman" w:eastAsia="宋体"/>
                      <w:color w:val="auto"/>
                      <w:highlight w:val="none"/>
                      <w:lang w:val="en-US" w:eastAsia="zh-CN"/>
                    </w:rPr>
                  </w:pPr>
                </w:p>
              </w:tc>
              <w:tc>
                <w:tcPr>
                  <w:tcW w:w="1281" w:type="pct"/>
                  <w:noWrap w:val="0"/>
                  <w:vAlign w:val="center"/>
                </w:tcPr>
                <w:p w14:paraId="6129AA7C">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硫化氢</w:t>
                  </w:r>
                </w:p>
              </w:tc>
              <w:tc>
                <w:tcPr>
                  <w:tcW w:w="765" w:type="pct"/>
                  <w:shd w:val="clear" w:color="auto" w:fill="auto"/>
                  <w:noWrap w:val="0"/>
                  <w:vAlign w:val="center"/>
                </w:tcPr>
                <w:p w14:paraId="069DCB04">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0.001</w:t>
                  </w:r>
                </w:p>
              </w:tc>
              <w:tc>
                <w:tcPr>
                  <w:tcW w:w="765" w:type="pct"/>
                  <w:noWrap w:val="0"/>
                  <w:vAlign w:val="center"/>
                </w:tcPr>
                <w:p w14:paraId="684D8A1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w:t>
                  </w:r>
                </w:p>
              </w:tc>
              <w:tc>
                <w:tcPr>
                  <w:tcW w:w="1180" w:type="pct"/>
                  <w:shd w:val="clear" w:color="auto" w:fill="auto"/>
                  <w:noWrap w:val="0"/>
                  <w:vAlign w:val="center"/>
                </w:tcPr>
                <w:p w14:paraId="12DBAA4C">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0.001</w:t>
                  </w:r>
                </w:p>
              </w:tc>
            </w:tr>
            <w:tr w14:paraId="3E99A9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1008" w:type="pct"/>
                  <w:vMerge w:val="restart"/>
                  <w:noWrap w:val="0"/>
                  <w:vAlign w:val="center"/>
                </w:tcPr>
                <w:p w14:paraId="446DF131">
                  <w:pPr>
                    <w:pStyle w:val="21"/>
                    <w:keepNext w:val="0"/>
                    <w:keepLines w:val="0"/>
                    <w:suppressLineNumbers w:val="0"/>
                    <w:bidi w:val="0"/>
                    <w:spacing w:before="0" w:beforeAutospacing="0" w:after="0" w:afterAutospacing="0"/>
                    <w:ind w:left="0" w:right="0"/>
                    <w:jc w:val="center"/>
                    <w:rPr>
                      <w:rFonts w:hint="default" w:ascii="Times New Roman" w:hAnsi="Times New Roman" w:eastAsia="宋体"/>
                      <w:color w:val="auto"/>
                      <w:highlight w:val="none"/>
                    </w:rPr>
                  </w:pPr>
                  <w:r>
                    <w:rPr>
                      <w:rFonts w:hint="default" w:ascii="Times New Roman" w:hAnsi="Times New Roman" w:eastAsia="宋体"/>
                      <w:color w:val="auto"/>
                      <w:highlight w:val="none"/>
                    </w:rPr>
                    <w:t>废水</w:t>
                  </w:r>
                </w:p>
              </w:tc>
              <w:tc>
                <w:tcPr>
                  <w:tcW w:w="1281" w:type="pct"/>
                  <w:noWrap w:val="0"/>
                  <w:vAlign w:val="center"/>
                </w:tcPr>
                <w:p w14:paraId="3218DE6C">
                  <w:pPr>
                    <w:pStyle w:val="21"/>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废水量</w:t>
                  </w:r>
                </w:p>
              </w:tc>
              <w:tc>
                <w:tcPr>
                  <w:tcW w:w="765" w:type="pct"/>
                  <w:noWrap w:val="0"/>
                  <w:vAlign w:val="center"/>
                </w:tcPr>
                <w:p w14:paraId="2141468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140683</w:t>
                  </w:r>
                </w:p>
              </w:tc>
              <w:tc>
                <w:tcPr>
                  <w:tcW w:w="765" w:type="pct"/>
                  <w:noWrap w:val="0"/>
                  <w:vAlign w:val="center"/>
                </w:tcPr>
                <w:p w14:paraId="770109A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w:t>
                  </w:r>
                </w:p>
              </w:tc>
              <w:tc>
                <w:tcPr>
                  <w:tcW w:w="1180" w:type="pct"/>
                  <w:noWrap w:val="0"/>
                  <w:vAlign w:val="center"/>
                </w:tcPr>
                <w:p w14:paraId="5121790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140683/140683</w:t>
                  </w:r>
                </w:p>
              </w:tc>
            </w:tr>
            <w:tr w14:paraId="0EE3EA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1008" w:type="pct"/>
                  <w:vMerge w:val="continue"/>
                  <w:noWrap w:val="0"/>
                  <w:vAlign w:val="center"/>
                </w:tcPr>
                <w:p w14:paraId="5782B1E8">
                  <w:pPr>
                    <w:pStyle w:val="21"/>
                    <w:keepNext w:val="0"/>
                    <w:keepLines w:val="0"/>
                    <w:suppressLineNumbers w:val="0"/>
                    <w:bidi w:val="0"/>
                    <w:spacing w:before="0" w:beforeAutospacing="0" w:after="0" w:afterAutospacing="0"/>
                    <w:ind w:left="0" w:right="0"/>
                    <w:jc w:val="center"/>
                    <w:rPr>
                      <w:rFonts w:hint="default" w:ascii="Times New Roman" w:hAnsi="Times New Roman" w:eastAsia="宋体"/>
                      <w:color w:val="auto"/>
                      <w:highlight w:val="none"/>
                    </w:rPr>
                  </w:pPr>
                </w:p>
              </w:tc>
              <w:tc>
                <w:tcPr>
                  <w:tcW w:w="1281" w:type="pct"/>
                  <w:noWrap w:val="0"/>
                  <w:vAlign w:val="center"/>
                </w:tcPr>
                <w:p w14:paraId="24661DD6">
                  <w:pPr>
                    <w:pStyle w:val="21"/>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COD</w:t>
                  </w:r>
                </w:p>
              </w:tc>
              <w:tc>
                <w:tcPr>
                  <w:tcW w:w="765" w:type="pct"/>
                  <w:noWrap w:val="0"/>
                  <w:vAlign w:val="center"/>
                </w:tcPr>
                <w:p w14:paraId="226CCD3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39.202</w:t>
                  </w:r>
                </w:p>
              </w:tc>
              <w:tc>
                <w:tcPr>
                  <w:tcW w:w="765" w:type="pct"/>
                  <w:noWrap w:val="0"/>
                  <w:vAlign w:val="center"/>
                </w:tcPr>
                <w:p w14:paraId="63CFB60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25.22</w:t>
                  </w:r>
                </w:p>
              </w:tc>
              <w:tc>
                <w:tcPr>
                  <w:tcW w:w="1180" w:type="pct"/>
                  <w:noWrap w:val="0"/>
                  <w:vAlign w:val="center"/>
                </w:tcPr>
                <w:p w14:paraId="182D847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13.982/7.034</w:t>
                  </w:r>
                </w:p>
              </w:tc>
            </w:tr>
            <w:tr w14:paraId="2A0CD8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1008" w:type="pct"/>
                  <w:vMerge w:val="continue"/>
                  <w:noWrap w:val="0"/>
                  <w:vAlign w:val="center"/>
                </w:tcPr>
                <w:p w14:paraId="1EEF98C6">
                  <w:pPr>
                    <w:pStyle w:val="21"/>
                    <w:keepNext w:val="0"/>
                    <w:keepLines w:val="0"/>
                    <w:suppressLineNumbers w:val="0"/>
                    <w:bidi w:val="0"/>
                    <w:spacing w:before="0" w:beforeAutospacing="0" w:after="0" w:afterAutospacing="0"/>
                    <w:ind w:left="0" w:right="0"/>
                    <w:jc w:val="center"/>
                    <w:rPr>
                      <w:rFonts w:hint="default" w:ascii="Times New Roman" w:hAnsi="Times New Roman" w:eastAsia="宋体"/>
                      <w:color w:val="auto"/>
                      <w:highlight w:val="none"/>
                    </w:rPr>
                  </w:pPr>
                </w:p>
              </w:tc>
              <w:tc>
                <w:tcPr>
                  <w:tcW w:w="1281" w:type="pct"/>
                  <w:noWrap w:val="0"/>
                  <w:vAlign w:val="center"/>
                </w:tcPr>
                <w:p w14:paraId="7C151282">
                  <w:pPr>
                    <w:pStyle w:val="21"/>
                    <w:keepNext w:val="0"/>
                    <w:keepLines w:val="0"/>
                    <w:suppressLineNumbers w:val="0"/>
                    <w:bidi w:val="0"/>
                    <w:spacing w:before="0" w:beforeAutospacing="0" w:after="0" w:afterAutospacing="0"/>
                    <w:ind w:left="0" w:right="0"/>
                    <w:rPr>
                      <w:rFonts w:hint="default"/>
                      <w:color w:val="auto"/>
                      <w:vertAlign w:val="subscript"/>
                      <w:lang w:val="en-US" w:eastAsia="zh-CN"/>
                    </w:rPr>
                  </w:pPr>
                  <w:r>
                    <w:rPr>
                      <w:rFonts w:hint="eastAsia"/>
                      <w:color w:val="auto"/>
                      <w:lang w:val="en-US" w:eastAsia="zh-CN"/>
                    </w:rPr>
                    <w:t>BOD</w:t>
                  </w:r>
                  <w:r>
                    <w:rPr>
                      <w:rFonts w:hint="eastAsia"/>
                      <w:color w:val="auto"/>
                      <w:vertAlign w:val="subscript"/>
                      <w:lang w:val="en-US" w:eastAsia="zh-CN"/>
                    </w:rPr>
                    <w:t>5</w:t>
                  </w:r>
                </w:p>
              </w:tc>
              <w:tc>
                <w:tcPr>
                  <w:tcW w:w="765" w:type="pct"/>
                  <w:noWrap w:val="0"/>
                  <w:vAlign w:val="center"/>
                </w:tcPr>
                <w:p w14:paraId="5BF7763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16.9</w:t>
                  </w:r>
                </w:p>
              </w:tc>
              <w:tc>
                <w:tcPr>
                  <w:tcW w:w="765" w:type="pct"/>
                  <w:noWrap w:val="0"/>
                  <w:vAlign w:val="center"/>
                </w:tcPr>
                <w:p w14:paraId="6D5CF2A0">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11.831</w:t>
                  </w:r>
                </w:p>
              </w:tc>
              <w:tc>
                <w:tcPr>
                  <w:tcW w:w="1180" w:type="pct"/>
                  <w:noWrap w:val="0"/>
                  <w:vAlign w:val="center"/>
                </w:tcPr>
                <w:p w14:paraId="5E62AD7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5.069/1.407</w:t>
                  </w:r>
                </w:p>
              </w:tc>
            </w:tr>
            <w:tr w14:paraId="35755C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1008" w:type="pct"/>
                  <w:vMerge w:val="continue"/>
                  <w:noWrap w:val="0"/>
                  <w:vAlign w:val="center"/>
                </w:tcPr>
                <w:p w14:paraId="68CCFF5A">
                  <w:pPr>
                    <w:pStyle w:val="21"/>
                    <w:keepNext w:val="0"/>
                    <w:keepLines w:val="0"/>
                    <w:suppressLineNumbers w:val="0"/>
                    <w:bidi w:val="0"/>
                    <w:spacing w:before="0" w:beforeAutospacing="0" w:after="0" w:afterAutospacing="0"/>
                    <w:ind w:left="0" w:right="0"/>
                    <w:jc w:val="center"/>
                    <w:rPr>
                      <w:rFonts w:hint="default" w:ascii="Times New Roman" w:hAnsi="Times New Roman" w:eastAsia="宋体"/>
                      <w:color w:val="auto"/>
                      <w:highlight w:val="none"/>
                    </w:rPr>
                  </w:pPr>
                </w:p>
              </w:tc>
              <w:tc>
                <w:tcPr>
                  <w:tcW w:w="1281" w:type="pct"/>
                  <w:noWrap w:val="0"/>
                  <w:vAlign w:val="center"/>
                </w:tcPr>
                <w:p w14:paraId="75F1576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SS</w:t>
                  </w:r>
                </w:p>
              </w:tc>
              <w:tc>
                <w:tcPr>
                  <w:tcW w:w="765" w:type="pct"/>
                  <w:noWrap w:val="0"/>
                  <w:vAlign w:val="center"/>
                </w:tcPr>
                <w:p w14:paraId="59ECEFA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22.418</w:t>
                  </w:r>
                </w:p>
              </w:tc>
              <w:tc>
                <w:tcPr>
                  <w:tcW w:w="765" w:type="pct"/>
                  <w:noWrap w:val="0"/>
                  <w:vAlign w:val="center"/>
                </w:tcPr>
                <w:p w14:paraId="7805DF2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13.462</w:t>
                  </w:r>
                </w:p>
              </w:tc>
              <w:tc>
                <w:tcPr>
                  <w:tcW w:w="1180" w:type="pct"/>
                  <w:noWrap w:val="0"/>
                  <w:vAlign w:val="center"/>
                </w:tcPr>
                <w:p w14:paraId="735D4B0C">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8.956/1.407</w:t>
                  </w:r>
                </w:p>
              </w:tc>
            </w:tr>
            <w:tr w14:paraId="5448CC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1008" w:type="pct"/>
                  <w:vMerge w:val="continue"/>
                  <w:noWrap w:val="0"/>
                  <w:vAlign w:val="center"/>
                </w:tcPr>
                <w:p w14:paraId="2F18DE2C">
                  <w:pPr>
                    <w:pStyle w:val="21"/>
                    <w:keepNext w:val="0"/>
                    <w:keepLines w:val="0"/>
                    <w:suppressLineNumbers w:val="0"/>
                    <w:bidi w:val="0"/>
                    <w:spacing w:before="0" w:beforeAutospacing="0" w:after="0" w:afterAutospacing="0"/>
                    <w:ind w:left="0" w:right="0"/>
                    <w:jc w:val="center"/>
                    <w:rPr>
                      <w:rFonts w:hint="default" w:ascii="Times New Roman" w:hAnsi="Times New Roman" w:eastAsia="宋体"/>
                      <w:color w:val="auto"/>
                      <w:highlight w:val="none"/>
                    </w:rPr>
                  </w:pPr>
                </w:p>
              </w:tc>
              <w:tc>
                <w:tcPr>
                  <w:tcW w:w="1281" w:type="pct"/>
                  <w:noWrap w:val="0"/>
                  <w:vAlign w:val="center"/>
                </w:tcPr>
                <w:p w14:paraId="3232EEB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氨氮</w:t>
                  </w:r>
                </w:p>
              </w:tc>
              <w:tc>
                <w:tcPr>
                  <w:tcW w:w="765" w:type="pct"/>
                  <w:noWrap w:val="0"/>
                  <w:vAlign w:val="center"/>
                </w:tcPr>
                <w:p w14:paraId="2E4796C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2.542</w:t>
                  </w:r>
                </w:p>
              </w:tc>
              <w:tc>
                <w:tcPr>
                  <w:tcW w:w="765" w:type="pct"/>
                  <w:noWrap w:val="0"/>
                  <w:vAlign w:val="center"/>
                </w:tcPr>
                <w:p w14:paraId="58EE83C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1.512</w:t>
                  </w:r>
                </w:p>
              </w:tc>
              <w:tc>
                <w:tcPr>
                  <w:tcW w:w="1180" w:type="pct"/>
                  <w:noWrap w:val="0"/>
                  <w:vAlign w:val="center"/>
                </w:tcPr>
                <w:p w14:paraId="331DAA92">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1.03/0.703</w:t>
                  </w:r>
                </w:p>
              </w:tc>
            </w:tr>
            <w:tr w14:paraId="2ADCAE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1008" w:type="pct"/>
                  <w:vMerge w:val="continue"/>
                  <w:noWrap w:val="0"/>
                  <w:vAlign w:val="center"/>
                </w:tcPr>
                <w:p w14:paraId="2B7BB302">
                  <w:pPr>
                    <w:pStyle w:val="21"/>
                    <w:keepNext w:val="0"/>
                    <w:keepLines w:val="0"/>
                    <w:suppressLineNumbers w:val="0"/>
                    <w:bidi w:val="0"/>
                    <w:spacing w:before="0" w:beforeAutospacing="0" w:after="0" w:afterAutospacing="0"/>
                    <w:ind w:left="0" w:right="0"/>
                    <w:jc w:val="center"/>
                    <w:rPr>
                      <w:rFonts w:hint="default" w:ascii="Times New Roman" w:hAnsi="Times New Roman" w:eastAsia="宋体"/>
                      <w:color w:val="auto"/>
                      <w:highlight w:val="none"/>
                    </w:rPr>
                  </w:pPr>
                </w:p>
              </w:tc>
              <w:tc>
                <w:tcPr>
                  <w:tcW w:w="1281" w:type="pct"/>
                  <w:noWrap w:val="0"/>
                  <w:vAlign w:val="center"/>
                </w:tcPr>
                <w:p w14:paraId="05BE72C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总氮</w:t>
                  </w:r>
                </w:p>
              </w:tc>
              <w:tc>
                <w:tcPr>
                  <w:tcW w:w="765" w:type="pct"/>
                  <w:noWrap w:val="0"/>
                  <w:vAlign w:val="center"/>
                </w:tcPr>
                <w:p w14:paraId="3A27309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3.396</w:t>
                  </w:r>
                </w:p>
              </w:tc>
              <w:tc>
                <w:tcPr>
                  <w:tcW w:w="765" w:type="pct"/>
                  <w:noWrap w:val="0"/>
                  <w:vAlign w:val="center"/>
                </w:tcPr>
                <w:p w14:paraId="4DDB92B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1.928</w:t>
                  </w:r>
                </w:p>
              </w:tc>
              <w:tc>
                <w:tcPr>
                  <w:tcW w:w="1180" w:type="pct"/>
                  <w:noWrap w:val="0"/>
                  <w:vAlign w:val="center"/>
                </w:tcPr>
                <w:p w14:paraId="3F9E78B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1.468/1.468</w:t>
                  </w:r>
                </w:p>
              </w:tc>
            </w:tr>
            <w:tr w14:paraId="03459D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1008" w:type="pct"/>
                  <w:vMerge w:val="continue"/>
                  <w:noWrap w:val="0"/>
                  <w:vAlign w:val="center"/>
                </w:tcPr>
                <w:p w14:paraId="01643C15">
                  <w:pPr>
                    <w:pStyle w:val="21"/>
                    <w:keepNext w:val="0"/>
                    <w:keepLines w:val="0"/>
                    <w:suppressLineNumbers w:val="0"/>
                    <w:bidi w:val="0"/>
                    <w:spacing w:before="0" w:beforeAutospacing="0" w:after="0" w:afterAutospacing="0"/>
                    <w:ind w:left="0" w:right="0"/>
                    <w:jc w:val="center"/>
                    <w:rPr>
                      <w:rFonts w:hint="default" w:ascii="Times New Roman" w:hAnsi="Times New Roman" w:eastAsia="宋体"/>
                      <w:color w:val="auto"/>
                      <w:highlight w:val="none"/>
                    </w:rPr>
                  </w:pPr>
                </w:p>
              </w:tc>
              <w:tc>
                <w:tcPr>
                  <w:tcW w:w="1281" w:type="pct"/>
                  <w:noWrap w:val="0"/>
                  <w:vAlign w:val="center"/>
                </w:tcPr>
                <w:p w14:paraId="3D5656D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总磷</w:t>
                  </w:r>
                </w:p>
              </w:tc>
              <w:tc>
                <w:tcPr>
                  <w:tcW w:w="765" w:type="pct"/>
                  <w:noWrap w:val="0"/>
                  <w:vAlign w:val="center"/>
                </w:tcPr>
                <w:p w14:paraId="214E41B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1.112</w:t>
                  </w:r>
                </w:p>
              </w:tc>
              <w:tc>
                <w:tcPr>
                  <w:tcW w:w="765" w:type="pct"/>
                  <w:noWrap w:val="0"/>
                  <w:vAlign w:val="center"/>
                </w:tcPr>
                <w:p w14:paraId="4D980C2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0.611</w:t>
                  </w:r>
                </w:p>
              </w:tc>
              <w:tc>
                <w:tcPr>
                  <w:tcW w:w="1180" w:type="pct"/>
                  <w:noWrap w:val="0"/>
                  <w:vAlign w:val="center"/>
                </w:tcPr>
                <w:p w14:paraId="6CBCCC7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0.501/0.07</w:t>
                  </w:r>
                </w:p>
              </w:tc>
            </w:tr>
            <w:tr w14:paraId="29CBAD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1008" w:type="pct"/>
                  <w:vMerge w:val="continue"/>
                  <w:noWrap w:val="0"/>
                  <w:vAlign w:val="center"/>
                </w:tcPr>
                <w:p w14:paraId="185F21FC">
                  <w:pPr>
                    <w:pStyle w:val="21"/>
                    <w:keepNext w:val="0"/>
                    <w:keepLines w:val="0"/>
                    <w:suppressLineNumbers w:val="0"/>
                    <w:bidi w:val="0"/>
                    <w:spacing w:before="0" w:beforeAutospacing="0" w:after="0" w:afterAutospacing="0"/>
                    <w:ind w:left="0" w:right="0"/>
                    <w:jc w:val="center"/>
                    <w:rPr>
                      <w:rFonts w:hint="default" w:ascii="Times New Roman" w:hAnsi="Times New Roman" w:eastAsia="宋体"/>
                      <w:color w:val="auto"/>
                      <w:highlight w:val="none"/>
                    </w:rPr>
                  </w:pPr>
                </w:p>
              </w:tc>
              <w:tc>
                <w:tcPr>
                  <w:tcW w:w="1281" w:type="pct"/>
                  <w:noWrap w:val="0"/>
                  <w:vAlign w:val="center"/>
                </w:tcPr>
                <w:p w14:paraId="2C7E527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动植物油</w:t>
                  </w:r>
                </w:p>
              </w:tc>
              <w:tc>
                <w:tcPr>
                  <w:tcW w:w="765" w:type="pct"/>
                  <w:noWrap w:val="0"/>
                  <w:vAlign w:val="center"/>
                </w:tcPr>
                <w:p w14:paraId="04BAB33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0.077</w:t>
                  </w:r>
                </w:p>
              </w:tc>
              <w:tc>
                <w:tcPr>
                  <w:tcW w:w="765" w:type="pct"/>
                  <w:noWrap w:val="0"/>
                  <w:vAlign w:val="center"/>
                </w:tcPr>
                <w:p w14:paraId="2394BC8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0.046</w:t>
                  </w:r>
                </w:p>
              </w:tc>
              <w:tc>
                <w:tcPr>
                  <w:tcW w:w="1180" w:type="pct"/>
                  <w:noWrap w:val="0"/>
                  <w:vAlign w:val="center"/>
                </w:tcPr>
                <w:p w14:paraId="39DC1D8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0.031/0.031</w:t>
                  </w:r>
                </w:p>
              </w:tc>
            </w:tr>
            <w:tr w14:paraId="36BB8B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1008" w:type="pct"/>
                  <w:vMerge w:val="restart"/>
                  <w:noWrap w:val="0"/>
                  <w:vAlign w:val="center"/>
                </w:tcPr>
                <w:p w14:paraId="0B47F9D8">
                  <w:pPr>
                    <w:pStyle w:val="21"/>
                    <w:keepNext w:val="0"/>
                    <w:keepLines w:val="0"/>
                    <w:suppressLineNumbers w:val="0"/>
                    <w:bidi w:val="0"/>
                    <w:spacing w:before="0" w:beforeAutospacing="0" w:after="0" w:afterAutospacing="0"/>
                    <w:ind w:left="0" w:right="0"/>
                    <w:jc w:val="center"/>
                    <w:rPr>
                      <w:rFonts w:hint="default" w:ascii="Times New Roman" w:hAnsi="Times New Roman" w:eastAsia="宋体"/>
                      <w:color w:val="auto"/>
                      <w:highlight w:val="none"/>
                    </w:rPr>
                  </w:pPr>
                  <w:r>
                    <w:rPr>
                      <w:rFonts w:hint="default" w:ascii="Times New Roman" w:hAnsi="Times New Roman" w:eastAsia="宋体"/>
                      <w:color w:val="auto"/>
                      <w:highlight w:val="none"/>
                    </w:rPr>
                    <w:t>固废</w:t>
                  </w:r>
                </w:p>
              </w:tc>
              <w:tc>
                <w:tcPr>
                  <w:tcW w:w="1281" w:type="pct"/>
                  <w:noWrap w:val="0"/>
                  <w:vAlign w:val="center"/>
                </w:tcPr>
                <w:p w14:paraId="1A8C3A39">
                  <w:pPr>
                    <w:pStyle w:val="21"/>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一般</w:t>
                  </w:r>
                  <w:r>
                    <w:rPr>
                      <w:rFonts w:hint="default"/>
                      <w:color w:val="auto"/>
                      <w:lang w:val="en-US" w:eastAsia="zh-CN"/>
                    </w:rPr>
                    <w:t>工业固废</w:t>
                  </w:r>
                </w:p>
              </w:tc>
              <w:tc>
                <w:tcPr>
                  <w:tcW w:w="765" w:type="pct"/>
                  <w:noWrap w:val="0"/>
                  <w:vAlign w:val="center"/>
                </w:tcPr>
                <w:p w14:paraId="0EDF63EF">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159.4</w:t>
                  </w:r>
                </w:p>
              </w:tc>
              <w:tc>
                <w:tcPr>
                  <w:tcW w:w="765" w:type="pct"/>
                  <w:noWrap w:val="0"/>
                  <w:vAlign w:val="center"/>
                </w:tcPr>
                <w:p w14:paraId="6E523D4E">
                  <w:pPr>
                    <w:pStyle w:val="21"/>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159.4</w:t>
                  </w:r>
                </w:p>
              </w:tc>
              <w:tc>
                <w:tcPr>
                  <w:tcW w:w="1180" w:type="pct"/>
                  <w:noWrap w:val="0"/>
                  <w:vAlign w:val="center"/>
                </w:tcPr>
                <w:p w14:paraId="6EE192AC">
                  <w:pPr>
                    <w:pStyle w:val="21"/>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0</w:t>
                  </w:r>
                </w:p>
              </w:tc>
            </w:tr>
            <w:tr w14:paraId="5B1689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1008" w:type="pct"/>
                  <w:vMerge w:val="continue"/>
                  <w:noWrap w:val="0"/>
                  <w:vAlign w:val="center"/>
                </w:tcPr>
                <w:p w14:paraId="7CDA33D2">
                  <w:pPr>
                    <w:pStyle w:val="21"/>
                    <w:keepNext w:val="0"/>
                    <w:keepLines w:val="0"/>
                    <w:suppressLineNumbers w:val="0"/>
                    <w:bidi w:val="0"/>
                    <w:spacing w:before="0" w:beforeAutospacing="0" w:after="0" w:afterAutospacing="0"/>
                    <w:ind w:left="0" w:right="0"/>
                    <w:jc w:val="both"/>
                    <w:rPr>
                      <w:rFonts w:hint="default" w:ascii="Times New Roman" w:hAnsi="Times New Roman" w:eastAsia="宋体"/>
                      <w:color w:val="auto"/>
                      <w:highlight w:val="none"/>
                    </w:rPr>
                  </w:pPr>
                </w:p>
              </w:tc>
              <w:tc>
                <w:tcPr>
                  <w:tcW w:w="1281" w:type="pct"/>
                  <w:noWrap w:val="0"/>
                  <w:vAlign w:val="center"/>
                </w:tcPr>
                <w:p w14:paraId="6B794246">
                  <w:pPr>
                    <w:pStyle w:val="21"/>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危险废物</w:t>
                  </w:r>
                </w:p>
              </w:tc>
              <w:tc>
                <w:tcPr>
                  <w:tcW w:w="765" w:type="pct"/>
                  <w:noWrap w:val="0"/>
                  <w:vAlign w:val="center"/>
                </w:tcPr>
                <w:p w14:paraId="7E7E57D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highlight w:val="none"/>
                      <w:lang w:val="en-US" w:eastAsia="zh-CN"/>
                    </w:rPr>
                    <w:t>39.055</w:t>
                  </w:r>
                </w:p>
              </w:tc>
              <w:tc>
                <w:tcPr>
                  <w:tcW w:w="765" w:type="pct"/>
                  <w:noWrap w:val="0"/>
                  <w:vAlign w:val="center"/>
                </w:tcPr>
                <w:p w14:paraId="677E83A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highlight w:val="none"/>
                      <w:lang w:val="en-US" w:eastAsia="zh-CN"/>
                    </w:rPr>
                    <w:t>39.055</w:t>
                  </w:r>
                </w:p>
              </w:tc>
              <w:tc>
                <w:tcPr>
                  <w:tcW w:w="1180" w:type="pct"/>
                  <w:noWrap w:val="0"/>
                  <w:vAlign w:val="center"/>
                </w:tcPr>
                <w:p w14:paraId="5A1918E4">
                  <w:pPr>
                    <w:pStyle w:val="21"/>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0</w:t>
                  </w:r>
                </w:p>
              </w:tc>
            </w:tr>
            <w:tr w14:paraId="4AE13A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1008" w:type="pct"/>
                  <w:vMerge w:val="continue"/>
                  <w:noWrap w:val="0"/>
                  <w:vAlign w:val="center"/>
                </w:tcPr>
                <w:p w14:paraId="6F29ABB9">
                  <w:pPr>
                    <w:pStyle w:val="21"/>
                    <w:keepNext w:val="0"/>
                    <w:keepLines w:val="0"/>
                    <w:suppressLineNumbers w:val="0"/>
                    <w:bidi w:val="0"/>
                    <w:spacing w:before="0" w:beforeAutospacing="0" w:after="0" w:afterAutospacing="0"/>
                    <w:ind w:left="0" w:right="0"/>
                    <w:jc w:val="both"/>
                    <w:rPr>
                      <w:rFonts w:hint="default" w:ascii="Times New Roman" w:hAnsi="Times New Roman" w:eastAsia="宋体"/>
                      <w:color w:val="auto"/>
                      <w:highlight w:val="none"/>
                    </w:rPr>
                  </w:pPr>
                </w:p>
              </w:tc>
              <w:tc>
                <w:tcPr>
                  <w:tcW w:w="1281" w:type="pct"/>
                  <w:noWrap w:val="0"/>
                  <w:vAlign w:val="center"/>
                </w:tcPr>
                <w:p w14:paraId="4E61FDC1">
                  <w:pPr>
                    <w:pStyle w:val="21"/>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生活垃圾</w:t>
                  </w:r>
                </w:p>
              </w:tc>
              <w:tc>
                <w:tcPr>
                  <w:tcW w:w="765" w:type="pct"/>
                  <w:noWrap w:val="0"/>
                  <w:vAlign w:val="center"/>
                </w:tcPr>
                <w:p w14:paraId="50E24DE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8.4</w:t>
                  </w:r>
                </w:p>
              </w:tc>
              <w:tc>
                <w:tcPr>
                  <w:tcW w:w="765" w:type="pct"/>
                  <w:noWrap w:val="0"/>
                  <w:vAlign w:val="center"/>
                </w:tcPr>
                <w:p w14:paraId="35D6E5E1">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8.4</w:t>
                  </w:r>
                </w:p>
              </w:tc>
              <w:tc>
                <w:tcPr>
                  <w:tcW w:w="1180" w:type="pct"/>
                  <w:noWrap w:val="0"/>
                  <w:vAlign w:val="center"/>
                </w:tcPr>
                <w:p w14:paraId="797AF3A4">
                  <w:pPr>
                    <w:pStyle w:val="21"/>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0</w:t>
                  </w:r>
                </w:p>
              </w:tc>
            </w:tr>
          </w:tbl>
          <w:p w14:paraId="67DFDF67">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注*：A/B，A为接管量，B为最终外排量</w:t>
            </w:r>
          </w:p>
        </w:tc>
      </w:tr>
    </w:tbl>
    <w:p w14:paraId="13287057">
      <w:pPr>
        <w:ind w:firstLine="480"/>
        <w:rPr>
          <w:rFonts w:ascii="Times New Roman" w:hAnsi="Times New Roman" w:eastAsia="宋体"/>
          <w:color w:val="auto"/>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5ADEC532">
      <w:pPr>
        <w:pStyle w:val="2"/>
        <w:spacing w:before="156"/>
        <w:rPr>
          <w:rFonts w:hint="eastAsia" w:ascii="Times New Roman" w:hAnsi="Times New Roman" w:eastAsia="宋体"/>
          <w:color w:val="auto"/>
          <w:sz w:val="30"/>
          <w:szCs w:val="30"/>
          <w:highlight w:val="none"/>
        </w:rPr>
      </w:pPr>
      <w:r>
        <w:rPr>
          <w:rFonts w:hint="eastAsia" w:ascii="Times New Roman" w:hAnsi="Times New Roman" w:eastAsia="宋体"/>
          <w:color w:val="auto"/>
          <w:sz w:val="30"/>
          <w:szCs w:val="30"/>
          <w:highlight w:val="none"/>
        </w:rPr>
        <w:t>四、主要环境影响和保护措施</w:t>
      </w:r>
    </w:p>
    <w:tbl>
      <w:tblPr>
        <w:tblStyle w:val="1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408"/>
        <w:gridCol w:w="250"/>
        <w:gridCol w:w="7674"/>
      </w:tblGrid>
      <w:tr w14:paraId="0BCE6A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658" w:type="dxa"/>
            <w:gridSpan w:val="2"/>
            <w:tcMar>
              <w:top w:w="16" w:type="dxa"/>
              <w:left w:w="16" w:type="dxa"/>
              <w:right w:w="16" w:type="dxa"/>
            </w:tcMar>
            <w:vAlign w:val="center"/>
          </w:tcPr>
          <w:p w14:paraId="6950E7DF">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施工期环境保护措施</w:t>
            </w:r>
          </w:p>
        </w:tc>
        <w:tc>
          <w:tcPr>
            <w:tcW w:w="7674" w:type="dxa"/>
            <w:vAlign w:val="center"/>
          </w:tcPr>
          <w:p w14:paraId="6F3C1192">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本项目</w:t>
            </w:r>
            <w:r>
              <w:rPr>
                <w:rFonts w:hint="eastAsia"/>
                <w:color w:val="auto"/>
                <w:sz w:val="24"/>
                <w:szCs w:val="24"/>
                <w:highlight w:val="none"/>
                <w:lang w:val="en-US" w:eastAsia="zh-CN"/>
              </w:rPr>
              <w:t>租赁南京娃哈哈饮料有限公司厂房进行建设，厂房建设工程由南京娃哈哈饮料有限公司负责</w:t>
            </w:r>
            <w:r>
              <w:rPr>
                <w:rFonts w:hint="default" w:ascii="Times New Roman" w:hAnsi="Times New Roman" w:eastAsia="宋体"/>
                <w:color w:val="auto"/>
                <w:highlight w:val="none"/>
                <w:lang w:val="en-US"/>
              </w:rPr>
              <w:t>，</w:t>
            </w:r>
            <w:r>
              <w:rPr>
                <w:rFonts w:hint="eastAsia"/>
                <w:color w:val="auto"/>
                <w:sz w:val="24"/>
                <w:szCs w:val="24"/>
                <w:highlight w:val="none"/>
                <w:lang w:val="en-US" w:eastAsia="zh-CN"/>
              </w:rPr>
              <w:t>本项目待该厂房建设完成后再进行设备安装，</w:t>
            </w:r>
            <w:r>
              <w:rPr>
                <w:rFonts w:hint="default" w:ascii="Times New Roman" w:hAnsi="Times New Roman" w:eastAsia="宋体"/>
                <w:color w:val="auto"/>
                <w:highlight w:val="none"/>
                <w:lang w:val="en-US"/>
              </w:rPr>
              <w:t>不新建土建建筑，</w:t>
            </w:r>
            <w:r>
              <w:rPr>
                <w:rFonts w:hint="eastAsia" w:ascii="Times New Roman" w:hAnsi="Times New Roman" w:eastAsia="宋体"/>
                <w:color w:val="auto"/>
                <w:highlight w:val="none"/>
                <w:lang w:val="en-US"/>
              </w:rPr>
              <w:t>施工期仅进行厂房装修和设备安装，施工期较短。</w:t>
            </w:r>
          </w:p>
          <w:p w14:paraId="0EA2085E">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施工期的环境影响主要为</w:t>
            </w:r>
            <w:r>
              <w:rPr>
                <w:rFonts w:hint="eastAsia" w:ascii="Times New Roman" w:hAnsi="Times New Roman" w:eastAsia="宋体"/>
                <w:color w:val="auto"/>
                <w:highlight w:val="none"/>
                <w:lang w:val="en-US"/>
              </w:rPr>
              <w:t>厂房装修和</w:t>
            </w:r>
            <w:r>
              <w:rPr>
                <w:rFonts w:hint="default" w:ascii="Times New Roman" w:hAnsi="Times New Roman" w:eastAsia="宋体"/>
                <w:color w:val="auto"/>
                <w:highlight w:val="none"/>
                <w:lang w:val="en-US"/>
              </w:rPr>
              <w:t>设备安装</w:t>
            </w:r>
            <w:r>
              <w:rPr>
                <w:rFonts w:hint="eastAsia" w:ascii="Times New Roman" w:hAnsi="Times New Roman" w:eastAsia="宋体"/>
                <w:color w:val="auto"/>
                <w:highlight w:val="none"/>
                <w:lang w:val="en-US"/>
              </w:rPr>
              <w:t>过程中产生的少量扬尘、废水和噪声</w:t>
            </w:r>
            <w:r>
              <w:rPr>
                <w:rFonts w:hint="default" w:ascii="Times New Roman" w:hAnsi="Times New Roman" w:eastAsia="宋体"/>
                <w:color w:val="auto"/>
                <w:highlight w:val="none"/>
                <w:lang w:val="en-US"/>
              </w:rPr>
              <w:t>。</w:t>
            </w:r>
            <w:r>
              <w:rPr>
                <w:rFonts w:hint="eastAsia" w:ascii="Times New Roman" w:hAnsi="Times New Roman" w:eastAsia="宋体"/>
                <w:color w:val="auto"/>
                <w:highlight w:val="none"/>
                <w:lang w:val="en-US"/>
              </w:rPr>
              <w:t>本项目施工时间较短</w:t>
            </w:r>
            <w:r>
              <w:rPr>
                <w:rFonts w:hint="default" w:ascii="Times New Roman" w:hAnsi="Times New Roman" w:eastAsia="宋体"/>
                <w:color w:val="auto"/>
                <w:highlight w:val="none"/>
                <w:lang w:val="en-US"/>
              </w:rPr>
              <w:t>，</w:t>
            </w:r>
            <w:r>
              <w:rPr>
                <w:rFonts w:hint="eastAsia" w:ascii="Times New Roman" w:hAnsi="Times New Roman" w:eastAsia="宋体"/>
                <w:color w:val="auto"/>
                <w:highlight w:val="none"/>
                <w:lang w:val="en-US"/>
              </w:rPr>
              <w:t>工程量小，施工期环境影响很小，且随施工期结束</w:t>
            </w:r>
            <w:r>
              <w:rPr>
                <w:rFonts w:hint="default" w:ascii="Times New Roman" w:hAnsi="Times New Roman" w:eastAsia="宋体"/>
                <w:color w:val="auto"/>
                <w:highlight w:val="none"/>
                <w:lang w:val="en-US"/>
              </w:rPr>
              <w:t>环境影响消除，故施工过程基本不会对周边环境造成不良影响。</w:t>
            </w:r>
          </w:p>
        </w:tc>
      </w:tr>
      <w:tr w14:paraId="00084A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408" w:type="dxa"/>
            <w:tcMar>
              <w:top w:w="16" w:type="dxa"/>
              <w:left w:w="16" w:type="dxa"/>
              <w:right w:w="16" w:type="dxa"/>
            </w:tcMar>
            <w:vAlign w:val="center"/>
          </w:tcPr>
          <w:p w14:paraId="58BFE944">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运营期环境影响和保护措施</w:t>
            </w:r>
          </w:p>
        </w:tc>
        <w:tc>
          <w:tcPr>
            <w:tcW w:w="7924" w:type="dxa"/>
            <w:gridSpan w:val="2"/>
            <w:vAlign w:val="center"/>
          </w:tcPr>
          <w:p w14:paraId="08A57B4C">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1、废气</w:t>
            </w:r>
          </w:p>
          <w:p w14:paraId="39F26472">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（1）废气源强核算</w:t>
            </w:r>
          </w:p>
          <w:p w14:paraId="71D1E075">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本项目营运期产生的废气主要为</w:t>
            </w:r>
            <w:r>
              <w:rPr>
                <w:rFonts w:hint="eastAsia"/>
                <w:color w:val="auto"/>
                <w:highlight w:val="none"/>
                <w:lang w:val="en-US" w:eastAsia="zh-CN"/>
              </w:rPr>
              <w:t>注塑、压盖过程中产生的注塑废气</w:t>
            </w:r>
            <w:r>
              <w:rPr>
                <w:rFonts w:hint="default" w:ascii="Times New Roman" w:hAnsi="Times New Roman" w:eastAsia="宋体"/>
                <w:color w:val="auto"/>
                <w:highlight w:val="none"/>
                <w:lang w:val="en-US"/>
              </w:rPr>
              <w:t>G1</w:t>
            </w:r>
            <w:r>
              <w:rPr>
                <w:rFonts w:hint="eastAsia"/>
                <w:color w:val="auto"/>
                <w:highlight w:val="none"/>
                <w:lang w:val="en-US" w:eastAsia="zh-CN"/>
              </w:rPr>
              <w:t>、压盖废气G2</w:t>
            </w:r>
            <w:r>
              <w:rPr>
                <w:rFonts w:hint="eastAsia" w:ascii="Times New Roman" w:hAnsi="Times New Roman" w:eastAsia="宋体"/>
                <w:color w:val="auto"/>
                <w:highlight w:val="none"/>
                <w:lang w:val="en-US" w:eastAsia="zh-CN"/>
              </w:rPr>
              <w:t>，</w:t>
            </w:r>
            <w:r>
              <w:rPr>
                <w:rFonts w:hint="eastAsia"/>
                <w:color w:val="auto"/>
                <w:highlight w:val="none"/>
                <w:lang w:val="en-US" w:eastAsia="zh-CN"/>
              </w:rPr>
              <w:t>吹制成瓶过程中产生的吹瓶废气</w:t>
            </w:r>
            <w:r>
              <w:rPr>
                <w:rFonts w:hint="default" w:ascii="Times New Roman" w:hAnsi="Times New Roman" w:eastAsia="宋体"/>
                <w:color w:val="auto"/>
                <w:highlight w:val="none"/>
                <w:lang w:val="en-US"/>
              </w:rPr>
              <w:t>G</w:t>
            </w:r>
            <w:r>
              <w:rPr>
                <w:rFonts w:hint="eastAsia"/>
                <w:color w:val="auto"/>
                <w:highlight w:val="none"/>
                <w:lang w:val="en-US" w:eastAsia="zh-CN"/>
              </w:rPr>
              <w:t>3</w:t>
            </w:r>
            <w:r>
              <w:rPr>
                <w:rFonts w:hint="eastAsia" w:ascii="Times New Roman" w:hAnsi="Times New Roman" w:eastAsia="宋体"/>
                <w:color w:val="auto"/>
                <w:highlight w:val="none"/>
                <w:lang w:val="en-US" w:eastAsia="zh-CN"/>
              </w:rPr>
              <w:t>，</w:t>
            </w:r>
            <w:r>
              <w:rPr>
                <w:rFonts w:hint="eastAsia"/>
                <w:color w:val="auto"/>
                <w:highlight w:val="none"/>
                <w:lang w:val="en-US" w:eastAsia="zh-CN"/>
              </w:rPr>
              <w:t>打码过程中产生的打码废气</w:t>
            </w:r>
            <w:r>
              <w:rPr>
                <w:rFonts w:hint="default" w:ascii="Times New Roman" w:hAnsi="Times New Roman" w:eastAsia="宋体"/>
                <w:color w:val="auto"/>
                <w:highlight w:val="none"/>
                <w:lang w:val="en-US"/>
              </w:rPr>
              <w:t>G</w:t>
            </w:r>
            <w:r>
              <w:rPr>
                <w:rFonts w:hint="eastAsia"/>
                <w:color w:val="auto"/>
                <w:highlight w:val="none"/>
                <w:lang w:val="en-US" w:eastAsia="zh-CN"/>
              </w:rPr>
              <w:t>4，设备清洗过程中产生的设备清洗废气G5</w:t>
            </w:r>
            <w:r>
              <w:rPr>
                <w:rFonts w:hint="eastAsia" w:ascii="Times New Roman" w:hAnsi="Times New Roman" w:eastAsia="宋体"/>
                <w:color w:val="auto"/>
                <w:highlight w:val="none"/>
                <w:lang w:val="en-US" w:eastAsia="zh-CN"/>
              </w:rPr>
              <w:t>，</w:t>
            </w:r>
            <w:r>
              <w:rPr>
                <w:rFonts w:hint="eastAsia"/>
                <w:color w:val="auto"/>
                <w:highlight w:val="none"/>
                <w:lang w:val="en-US" w:eastAsia="zh-CN"/>
              </w:rPr>
              <w:t>废水处理过程中产生的恶臭废气G6，危废贮存过程中产生的危废贮存废气G7，及食堂油烟G8</w:t>
            </w:r>
            <w:r>
              <w:rPr>
                <w:rFonts w:hint="eastAsia" w:ascii="Times New Roman" w:hAnsi="Times New Roman" w:eastAsia="宋体"/>
                <w:color w:val="auto"/>
                <w:highlight w:val="none"/>
                <w:lang w:val="en-US"/>
              </w:rPr>
              <w:t>。</w:t>
            </w:r>
          </w:p>
          <w:p w14:paraId="3A16F733">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本项目根据《污染源源强核算技术指南准则》（HJ884-2018），源强核算方法主要有实测法、物料衡算法、产污系数法、类比法、实验法等。本项目源强核算根据制造行业特点主要采用产污系数法等。</w:t>
            </w:r>
          </w:p>
          <w:p w14:paraId="535A5A9F">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1）有组织</w:t>
            </w:r>
          </w:p>
          <w:p w14:paraId="3CEBEA42">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①</w:t>
            </w:r>
            <w:r>
              <w:rPr>
                <w:rFonts w:hint="eastAsia"/>
                <w:color w:val="auto"/>
                <w:highlight w:val="none"/>
                <w:lang w:val="en-US" w:eastAsia="zh-CN"/>
              </w:rPr>
              <w:t>注塑废气</w:t>
            </w:r>
          </w:p>
          <w:p w14:paraId="44F2DEBF">
            <w:pPr>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根据建设单位提供资料，项目制造的塑料瓶盖重量约占整瓶重量的10%，则瓶身占整瓶重量的90%，本项目使用PET塑料4500t/a，注塑过程用量约为4050t/a，注塑过程非甲烷总烃产生系数</w:t>
            </w:r>
            <w:r>
              <w:rPr>
                <w:rFonts w:hint="eastAsia"/>
                <w:color w:val="auto"/>
              </w:rPr>
              <w:t>参考《空气污染物排放和控制手册》（美国环保局）</w:t>
            </w:r>
            <w:r>
              <w:rPr>
                <w:rFonts w:hint="eastAsia"/>
                <w:color w:val="auto"/>
                <w:lang w:val="en-US" w:eastAsia="zh-CN"/>
              </w:rPr>
              <w:t>中给出系数</w:t>
            </w:r>
            <w:r>
              <w:rPr>
                <w:rFonts w:hint="eastAsia"/>
                <w:color w:val="auto"/>
              </w:rPr>
              <w:t>0</w:t>
            </w:r>
            <w:r>
              <w:rPr>
                <w:rFonts w:hint="default"/>
                <w:color w:val="auto"/>
              </w:rPr>
              <w:t>.35kg/t</w:t>
            </w:r>
            <w:r>
              <w:rPr>
                <w:rFonts w:hint="eastAsia"/>
                <w:color w:val="auto"/>
                <w:lang w:val="en-US" w:eastAsia="zh-CN"/>
              </w:rPr>
              <w:t>-</w:t>
            </w:r>
            <w:r>
              <w:rPr>
                <w:rFonts w:hint="eastAsia"/>
                <w:color w:val="auto"/>
              </w:rPr>
              <w:t>原料</w:t>
            </w:r>
            <w:r>
              <w:rPr>
                <w:rFonts w:hint="eastAsia"/>
                <w:color w:val="auto"/>
                <w:lang w:val="en-US" w:eastAsia="zh-CN"/>
              </w:rPr>
              <w:t>，乙醛产生系数参考《不同使用温度下9et饮料瓶乙醛释放量的研究》（刘容宏，郭风，张圣斌李宁2017.45（8）:86~88）中给出系数17.16</w:t>
            </w:r>
            <w:r>
              <w:rPr>
                <w:rFonts w:hint="eastAsia" w:eastAsia="Times New Roman"/>
                <w:color w:val="auto"/>
                <w:lang w:val="en-US" w:eastAsia="zh-CN"/>
              </w:rPr>
              <w:t>μg/g-原料</w:t>
            </w:r>
            <w:r>
              <w:rPr>
                <w:rFonts w:hint="eastAsia"/>
                <w:color w:val="auto"/>
                <w:lang w:val="en-US" w:eastAsia="zh-CN"/>
              </w:rPr>
              <w:t>，则注塑过程产生非甲烷总烃约1.418t/a，产生乙醛约0.069t/a。</w:t>
            </w:r>
          </w:p>
          <w:p w14:paraId="52790755">
            <w:pPr>
              <w:keepNext w:val="0"/>
              <w:keepLines w:val="0"/>
              <w:suppressLineNumbers w:val="0"/>
              <w:adjustRightInd w:val="0"/>
              <w:snapToGrid w:val="0"/>
              <w:spacing w:before="0" w:beforeAutospacing="0" w:after="0" w:afterAutospacing="0" w:line="360" w:lineRule="auto"/>
              <w:ind w:left="0" w:right="0" w:firstLine="480" w:firstLineChars="200"/>
              <w:rPr>
                <w:rFonts w:hint="eastAsia"/>
                <w:color w:val="auto"/>
                <w:highlight w:val="none"/>
                <w:lang w:val="en-US" w:eastAsia="zh-CN"/>
              </w:rPr>
            </w:pPr>
            <w:r>
              <w:rPr>
                <w:rFonts w:hint="eastAsia"/>
                <w:color w:val="auto"/>
                <w:highlight w:val="none"/>
                <w:lang w:val="en-US" w:eastAsia="zh-CN"/>
              </w:rPr>
              <w:t>②压盖废气</w:t>
            </w:r>
          </w:p>
          <w:p w14:paraId="3CF27AFC">
            <w:pPr>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根据上述分析，本项目压盖过程使用PET塑料450t/a，非甲烷总烃产生系数</w:t>
            </w:r>
            <w:r>
              <w:rPr>
                <w:rFonts w:hint="eastAsia"/>
                <w:color w:val="auto"/>
              </w:rPr>
              <w:t>参考《空气污染物排放和控制手册》（美国环保局）</w:t>
            </w:r>
            <w:r>
              <w:rPr>
                <w:rFonts w:hint="eastAsia"/>
                <w:color w:val="auto"/>
                <w:lang w:val="en-US" w:eastAsia="zh-CN"/>
              </w:rPr>
              <w:t>中给出系数</w:t>
            </w:r>
            <w:r>
              <w:rPr>
                <w:rFonts w:hint="eastAsia"/>
                <w:color w:val="auto"/>
              </w:rPr>
              <w:t>0</w:t>
            </w:r>
            <w:r>
              <w:rPr>
                <w:rFonts w:hint="default"/>
                <w:color w:val="auto"/>
              </w:rPr>
              <w:t>.35kg/t</w:t>
            </w:r>
            <w:r>
              <w:rPr>
                <w:rFonts w:hint="eastAsia"/>
                <w:color w:val="auto"/>
                <w:lang w:val="en-US" w:eastAsia="zh-CN"/>
              </w:rPr>
              <w:t>-</w:t>
            </w:r>
            <w:r>
              <w:rPr>
                <w:rFonts w:hint="eastAsia"/>
                <w:color w:val="auto"/>
              </w:rPr>
              <w:t>原料</w:t>
            </w:r>
            <w:r>
              <w:rPr>
                <w:rFonts w:hint="eastAsia"/>
                <w:color w:val="auto"/>
                <w:lang w:val="en-US" w:eastAsia="zh-CN"/>
              </w:rPr>
              <w:t>，乙醛产生系数参考《不同使用温度下9et饮料瓶乙醛释放量的研究》（刘容宏，郭风，张圣斌李宁2017.45（8）:86~88）中给出系数17.16μg/g-原料，则压盖过程产生非甲烷总烃约0.018t/a，产生乙醛约0.001t/a。</w:t>
            </w:r>
          </w:p>
          <w:p w14:paraId="71181163">
            <w:pPr>
              <w:keepNext w:val="0"/>
              <w:keepLines w:val="0"/>
              <w:suppressLineNumbers w:val="0"/>
              <w:adjustRightInd w:val="0"/>
              <w:snapToGrid w:val="0"/>
              <w:spacing w:before="0" w:beforeAutospacing="0" w:after="0" w:afterAutospacing="0" w:line="360" w:lineRule="auto"/>
              <w:ind w:left="0" w:right="0" w:firstLine="480" w:firstLineChars="200"/>
              <w:rPr>
                <w:rFonts w:hint="default" w:ascii="宋体" w:hAnsi="宋体" w:eastAsia="宋体"/>
                <w:color w:val="auto"/>
                <w:lang w:val="en-US" w:eastAsia="zh-CN"/>
              </w:rPr>
            </w:pPr>
            <w:r>
              <w:rPr>
                <w:rFonts w:hint="eastAsia" w:ascii="宋体" w:hAnsi="宋体"/>
                <w:color w:val="auto"/>
                <w:lang w:val="en-US" w:eastAsia="zh-CN"/>
              </w:rPr>
              <w:t>③</w:t>
            </w:r>
            <w:r>
              <w:rPr>
                <w:rFonts w:hint="eastAsia" w:ascii="宋体" w:hAnsi="宋体" w:eastAsia="宋体"/>
                <w:color w:val="auto"/>
                <w:lang w:val="en-US" w:eastAsia="zh-CN"/>
              </w:rPr>
              <w:t>吹瓶废气</w:t>
            </w:r>
          </w:p>
          <w:p w14:paraId="7B3A6F06">
            <w:pPr>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本项目吹瓶工序使用瓶胚重量约为4050t/a，吹瓶工序非甲烷总烃产生系数</w:t>
            </w:r>
            <w:r>
              <w:rPr>
                <w:rFonts w:hint="eastAsia"/>
                <w:color w:val="auto"/>
              </w:rPr>
              <w:t>参考《空气污染物排放和控制手册》（美国环保局）</w:t>
            </w:r>
            <w:r>
              <w:rPr>
                <w:rFonts w:hint="eastAsia"/>
                <w:color w:val="auto"/>
                <w:lang w:val="en-US" w:eastAsia="zh-CN"/>
              </w:rPr>
              <w:t>中给出系数</w:t>
            </w:r>
            <w:r>
              <w:rPr>
                <w:rFonts w:hint="eastAsia"/>
                <w:color w:val="auto"/>
              </w:rPr>
              <w:t>0</w:t>
            </w:r>
            <w:r>
              <w:rPr>
                <w:rFonts w:hint="default"/>
                <w:color w:val="auto"/>
              </w:rPr>
              <w:t>.35kg/t</w:t>
            </w:r>
            <w:r>
              <w:rPr>
                <w:rFonts w:hint="eastAsia"/>
                <w:color w:val="auto"/>
                <w:lang w:val="en-US" w:eastAsia="zh-CN"/>
              </w:rPr>
              <w:t>-</w:t>
            </w:r>
            <w:r>
              <w:rPr>
                <w:rFonts w:hint="eastAsia"/>
                <w:color w:val="auto"/>
              </w:rPr>
              <w:t>原料</w:t>
            </w:r>
            <w:r>
              <w:rPr>
                <w:rFonts w:hint="eastAsia"/>
                <w:color w:val="auto"/>
                <w:lang w:val="en-US" w:eastAsia="zh-CN"/>
              </w:rPr>
              <w:t>，乙醛产生系数参考《不同使用温度下9et饮料瓶乙醛释放量的研究》（刘容宏，郭风，张圣斌李宁2017.45（8）:86~88）中给出系数17.16</w:t>
            </w:r>
            <w:r>
              <w:rPr>
                <w:rFonts w:hint="default" w:ascii="Times New Roman" w:hAnsi="Times New Roman" w:cs="Times New Roman"/>
                <w:color w:val="auto"/>
                <w:lang w:val="en-US" w:eastAsia="zh-CN"/>
              </w:rPr>
              <w:t>μ</w:t>
            </w:r>
            <w:r>
              <w:rPr>
                <w:rFonts w:hint="eastAsia"/>
                <w:color w:val="auto"/>
                <w:lang w:val="en-US" w:eastAsia="zh-CN"/>
              </w:rPr>
              <w:t>g/g-原料</w:t>
            </w:r>
            <w:r>
              <w:rPr>
                <w:rFonts w:hint="eastAsia"/>
                <w:color w:val="auto"/>
                <w:lang w:eastAsia="zh-CN"/>
              </w:rPr>
              <w:t>，</w:t>
            </w:r>
            <w:r>
              <w:rPr>
                <w:rFonts w:hint="eastAsia"/>
                <w:color w:val="auto"/>
                <w:lang w:val="en-US" w:eastAsia="zh-CN"/>
              </w:rPr>
              <w:t>则吹制成瓶工序产生非甲烷总烃约1.418t/a，产生乙醛约0.069t/a。</w:t>
            </w:r>
          </w:p>
          <w:p w14:paraId="2A960B43">
            <w:pPr>
              <w:keepNext w:val="0"/>
              <w:keepLines w:val="0"/>
              <w:suppressLineNumbers w:val="0"/>
              <w:adjustRightInd w:val="0"/>
              <w:snapToGrid w:val="0"/>
              <w:spacing w:before="0" w:beforeAutospacing="0" w:after="0" w:afterAutospacing="0" w:line="360" w:lineRule="auto"/>
              <w:ind w:left="0" w:right="0" w:firstLine="480" w:firstLineChars="200"/>
              <w:rPr>
                <w:rFonts w:hint="default" w:ascii="宋体" w:hAnsi="宋体" w:eastAsia="宋体"/>
                <w:color w:val="auto"/>
                <w:vertAlign w:val="baseline"/>
                <w:lang w:val="en-US" w:eastAsia="zh-CN"/>
              </w:rPr>
            </w:pPr>
            <w:r>
              <w:rPr>
                <w:rFonts w:hint="eastAsia" w:ascii="宋体" w:hAnsi="宋体"/>
                <w:color w:val="auto"/>
                <w:lang w:val="en-US" w:eastAsia="zh-CN"/>
              </w:rPr>
              <w:t>建设单位在注塑机和吹瓶机上方设置集气罩，压盖机为密闭设备，</w:t>
            </w:r>
            <w:r>
              <w:rPr>
                <w:rFonts w:hint="eastAsia"/>
                <w:color w:val="auto"/>
                <w:highlight w:val="none"/>
                <w:lang w:val="en-US" w:eastAsia="zh-CN"/>
              </w:rPr>
              <w:t>注塑废气、吹瓶废气经集气罩收集，收集效率90%，压盖废气密闭收集后，收集效率95%，一起经一套二级活性炭吸附设施处理后通过15米高排气筒DA001排放。其中注塑废气设计收集风量为1000m</w:t>
            </w:r>
            <w:r>
              <w:rPr>
                <w:rFonts w:hint="eastAsia"/>
                <w:color w:val="auto"/>
                <w:highlight w:val="none"/>
                <w:vertAlign w:val="superscript"/>
                <w:lang w:val="en-US" w:eastAsia="zh-CN"/>
              </w:rPr>
              <w:t>3</w:t>
            </w:r>
            <w:r>
              <w:rPr>
                <w:rFonts w:hint="eastAsia"/>
                <w:color w:val="auto"/>
                <w:highlight w:val="none"/>
                <w:vertAlign w:val="baseline"/>
                <w:lang w:val="en-US" w:eastAsia="zh-CN"/>
              </w:rPr>
              <w:t>/h，吹瓶废气设计收集风量23000</w:t>
            </w:r>
            <w:r>
              <w:rPr>
                <w:rFonts w:hint="eastAsia"/>
                <w:color w:val="auto"/>
                <w:highlight w:val="none"/>
                <w:lang w:val="en-US" w:eastAsia="zh-CN"/>
              </w:rPr>
              <w:t>m</w:t>
            </w:r>
            <w:r>
              <w:rPr>
                <w:rFonts w:hint="eastAsia"/>
                <w:color w:val="auto"/>
                <w:highlight w:val="none"/>
                <w:vertAlign w:val="superscript"/>
                <w:lang w:val="en-US" w:eastAsia="zh-CN"/>
              </w:rPr>
              <w:t>3</w:t>
            </w:r>
            <w:r>
              <w:rPr>
                <w:rFonts w:hint="eastAsia"/>
                <w:color w:val="auto"/>
                <w:highlight w:val="none"/>
                <w:vertAlign w:val="baseline"/>
                <w:lang w:val="en-US" w:eastAsia="zh-CN"/>
              </w:rPr>
              <w:t>/h，压盖废气设计收集风量1000</w:t>
            </w:r>
            <w:r>
              <w:rPr>
                <w:rFonts w:hint="eastAsia"/>
                <w:color w:val="auto"/>
                <w:highlight w:val="none"/>
                <w:lang w:val="en-US" w:eastAsia="zh-CN"/>
              </w:rPr>
              <w:t>m</w:t>
            </w:r>
            <w:r>
              <w:rPr>
                <w:rFonts w:hint="eastAsia"/>
                <w:color w:val="auto"/>
                <w:highlight w:val="none"/>
                <w:vertAlign w:val="superscript"/>
                <w:lang w:val="en-US" w:eastAsia="zh-CN"/>
              </w:rPr>
              <w:t>3</w:t>
            </w:r>
            <w:r>
              <w:rPr>
                <w:rFonts w:hint="eastAsia"/>
                <w:color w:val="auto"/>
                <w:highlight w:val="none"/>
                <w:vertAlign w:val="baseline"/>
                <w:lang w:val="en-US" w:eastAsia="zh-CN"/>
              </w:rPr>
              <w:t>/h，总风量25000m</w:t>
            </w:r>
            <w:r>
              <w:rPr>
                <w:rFonts w:hint="eastAsia"/>
                <w:color w:val="auto"/>
                <w:highlight w:val="none"/>
                <w:vertAlign w:val="superscript"/>
                <w:lang w:val="en-US" w:eastAsia="zh-CN"/>
              </w:rPr>
              <w:t>3</w:t>
            </w:r>
            <w:r>
              <w:rPr>
                <w:rFonts w:hint="eastAsia"/>
                <w:color w:val="auto"/>
                <w:highlight w:val="none"/>
                <w:vertAlign w:val="baseline"/>
                <w:lang w:val="en-US" w:eastAsia="zh-CN"/>
              </w:rPr>
              <w:t>/h。</w:t>
            </w:r>
          </w:p>
          <w:p w14:paraId="02898557">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2）无组织</w:t>
            </w:r>
          </w:p>
          <w:p w14:paraId="52EC76D4">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①未被收集</w:t>
            </w:r>
            <w:r>
              <w:rPr>
                <w:rFonts w:hint="eastAsia"/>
                <w:color w:val="auto"/>
                <w:highlight w:val="none"/>
                <w:lang w:val="en-US" w:eastAsia="zh-CN"/>
              </w:rPr>
              <w:t>的注塑、压盖、吹制成瓶废气</w:t>
            </w:r>
          </w:p>
          <w:p w14:paraId="4B4C1183">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根据上文分析，本项目</w:t>
            </w:r>
            <w:r>
              <w:rPr>
                <w:rFonts w:hint="eastAsia"/>
                <w:color w:val="auto"/>
                <w:highlight w:val="none"/>
                <w:lang w:val="en-US" w:eastAsia="zh-CN"/>
              </w:rPr>
              <w:t>注塑、压盖</w:t>
            </w:r>
            <w:r>
              <w:rPr>
                <w:rFonts w:hint="eastAsia" w:ascii="Times New Roman" w:hAnsi="Times New Roman" w:eastAsia="宋体"/>
                <w:color w:val="auto"/>
                <w:highlight w:val="none"/>
                <w:lang w:val="en-US" w:eastAsia="zh-CN"/>
              </w:rPr>
              <w:t>、</w:t>
            </w:r>
            <w:r>
              <w:rPr>
                <w:rFonts w:hint="eastAsia" w:ascii="宋体" w:hAnsi="宋体" w:eastAsia="宋体"/>
                <w:color w:val="auto"/>
                <w:lang w:val="en-US" w:eastAsia="zh-CN"/>
              </w:rPr>
              <w:t>吹瓶</w:t>
            </w:r>
            <w:r>
              <w:rPr>
                <w:rFonts w:hint="eastAsia" w:ascii="Times New Roman" w:hAnsi="Times New Roman" w:eastAsia="宋体"/>
                <w:color w:val="auto"/>
                <w:highlight w:val="none"/>
                <w:lang w:val="en-US" w:eastAsia="zh-CN"/>
              </w:rPr>
              <w:t>过程中未被收集的</w:t>
            </w:r>
            <w:r>
              <w:rPr>
                <w:rFonts w:hint="eastAsia"/>
                <w:color w:val="auto"/>
                <w:highlight w:val="none"/>
                <w:lang w:val="en-US" w:eastAsia="zh-CN"/>
              </w:rPr>
              <w:t>非甲烷总烃</w:t>
            </w:r>
            <w:r>
              <w:rPr>
                <w:rFonts w:hint="eastAsia" w:ascii="Times New Roman" w:hAnsi="Times New Roman" w:eastAsia="宋体"/>
                <w:color w:val="auto"/>
                <w:highlight w:val="none"/>
                <w:lang w:val="en-US" w:eastAsia="zh-CN"/>
              </w:rPr>
              <w:t>约</w:t>
            </w:r>
            <w:r>
              <w:rPr>
                <w:rFonts w:hint="eastAsia"/>
                <w:color w:val="auto"/>
                <w:highlight w:val="none"/>
                <w:lang w:val="en-US" w:eastAsia="zh-CN"/>
              </w:rPr>
              <w:t>为0.285</w:t>
            </w:r>
            <w:r>
              <w:rPr>
                <w:rFonts w:hint="eastAsia" w:ascii="Times New Roman" w:hAnsi="Times New Roman" w:eastAsia="宋体"/>
                <w:color w:val="auto"/>
                <w:highlight w:val="none"/>
                <w:lang w:val="en-US" w:eastAsia="zh-CN"/>
              </w:rPr>
              <w:t>t/a</w:t>
            </w:r>
            <w:r>
              <w:rPr>
                <w:rFonts w:hint="eastAsia"/>
                <w:color w:val="auto"/>
                <w:highlight w:val="none"/>
                <w:lang w:val="en-US" w:eastAsia="zh-CN"/>
              </w:rPr>
              <w:t>，在车间内无组织排放</w:t>
            </w:r>
            <w:r>
              <w:rPr>
                <w:rFonts w:hint="eastAsia" w:ascii="Times New Roman" w:hAnsi="Times New Roman" w:eastAsia="宋体"/>
                <w:color w:val="auto"/>
                <w:highlight w:val="none"/>
                <w:lang w:val="en-US" w:eastAsia="zh-CN"/>
              </w:rPr>
              <w:t>。</w:t>
            </w:r>
          </w:p>
          <w:p w14:paraId="262199C5">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②</w:t>
            </w:r>
            <w:r>
              <w:rPr>
                <w:rFonts w:hint="eastAsia"/>
                <w:color w:val="auto"/>
                <w:highlight w:val="none"/>
                <w:lang w:val="en-US" w:eastAsia="zh-CN"/>
              </w:rPr>
              <w:t>打码废气</w:t>
            </w:r>
          </w:p>
          <w:p w14:paraId="225A10DA">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eastAsia="zh-CN"/>
              </w:rPr>
            </w:pPr>
            <w:r>
              <w:rPr>
                <w:rFonts w:hint="eastAsia"/>
                <w:color w:val="auto"/>
                <w:highlight w:val="none"/>
                <w:lang w:val="en-US" w:eastAsia="zh-CN"/>
              </w:rPr>
              <w:t>本项目打码过程中使用油墨0.2t/a，根据建设单位提供的VOC检测报告，油墨中挥发性有机化合物含量约为8.8%，产生挥发性有机污染物（以非甲烷总烃计）约0.018t/a，产生量较小且不易收集，在车间内无组织排放</w:t>
            </w:r>
            <w:r>
              <w:rPr>
                <w:rFonts w:hint="eastAsia" w:ascii="Times New Roman" w:hAnsi="Times New Roman" w:eastAsia="宋体"/>
                <w:color w:val="auto"/>
                <w:highlight w:val="none"/>
                <w:lang w:val="en-US" w:eastAsia="zh-CN"/>
              </w:rPr>
              <w:t>。</w:t>
            </w:r>
          </w:p>
          <w:p w14:paraId="23B70B9F">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ascii="Times New Roman" w:hAnsi="Times New Roman" w:eastAsia="宋体"/>
                <w:color w:val="auto"/>
                <w:highlight w:val="none"/>
                <w:lang w:val="en-US" w:eastAsia="zh-CN"/>
              </w:rPr>
              <w:t>③</w:t>
            </w:r>
            <w:r>
              <w:rPr>
                <w:rFonts w:hint="eastAsia"/>
                <w:color w:val="auto"/>
                <w:highlight w:val="none"/>
                <w:lang w:val="en-US" w:eastAsia="zh-CN"/>
              </w:rPr>
              <w:t>设备清洗废气</w:t>
            </w:r>
          </w:p>
          <w:p w14:paraId="36761D5D">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本项目储水罐、机滤滤芯及反渗透膜清洗过程中使用到稀硝酸、柠檬酸，清洗时硝酸和柠檬酸挥发会产生少量硝酸雾（以NO</w:t>
            </w:r>
            <w:r>
              <w:rPr>
                <w:rFonts w:hint="eastAsia"/>
                <w:color w:val="auto"/>
                <w:highlight w:val="none"/>
                <w:vertAlign w:val="subscript"/>
                <w:lang w:val="en-US" w:eastAsia="zh-CN"/>
              </w:rPr>
              <w:t>X</w:t>
            </w:r>
            <w:r>
              <w:rPr>
                <w:rFonts w:hint="eastAsia"/>
                <w:color w:val="auto"/>
                <w:highlight w:val="none"/>
                <w:vertAlign w:val="baseline"/>
                <w:lang w:val="en-US" w:eastAsia="zh-CN"/>
              </w:rPr>
              <w:t>计</w:t>
            </w:r>
            <w:r>
              <w:rPr>
                <w:rFonts w:hint="eastAsia"/>
                <w:color w:val="auto"/>
                <w:highlight w:val="none"/>
                <w:lang w:val="en-US" w:eastAsia="zh-CN"/>
              </w:rPr>
              <w:t>）和柠檬酸（以非甲烷总烃计）。根据建设单位提供资料，本项目设备酸洗使用浓度为1%的硝酸和2%的柠檬酸，项目储水罐酸洗频次为4次/年，每次持续30min，机滤滤芯酸洗频次为1次/年，每次持续30min，反渗透膜酸洗频次为2～5次/年，每次持续约30min。由此可知，本项目使用硝酸、柠檬酸进行清洗频次少，单次持续时间短，且使用的硝酸、柠檬酸浓度都很低，挥发速率较慢，污染物产生量很少，故本报告不做定量分析。</w:t>
            </w:r>
          </w:p>
          <w:p w14:paraId="7DE3F75A">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④恶臭废气</w:t>
            </w:r>
          </w:p>
          <w:p w14:paraId="36C898D4">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vertAlign w:val="baseline"/>
                <w:lang w:val="en-US" w:eastAsia="zh-CN"/>
              </w:rPr>
            </w:pPr>
            <w:r>
              <w:rPr>
                <w:rFonts w:hint="eastAsia" w:ascii="Times New Roman" w:hAnsi="Times New Roman" w:eastAsia="宋体" w:cs="Times New Roman"/>
                <w:color w:val="auto"/>
                <w:kern w:val="1"/>
                <w:szCs w:val="28"/>
                <w:lang w:val="en-US" w:eastAsia="zh-CN"/>
              </w:rPr>
              <w:t>根据美国EPA对污水处理厂恶臭污染物产生情况的研究计算，每去除1g的</w:t>
            </w:r>
            <w:r>
              <w:rPr>
                <w:rFonts w:hint="eastAsia" w:cs="Times New Roman"/>
                <w:color w:val="auto"/>
                <w:kern w:val="1"/>
                <w:szCs w:val="28"/>
                <w:lang w:val="en-US" w:eastAsia="zh-CN"/>
              </w:rPr>
              <w:t>BOD</w:t>
            </w:r>
            <w:r>
              <w:rPr>
                <w:rFonts w:hint="eastAsia" w:cs="Times New Roman"/>
                <w:color w:val="auto"/>
                <w:kern w:val="1"/>
                <w:szCs w:val="28"/>
                <w:vertAlign w:val="subscript"/>
                <w:lang w:val="en-US" w:eastAsia="zh-CN"/>
              </w:rPr>
              <w:t>5</w:t>
            </w:r>
            <w:r>
              <w:rPr>
                <w:rFonts w:hint="eastAsia" w:ascii="Times New Roman" w:hAnsi="Times New Roman" w:eastAsia="宋体" w:cs="Times New Roman"/>
                <w:color w:val="auto"/>
                <w:kern w:val="1"/>
                <w:szCs w:val="28"/>
                <w:lang w:val="en-US" w:eastAsia="zh-CN"/>
              </w:rPr>
              <w:t>，可产生0.0031g的NH</w:t>
            </w:r>
            <w:r>
              <w:rPr>
                <w:rFonts w:hint="eastAsia" w:ascii="Times New Roman" w:hAnsi="Times New Roman" w:eastAsia="宋体" w:cs="Times New Roman"/>
                <w:color w:val="auto"/>
                <w:kern w:val="1"/>
                <w:szCs w:val="28"/>
                <w:vertAlign w:val="subscript"/>
                <w:lang w:val="en-US" w:eastAsia="zh-CN"/>
              </w:rPr>
              <w:t>3</w:t>
            </w:r>
            <w:r>
              <w:rPr>
                <w:rFonts w:hint="eastAsia" w:ascii="Times New Roman" w:hAnsi="Times New Roman" w:eastAsia="宋体" w:cs="Times New Roman"/>
                <w:color w:val="auto"/>
                <w:kern w:val="1"/>
                <w:szCs w:val="28"/>
                <w:lang w:val="en-US" w:eastAsia="zh-CN"/>
              </w:rPr>
              <w:t>、0.00012g的H</w:t>
            </w:r>
            <w:r>
              <w:rPr>
                <w:rFonts w:hint="eastAsia" w:ascii="Times New Roman" w:hAnsi="Times New Roman" w:eastAsia="宋体" w:cs="Times New Roman"/>
                <w:color w:val="auto"/>
                <w:kern w:val="1"/>
                <w:szCs w:val="28"/>
                <w:vertAlign w:val="subscript"/>
                <w:lang w:val="en-US" w:eastAsia="zh-CN"/>
              </w:rPr>
              <w:t>2</w:t>
            </w:r>
            <w:r>
              <w:rPr>
                <w:rFonts w:hint="eastAsia" w:ascii="Times New Roman" w:hAnsi="Times New Roman" w:eastAsia="宋体" w:cs="Times New Roman"/>
                <w:color w:val="auto"/>
                <w:kern w:val="1"/>
                <w:szCs w:val="28"/>
                <w:lang w:val="en-US" w:eastAsia="zh-CN"/>
              </w:rPr>
              <w:t>S</w:t>
            </w:r>
            <w:r>
              <w:rPr>
                <w:rFonts w:hint="eastAsia" w:cs="Times New Roman"/>
                <w:color w:val="auto"/>
                <w:kern w:val="1"/>
                <w:szCs w:val="28"/>
                <w:vertAlign w:val="baseline"/>
                <w:lang w:val="en-US" w:eastAsia="zh-CN"/>
              </w:rPr>
              <w:t>，</w:t>
            </w:r>
            <w:r>
              <w:rPr>
                <w:rFonts w:hint="eastAsia" w:ascii="Times New Roman" w:hAnsi="Times New Roman" w:eastAsia="宋体" w:cs="Times New Roman"/>
                <w:color w:val="auto"/>
                <w:kern w:val="1"/>
                <w:szCs w:val="28"/>
                <w:lang w:val="en-US" w:eastAsia="zh-CN"/>
              </w:rPr>
              <w:t>本项目</w:t>
            </w:r>
            <w:r>
              <w:rPr>
                <w:rFonts w:hint="eastAsia" w:cs="Times New Roman"/>
                <w:color w:val="auto"/>
                <w:kern w:val="1"/>
                <w:szCs w:val="28"/>
                <w:lang w:val="en-US" w:eastAsia="zh-CN"/>
              </w:rPr>
              <w:t>BOD</w:t>
            </w:r>
            <w:r>
              <w:rPr>
                <w:rFonts w:hint="eastAsia" w:cs="Times New Roman"/>
                <w:color w:val="auto"/>
                <w:kern w:val="1"/>
                <w:szCs w:val="28"/>
                <w:vertAlign w:val="subscript"/>
                <w:lang w:val="en-US" w:eastAsia="zh-CN"/>
              </w:rPr>
              <w:t>5</w:t>
            </w:r>
            <w:r>
              <w:rPr>
                <w:rFonts w:hint="eastAsia" w:cs="Times New Roman"/>
                <w:color w:val="auto"/>
                <w:kern w:val="1"/>
                <w:szCs w:val="28"/>
                <w:vertAlign w:val="baseline"/>
                <w:lang w:val="en-US" w:eastAsia="zh-CN"/>
              </w:rPr>
              <w:t>消减量约为11.8t/a</w:t>
            </w:r>
            <w:r>
              <w:rPr>
                <w:rFonts w:hint="eastAsia" w:cs="Times New Roman"/>
                <w:color w:val="auto"/>
                <w:kern w:val="1"/>
                <w:szCs w:val="28"/>
                <w:lang w:val="en-US" w:eastAsia="zh-CN"/>
              </w:rPr>
              <w:t>，</w:t>
            </w:r>
            <w:r>
              <w:rPr>
                <w:rFonts w:hint="eastAsia" w:ascii="Times New Roman" w:hAnsi="Times New Roman" w:eastAsia="宋体" w:cs="Times New Roman"/>
                <w:color w:val="auto"/>
                <w:kern w:val="1"/>
                <w:szCs w:val="28"/>
                <w:lang w:val="en-US" w:eastAsia="zh-CN"/>
              </w:rPr>
              <w:t>废水处理过程中氨、硫化氢产生量约为0.034t/a和0.001t/a。</w:t>
            </w:r>
            <w:r>
              <w:rPr>
                <w:rFonts w:hint="eastAsia" w:cs="Times New Roman"/>
                <w:color w:val="auto"/>
                <w:kern w:val="1"/>
                <w:szCs w:val="28"/>
                <w:lang w:val="en-US" w:eastAsia="zh-CN"/>
              </w:rPr>
              <w:t>本项目废水依托南京娃哈哈饮料有限公司废水处理站预处理，废水处理过程产生的恶臭气体在污水处理站范围内无组织排放</w:t>
            </w:r>
            <w:r>
              <w:rPr>
                <w:rFonts w:hint="eastAsia"/>
                <w:color w:val="auto"/>
                <w:highlight w:val="none"/>
                <w:vertAlign w:val="baseline"/>
                <w:lang w:val="en-US" w:eastAsia="zh-CN"/>
              </w:rPr>
              <w:t>。</w:t>
            </w:r>
          </w:p>
          <w:p w14:paraId="1456D931">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⑤危废储存废气</w:t>
            </w:r>
          </w:p>
          <w:p w14:paraId="5695CCA6">
            <w:pPr>
              <w:keepNext w:val="0"/>
              <w:keepLines w:val="0"/>
              <w:suppressLineNumbers w:val="0"/>
              <w:spacing w:before="0" w:beforeAutospacing="0" w:after="0" w:afterAutospacing="0"/>
              <w:ind w:left="0" w:right="0" w:firstLine="480"/>
              <w:rPr>
                <w:rFonts w:hint="default" w:eastAsia="宋体"/>
                <w:color w:val="auto"/>
                <w:highlight w:val="none"/>
                <w:lang w:val="en-US" w:eastAsia="zh-CN"/>
              </w:rPr>
            </w:pPr>
            <w:r>
              <w:rPr>
                <w:rFonts w:hint="eastAsia"/>
                <w:color w:val="auto"/>
                <w:highlight w:val="none"/>
                <w:lang w:val="en-US"/>
              </w:rPr>
              <w:t>本项目危险废物</w:t>
            </w:r>
            <w:r>
              <w:rPr>
                <w:rFonts w:hint="eastAsia"/>
                <w:color w:val="auto"/>
                <w:highlight w:val="none"/>
                <w:lang w:val="en-US" w:eastAsia="zh-CN"/>
              </w:rPr>
              <w:t>依托</w:t>
            </w:r>
            <w:r>
              <w:rPr>
                <w:rFonts w:hint="eastAsia"/>
                <w:color w:val="auto"/>
                <w:lang w:val="en-US" w:eastAsia="zh-CN"/>
              </w:rPr>
              <w:t>南京娃哈哈饮料有限公司现有危废仓库贮存，</w:t>
            </w:r>
            <w:r>
              <w:rPr>
                <w:rFonts w:hint="eastAsia"/>
                <w:color w:val="auto"/>
                <w:highlight w:val="none"/>
                <w:lang w:val="en-US"/>
              </w:rPr>
              <w:t>贮存过程中，</w:t>
            </w:r>
            <w:r>
              <w:rPr>
                <w:rFonts w:hint="eastAsia"/>
                <w:color w:val="auto"/>
                <w:highlight w:val="none"/>
                <w:lang w:val="en-US" w:eastAsia="zh-CN"/>
              </w:rPr>
              <w:t>废化学品包装桶、废活性炭等危废中残留有化学试剂、挥发性有机物，可能挥发产生非甲烷总烃、氮氧化物等废气污染物。危险废物中化学试剂、挥发性有机物残留量极少，</w:t>
            </w:r>
            <w:r>
              <w:rPr>
                <w:rFonts w:hint="eastAsia"/>
                <w:color w:val="auto"/>
                <w:highlight w:val="none"/>
                <w:lang w:val="en-US"/>
              </w:rPr>
              <w:t>且危险废物均采用加盖密闭包装，可防止有害物质挥发，因此，本项目危险废物贮存过程中产生的废气污染物极少，对环境影响很小，本报告不做定量分析。</w:t>
            </w:r>
          </w:p>
          <w:p w14:paraId="228FE6ED">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（3）食堂油烟</w:t>
            </w:r>
          </w:p>
          <w:p w14:paraId="4C7C8850">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eastAsia="zh-CN"/>
              </w:rPr>
            </w:pPr>
            <w:r>
              <w:rPr>
                <w:rFonts w:hint="default" w:ascii="Times New Roman" w:hAnsi="Times New Roman" w:eastAsia="宋体"/>
                <w:color w:val="auto"/>
                <w:highlight w:val="none"/>
                <w:lang w:val="en-US" w:eastAsia="zh-CN"/>
              </w:rPr>
              <w:t>食堂后堂在烹饪过程中有油烟产生。</w:t>
            </w:r>
            <w:r>
              <w:rPr>
                <w:rFonts w:hint="eastAsia"/>
                <w:color w:val="auto"/>
                <w:highlight w:val="none"/>
                <w:lang w:val="en-US" w:eastAsia="zh-CN"/>
              </w:rPr>
              <w:t>建设单位员工均在</w:t>
            </w:r>
            <w:r>
              <w:rPr>
                <w:rFonts w:hint="eastAsia"/>
                <w:color w:val="auto"/>
                <w:lang w:val="en-US" w:eastAsia="zh-CN"/>
              </w:rPr>
              <w:t>南京娃哈哈饮料有限公司食堂就餐</w:t>
            </w:r>
            <w:r>
              <w:rPr>
                <w:rFonts w:hint="eastAsia"/>
                <w:color w:val="auto"/>
                <w:highlight w:val="none"/>
                <w:lang w:val="en-US" w:eastAsia="zh-CN"/>
              </w:rPr>
              <w:t>，食堂油烟产生量按建设单位全体员工就餐计算，</w:t>
            </w:r>
            <w:r>
              <w:rPr>
                <w:rFonts w:hint="default" w:ascii="Times New Roman" w:hAnsi="Times New Roman" w:eastAsia="宋体"/>
                <w:color w:val="auto"/>
                <w:highlight w:val="none"/>
                <w:lang w:val="en-US" w:eastAsia="zh-CN"/>
              </w:rPr>
              <w:t>本项目职工</w:t>
            </w:r>
            <w:r>
              <w:rPr>
                <w:rFonts w:hint="eastAsia"/>
                <w:color w:val="auto"/>
                <w:highlight w:val="none"/>
                <w:lang w:val="en-US" w:eastAsia="zh-CN"/>
              </w:rPr>
              <w:t>定员</w:t>
            </w:r>
            <w:r>
              <w:rPr>
                <w:rFonts w:hint="default" w:ascii="Times New Roman" w:hAnsi="Times New Roman" w:eastAsia="宋体"/>
                <w:color w:val="auto"/>
                <w:highlight w:val="none"/>
                <w:lang w:val="en-US" w:eastAsia="zh-CN"/>
              </w:rPr>
              <w:t>为</w:t>
            </w:r>
            <w:r>
              <w:rPr>
                <w:rFonts w:hint="eastAsia"/>
                <w:color w:val="auto"/>
                <w:highlight w:val="none"/>
                <w:lang w:val="en-US" w:eastAsia="zh-CN"/>
              </w:rPr>
              <w:t>40</w:t>
            </w:r>
            <w:r>
              <w:rPr>
                <w:rFonts w:hint="default" w:ascii="Times New Roman" w:hAnsi="Times New Roman" w:eastAsia="宋体"/>
                <w:color w:val="auto"/>
                <w:highlight w:val="none"/>
                <w:lang w:val="en-US" w:eastAsia="zh-CN"/>
              </w:rPr>
              <w:t>人，每人每日食用油量约为30g，全年以300天计，则本项目每年消耗食用油约</w:t>
            </w:r>
            <w:r>
              <w:rPr>
                <w:rFonts w:hint="eastAsia"/>
                <w:color w:val="auto"/>
                <w:highlight w:val="none"/>
                <w:lang w:val="en-US" w:eastAsia="zh-CN"/>
              </w:rPr>
              <w:t>0.36</w:t>
            </w:r>
            <w:r>
              <w:rPr>
                <w:rFonts w:hint="default" w:ascii="Times New Roman" w:hAnsi="Times New Roman" w:eastAsia="宋体"/>
                <w:color w:val="auto"/>
                <w:highlight w:val="none"/>
                <w:lang w:val="en-US" w:eastAsia="zh-CN"/>
              </w:rPr>
              <w:t>t，油烟废气按照2%的产生量计算，则每年产生油烟量为0.0</w:t>
            </w:r>
            <w:r>
              <w:rPr>
                <w:rFonts w:hint="eastAsia"/>
                <w:color w:val="auto"/>
                <w:highlight w:val="none"/>
                <w:lang w:val="en-US" w:eastAsia="zh-CN"/>
              </w:rPr>
              <w:t>07</w:t>
            </w:r>
            <w:r>
              <w:rPr>
                <w:rFonts w:hint="default" w:ascii="Times New Roman" w:hAnsi="Times New Roman" w:eastAsia="宋体"/>
                <w:color w:val="auto"/>
                <w:highlight w:val="none"/>
                <w:lang w:val="en-US" w:eastAsia="zh-CN"/>
              </w:rPr>
              <w:t>t/a。项目食堂油烟经油烟净化器处理后通过烟道引至</w:t>
            </w:r>
            <w:r>
              <w:rPr>
                <w:rFonts w:hint="eastAsia"/>
                <w:color w:val="auto"/>
                <w:highlight w:val="none"/>
                <w:lang w:val="en-US" w:eastAsia="zh-CN"/>
              </w:rPr>
              <w:t>屋顶油烟排放口</w:t>
            </w:r>
            <w:r>
              <w:rPr>
                <w:rFonts w:hint="default" w:ascii="Times New Roman" w:hAnsi="Times New Roman" w:eastAsia="宋体"/>
                <w:color w:val="auto"/>
                <w:highlight w:val="none"/>
                <w:lang w:val="en-US" w:eastAsia="zh-CN"/>
              </w:rPr>
              <w:t>排放，油烟净化器处理效率为75%，</w:t>
            </w:r>
            <w:r>
              <w:rPr>
                <w:rFonts w:hint="eastAsia"/>
                <w:color w:val="auto"/>
                <w:highlight w:val="none"/>
                <w:lang w:val="en-US" w:eastAsia="zh-CN"/>
              </w:rPr>
              <w:t>则食堂油烟排放量约为0.002t/a，日排放时间按6小时计算，排放风量为8000m</w:t>
            </w:r>
            <w:r>
              <w:rPr>
                <w:rFonts w:hint="eastAsia"/>
                <w:color w:val="auto"/>
                <w:highlight w:val="none"/>
                <w:vertAlign w:val="superscript"/>
                <w:lang w:val="en-US" w:eastAsia="zh-CN"/>
              </w:rPr>
              <w:t>3</w:t>
            </w:r>
            <w:r>
              <w:rPr>
                <w:rFonts w:hint="eastAsia"/>
                <w:color w:val="auto"/>
                <w:highlight w:val="none"/>
                <w:vertAlign w:val="baseline"/>
                <w:lang w:val="en-US" w:eastAsia="zh-CN"/>
              </w:rPr>
              <w:t>/h，则食堂油烟排放浓度约为0.12mg/m</w:t>
            </w:r>
            <w:r>
              <w:rPr>
                <w:rFonts w:hint="eastAsia"/>
                <w:color w:val="auto"/>
                <w:highlight w:val="none"/>
                <w:vertAlign w:val="superscript"/>
                <w:lang w:val="en-US" w:eastAsia="zh-CN"/>
              </w:rPr>
              <w:t>3</w:t>
            </w:r>
            <w:r>
              <w:rPr>
                <w:rFonts w:hint="eastAsia"/>
                <w:color w:val="auto"/>
                <w:highlight w:val="none"/>
                <w:lang w:val="en-US" w:eastAsia="zh-CN"/>
              </w:rPr>
              <w:t>，</w:t>
            </w:r>
            <w:r>
              <w:rPr>
                <w:rFonts w:hint="default" w:ascii="Times New Roman" w:hAnsi="Times New Roman" w:eastAsia="宋体"/>
                <w:color w:val="auto"/>
                <w:highlight w:val="none"/>
                <w:lang w:val="en-US" w:eastAsia="zh-CN"/>
              </w:rPr>
              <w:t>满足《饮食业油烟排放标准（试行）》（GB18483-2001）要求，油烟排放对区域空气环境影响较小。</w:t>
            </w:r>
          </w:p>
        </w:tc>
      </w:tr>
    </w:tbl>
    <w:p w14:paraId="560F11AA">
      <w:pPr>
        <w:rPr>
          <w:rFonts w:hint="eastAsia" w:ascii="Times New Roman" w:hAnsi="Times New Roman" w:eastAsia="宋体"/>
          <w:color w:val="auto"/>
          <w:sz w:val="30"/>
          <w:szCs w:val="30"/>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5D97AA4A">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Times New Roman" w:hAnsi="Times New Roman" w:eastAsia="宋体"/>
          <w:color w:val="auto"/>
          <w:sz w:val="20"/>
          <w:szCs w:val="20"/>
          <w:highlight w:val="none"/>
        </w:rPr>
      </w:pPr>
    </w:p>
    <w:tbl>
      <w:tblPr>
        <w:tblStyle w:val="16"/>
        <w:tblW w:w="500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410"/>
        <w:gridCol w:w="13603"/>
      </w:tblGrid>
      <w:tr w14:paraId="4FE033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410" w:type="dxa"/>
            <w:tcMar>
              <w:top w:w="16" w:type="dxa"/>
              <w:left w:w="16" w:type="dxa"/>
              <w:right w:w="16" w:type="dxa"/>
            </w:tcMar>
            <w:vAlign w:val="center"/>
          </w:tcPr>
          <w:p w14:paraId="2980C85D">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运营期环境影响和保护措施</w:t>
            </w:r>
          </w:p>
        </w:tc>
        <w:tc>
          <w:tcPr>
            <w:tcW w:w="13592" w:type="dxa"/>
            <w:vAlign w:val="center"/>
          </w:tcPr>
          <w:p w14:paraId="7AFE7D88">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rPr>
              <w:t>本项目主要污染物源强核算见下表</w:t>
            </w:r>
            <w:r>
              <w:rPr>
                <w:rFonts w:hint="eastAsia" w:ascii="Times New Roman" w:hAnsi="Times New Roman" w:eastAsia="宋体"/>
                <w:color w:val="auto"/>
                <w:highlight w:val="none"/>
                <w:lang w:val="en-US" w:eastAsia="zh-CN"/>
              </w:rPr>
              <w:t>：</w:t>
            </w:r>
          </w:p>
          <w:p w14:paraId="232F8DA9">
            <w:pPr>
              <w:pStyle w:val="23"/>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表4-</w:t>
            </w:r>
            <w:r>
              <w:rPr>
                <w:rFonts w:hint="eastAsia"/>
                <w:color w:val="auto"/>
                <w:highlight w:val="none"/>
                <w:lang w:val="en-US" w:eastAsia="zh-CN"/>
              </w:rPr>
              <w:t>1</w:t>
            </w:r>
            <w:r>
              <w:rPr>
                <w:rFonts w:hint="eastAsia" w:ascii="Times New Roman" w:hAnsi="Times New Roman" w:eastAsia="宋体"/>
                <w:color w:val="auto"/>
                <w:highlight w:val="none"/>
                <w:lang w:val="en-US" w:eastAsia="zh-CN"/>
              </w:rPr>
              <w:t>主要大气污染物源强核算一览表</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1338"/>
              <w:gridCol w:w="943"/>
              <w:gridCol w:w="1244"/>
              <w:gridCol w:w="2838"/>
              <w:gridCol w:w="1007"/>
              <w:gridCol w:w="1468"/>
              <w:gridCol w:w="1010"/>
              <w:gridCol w:w="1144"/>
              <w:gridCol w:w="760"/>
              <w:gridCol w:w="879"/>
              <w:gridCol w:w="916"/>
            </w:tblGrid>
            <w:tr w14:paraId="1A9AB9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PrEx>
              <w:trPr>
                <w:trHeight w:val="283" w:hRule="atLeast"/>
                <w:jc w:val="center"/>
              </w:trPr>
              <w:tc>
                <w:tcPr>
                  <w:tcW w:w="1338" w:type="dxa"/>
                  <w:tcBorders>
                    <w:tl2br w:val="nil"/>
                    <w:tr2bl w:val="nil"/>
                  </w:tcBorders>
                  <w:shd w:val="clear" w:color="auto" w:fill="auto"/>
                  <w:vAlign w:val="center"/>
                </w:tcPr>
                <w:p w14:paraId="67D01DB0">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污染源</w:t>
                  </w:r>
                </w:p>
              </w:tc>
              <w:tc>
                <w:tcPr>
                  <w:tcW w:w="943" w:type="dxa"/>
                  <w:tcBorders>
                    <w:tl2br w:val="nil"/>
                    <w:tr2bl w:val="nil"/>
                  </w:tcBorders>
                  <w:shd w:val="clear" w:color="auto" w:fill="auto"/>
                  <w:vAlign w:val="center"/>
                </w:tcPr>
                <w:p w14:paraId="438296C1">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产污编号</w:t>
                  </w:r>
                </w:p>
              </w:tc>
              <w:tc>
                <w:tcPr>
                  <w:tcW w:w="1244" w:type="dxa"/>
                  <w:tcBorders>
                    <w:tl2br w:val="nil"/>
                    <w:tr2bl w:val="nil"/>
                  </w:tcBorders>
                  <w:shd w:val="clear" w:color="auto" w:fill="auto"/>
                  <w:vAlign w:val="center"/>
                </w:tcPr>
                <w:p w14:paraId="75CBF62E">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污染物</w:t>
                  </w:r>
                </w:p>
              </w:tc>
              <w:tc>
                <w:tcPr>
                  <w:tcW w:w="2838" w:type="dxa"/>
                  <w:tcBorders>
                    <w:tl2br w:val="nil"/>
                    <w:tr2bl w:val="nil"/>
                  </w:tcBorders>
                  <w:shd w:val="clear" w:color="auto" w:fill="auto"/>
                  <w:vAlign w:val="center"/>
                </w:tcPr>
                <w:p w14:paraId="4A7920D8">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核算方法</w:t>
                  </w:r>
                </w:p>
              </w:tc>
              <w:tc>
                <w:tcPr>
                  <w:tcW w:w="1007" w:type="dxa"/>
                  <w:tcBorders>
                    <w:tl2br w:val="nil"/>
                    <w:tr2bl w:val="nil"/>
                  </w:tcBorders>
                  <w:shd w:val="clear" w:color="auto" w:fill="auto"/>
                  <w:vAlign w:val="center"/>
                </w:tcPr>
                <w:p w14:paraId="1E36EAAE">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物料名称</w:t>
                  </w:r>
                </w:p>
              </w:tc>
              <w:tc>
                <w:tcPr>
                  <w:tcW w:w="1468" w:type="dxa"/>
                  <w:tcBorders>
                    <w:tl2br w:val="nil"/>
                    <w:tr2bl w:val="nil"/>
                  </w:tcBorders>
                  <w:shd w:val="clear" w:color="auto" w:fill="auto"/>
                  <w:vAlign w:val="center"/>
                </w:tcPr>
                <w:p w14:paraId="4DC22EF1">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产污系数</w:t>
                  </w:r>
                </w:p>
              </w:tc>
              <w:tc>
                <w:tcPr>
                  <w:tcW w:w="1010" w:type="dxa"/>
                  <w:tcBorders>
                    <w:tl2br w:val="nil"/>
                    <w:tr2bl w:val="nil"/>
                  </w:tcBorders>
                  <w:shd w:val="clear" w:color="auto" w:fill="auto"/>
                  <w:vAlign w:val="center"/>
                </w:tcPr>
                <w:p w14:paraId="774F7294">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污染物产生量</w:t>
                  </w:r>
                  <w:r>
                    <w:rPr>
                      <w:rFonts w:hint="default" w:ascii="Times New Roman" w:hAnsi="Times New Roman" w:eastAsia="宋体" w:cs="Times New Roman"/>
                      <w:b/>
                      <w:bCs/>
                      <w:color w:val="auto"/>
                      <w:kern w:val="0"/>
                      <w:sz w:val="21"/>
                      <w:szCs w:val="21"/>
                      <w:highlight w:val="none"/>
                      <w:lang w:val="en-US" w:eastAsia="zh-CN" w:bidi="ar"/>
                    </w:rPr>
                    <w:t>t/a</w:t>
                  </w:r>
                </w:p>
              </w:tc>
              <w:tc>
                <w:tcPr>
                  <w:tcW w:w="1144" w:type="dxa"/>
                  <w:tcBorders>
                    <w:tl2br w:val="nil"/>
                    <w:tr2bl w:val="nil"/>
                  </w:tcBorders>
                  <w:shd w:val="clear" w:color="auto" w:fill="auto"/>
                  <w:vAlign w:val="center"/>
                </w:tcPr>
                <w:p w14:paraId="50DC7F63">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收集方式</w:t>
                  </w:r>
                </w:p>
              </w:tc>
              <w:tc>
                <w:tcPr>
                  <w:tcW w:w="760" w:type="dxa"/>
                  <w:tcBorders>
                    <w:tl2br w:val="nil"/>
                    <w:tr2bl w:val="nil"/>
                  </w:tcBorders>
                  <w:shd w:val="clear" w:color="auto" w:fill="auto"/>
                  <w:vAlign w:val="center"/>
                </w:tcPr>
                <w:p w14:paraId="65268EC3">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收集效率</w:t>
                  </w:r>
                  <w:r>
                    <w:rPr>
                      <w:rFonts w:hint="default" w:ascii="Times New Roman" w:hAnsi="Times New Roman" w:eastAsia="宋体" w:cs="Times New Roman"/>
                      <w:b/>
                      <w:bCs/>
                      <w:color w:val="auto"/>
                      <w:kern w:val="0"/>
                      <w:sz w:val="21"/>
                      <w:szCs w:val="21"/>
                      <w:highlight w:val="none"/>
                      <w:lang w:val="en-US" w:eastAsia="zh-CN" w:bidi="ar"/>
                    </w:rPr>
                    <w:t>%</w:t>
                  </w:r>
                </w:p>
              </w:tc>
              <w:tc>
                <w:tcPr>
                  <w:tcW w:w="879" w:type="dxa"/>
                  <w:tcBorders>
                    <w:tl2br w:val="nil"/>
                    <w:tr2bl w:val="nil"/>
                  </w:tcBorders>
                  <w:shd w:val="clear" w:color="auto" w:fill="auto"/>
                  <w:vAlign w:val="center"/>
                </w:tcPr>
                <w:p w14:paraId="0FDD01E4">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有组织产生量</w:t>
                  </w:r>
                  <w:r>
                    <w:rPr>
                      <w:rFonts w:hint="default" w:ascii="Times New Roman" w:hAnsi="Times New Roman" w:eastAsia="宋体" w:cs="Times New Roman"/>
                      <w:b/>
                      <w:bCs/>
                      <w:color w:val="auto"/>
                      <w:kern w:val="0"/>
                      <w:sz w:val="21"/>
                      <w:szCs w:val="21"/>
                      <w:highlight w:val="none"/>
                      <w:lang w:val="en-US" w:eastAsia="zh-CN" w:bidi="ar"/>
                    </w:rPr>
                    <w:t>t/a</w:t>
                  </w:r>
                </w:p>
              </w:tc>
              <w:tc>
                <w:tcPr>
                  <w:tcW w:w="916" w:type="dxa"/>
                  <w:tcBorders>
                    <w:tl2br w:val="nil"/>
                    <w:tr2bl w:val="nil"/>
                  </w:tcBorders>
                  <w:shd w:val="clear" w:color="auto" w:fill="auto"/>
                  <w:vAlign w:val="center"/>
                </w:tcPr>
                <w:p w14:paraId="267F20A8">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无组织产生量</w:t>
                  </w:r>
                  <w:r>
                    <w:rPr>
                      <w:rFonts w:hint="default" w:ascii="Times New Roman" w:hAnsi="Times New Roman" w:eastAsia="宋体" w:cs="Times New Roman"/>
                      <w:b/>
                      <w:bCs/>
                      <w:color w:val="auto"/>
                      <w:kern w:val="0"/>
                      <w:sz w:val="21"/>
                      <w:szCs w:val="21"/>
                      <w:highlight w:val="none"/>
                      <w:lang w:val="en-US" w:eastAsia="zh-CN" w:bidi="ar"/>
                    </w:rPr>
                    <w:t>t/a</w:t>
                  </w:r>
                </w:p>
              </w:tc>
            </w:tr>
            <w:tr w14:paraId="68A346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283" w:hRule="atLeast"/>
                <w:jc w:val="center"/>
              </w:trPr>
              <w:tc>
                <w:tcPr>
                  <w:tcW w:w="1338" w:type="dxa"/>
                  <w:vMerge w:val="restart"/>
                  <w:tcBorders>
                    <w:tl2br w:val="nil"/>
                    <w:tr2bl w:val="nil"/>
                  </w:tcBorders>
                  <w:shd w:val="clear" w:color="auto" w:fill="auto"/>
                  <w:vAlign w:val="center"/>
                </w:tcPr>
                <w:p w14:paraId="51F6BC41">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注塑</w:t>
                  </w:r>
                </w:p>
              </w:tc>
              <w:tc>
                <w:tcPr>
                  <w:tcW w:w="943" w:type="dxa"/>
                  <w:vMerge w:val="restart"/>
                  <w:tcBorders>
                    <w:tl2br w:val="nil"/>
                    <w:tr2bl w:val="nil"/>
                  </w:tcBorders>
                  <w:shd w:val="clear" w:color="auto" w:fill="auto"/>
                  <w:vAlign w:val="center"/>
                </w:tcPr>
                <w:p w14:paraId="66489782">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G1</w:t>
                  </w:r>
                </w:p>
              </w:tc>
              <w:tc>
                <w:tcPr>
                  <w:tcW w:w="1244" w:type="dxa"/>
                  <w:tcBorders>
                    <w:tl2br w:val="nil"/>
                    <w:tr2bl w:val="nil"/>
                  </w:tcBorders>
                  <w:shd w:val="clear" w:color="auto" w:fill="auto"/>
                  <w:vAlign w:val="center"/>
                </w:tcPr>
                <w:p w14:paraId="1FC46DF0">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0"/>
                      <w:sz w:val="21"/>
                      <w:szCs w:val="21"/>
                      <w:highlight w:val="none"/>
                    </w:rPr>
                  </w:pPr>
                  <w:r>
                    <w:rPr>
                      <w:rFonts w:hint="eastAsia" w:cs="宋体"/>
                      <w:color w:val="auto"/>
                      <w:kern w:val="0"/>
                      <w:sz w:val="21"/>
                      <w:szCs w:val="21"/>
                      <w:highlight w:val="none"/>
                      <w:lang w:val="en-US" w:eastAsia="zh-CN" w:bidi="ar"/>
                    </w:rPr>
                    <w:t>非甲烷总烃</w:t>
                  </w:r>
                </w:p>
              </w:tc>
              <w:tc>
                <w:tcPr>
                  <w:tcW w:w="2838" w:type="dxa"/>
                  <w:vMerge w:val="restart"/>
                  <w:tcBorders>
                    <w:tl2br w:val="nil"/>
                    <w:tr2bl w:val="nil"/>
                  </w:tcBorders>
                  <w:shd w:val="clear" w:color="auto" w:fill="auto"/>
                  <w:vAlign w:val="center"/>
                </w:tcPr>
                <w:p w14:paraId="40D86FC9">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0"/>
                      <w:sz w:val="21"/>
                      <w:szCs w:val="21"/>
                      <w:highlight w:val="none"/>
                      <w:lang w:eastAsia="zh-CN"/>
                    </w:rPr>
                  </w:pPr>
                  <w:r>
                    <w:rPr>
                      <w:rFonts w:hint="eastAsia" w:ascii="宋体" w:hAnsi="宋体" w:eastAsia="宋体"/>
                      <w:color w:val="auto"/>
                      <w:sz w:val="21"/>
                      <w:szCs w:val="21"/>
                    </w:rPr>
                    <w:t>《空气污染物排放和控制手册》（美国环保局）</w:t>
                  </w:r>
                </w:p>
              </w:tc>
              <w:tc>
                <w:tcPr>
                  <w:tcW w:w="1007" w:type="dxa"/>
                  <w:tcBorders>
                    <w:tl2br w:val="nil"/>
                    <w:tr2bl w:val="nil"/>
                  </w:tcBorders>
                  <w:shd w:val="clear" w:color="auto" w:fill="auto"/>
                  <w:vAlign w:val="center"/>
                </w:tcPr>
                <w:p w14:paraId="22C5DFC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PET</w:t>
                  </w:r>
                  <w:r>
                    <w:rPr>
                      <w:rFonts w:hint="eastAsia"/>
                      <w:color w:val="auto"/>
                      <w:lang w:val="en-US" w:eastAsia="zh-CN"/>
                    </w:rPr>
                    <w:t>切片</w:t>
                  </w:r>
                </w:p>
              </w:tc>
              <w:tc>
                <w:tcPr>
                  <w:tcW w:w="1468" w:type="dxa"/>
                  <w:tcBorders>
                    <w:tl2br w:val="nil"/>
                    <w:tr2bl w:val="nil"/>
                  </w:tcBorders>
                  <w:shd w:val="clear" w:color="auto" w:fill="auto"/>
                  <w:vAlign w:val="center"/>
                </w:tcPr>
                <w:p w14:paraId="729A71A5">
                  <w:pPr>
                    <w:pStyle w:val="21"/>
                    <w:keepNext w:val="0"/>
                    <w:keepLines w:val="0"/>
                    <w:suppressLineNumbers w:val="0"/>
                    <w:bidi w:val="0"/>
                    <w:spacing w:before="0" w:beforeAutospacing="0" w:after="0" w:afterAutospacing="0"/>
                    <w:ind w:left="0" w:right="0"/>
                    <w:rPr>
                      <w:rFonts w:hint="eastAsia"/>
                      <w:color w:val="auto"/>
                    </w:rPr>
                  </w:pPr>
                  <w:r>
                    <w:rPr>
                      <w:rFonts w:hint="default"/>
                      <w:color w:val="auto"/>
                      <w:lang w:val="en-US" w:eastAsia="zh-CN"/>
                    </w:rPr>
                    <w:t>0.35kg/t</w:t>
                  </w:r>
                  <w:r>
                    <w:rPr>
                      <w:rFonts w:hint="eastAsia"/>
                      <w:color w:val="auto"/>
                      <w:lang w:val="en-US" w:eastAsia="zh-CN"/>
                    </w:rPr>
                    <w:t>物料</w:t>
                  </w:r>
                </w:p>
              </w:tc>
              <w:tc>
                <w:tcPr>
                  <w:tcW w:w="1010" w:type="dxa"/>
                  <w:tcBorders>
                    <w:tl2br w:val="nil"/>
                    <w:tr2bl w:val="nil"/>
                  </w:tcBorders>
                  <w:shd w:val="clear" w:color="auto" w:fill="auto"/>
                  <w:vAlign w:val="center"/>
                </w:tcPr>
                <w:p w14:paraId="25D812B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1.418</w:t>
                  </w:r>
                </w:p>
              </w:tc>
              <w:tc>
                <w:tcPr>
                  <w:tcW w:w="1144" w:type="dxa"/>
                  <w:vMerge w:val="restart"/>
                  <w:tcBorders>
                    <w:tl2br w:val="nil"/>
                    <w:tr2bl w:val="nil"/>
                  </w:tcBorders>
                  <w:shd w:val="clear" w:color="auto" w:fill="auto"/>
                  <w:vAlign w:val="center"/>
                </w:tcPr>
                <w:p w14:paraId="474A5ECC">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集气罩收集</w:t>
                  </w:r>
                </w:p>
              </w:tc>
              <w:tc>
                <w:tcPr>
                  <w:tcW w:w="760" w:type="dxa"/>
                  <w:vMerge w:val="restart"/>
                  <w:tcBorders>
                    <w:tl2br w:val="nil"/>
                    <w:tr2bl w:val="nil"/>
                  </w:tcBorders>
                  <w:shd w:val="clear" w:color="auto" w:fill="auto"/>
                  <w:vAlign w:val="center"/>
                </w:tcPr>
                <w:p w14:paraId="39C1C38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90</w:t>
                  </w:r>
                </w:p>
              </w:tc>
              <w:tc>
                <w:tcPr>
                  <w:tcW w:w="879" w:type="dxa"/>
                  <w:tcBorders>
                    <w:tl2br w:val="nil"/>
                    <w:tr2bl w:val="nil"/>
                  </w:tcBorders>
                  <w:shd w:val="clear" w:color="auto" w:fill="auto"/>
                  <w:vAlign w:val="center"/>
                </w:tcPr>
                <w:p w14:paraId="6919FA42">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1.276</w:t>
                  </w:r>
                </w:p>
              </w:tc>
              <w:tc>
                <w:tcPr>
                  <w:tcW w:w="916" w:type="dxa"/>
                  <w:tcBorders>
                    <w:tl2br w:val="nil"/>
                    <w:tr2bl w:val="nil"/>
                  </w:tcBorders>
                  <w:shd w:val="clear" w:color="auto" w:fill="auto"/>
                  <w:vAlign w:val="center"/>
                </w:tcPr>
                <w:p w14:paraId="2AD3D2B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0.142</w:t>
                  </w:r>
                </w:p>
              </w:tc>
            </w:tr>
            <w:tr w14:paraId="5F3D89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283" w:hRule="atLeast"/>
                <w:jc w:val="center"/>
              </w:trPr>
              <w:tc>
                <w:tcPr>
                  <w:tcW w:w="1338" w:type="dxa"/>
                  <w:vMerge w:val="continue"/>
                  <w:tcBorders>
                    <w:tl2br w:val="nil"/>
                    <w:tr2bl w:val="nil"/>
                  </w:tcBorders>
                  <w:shd w:val="clear" w:color="auto" w:fill="auto"/>
                  <w:vAlign w:val="center"/>
                </w:tcPr>
                <w:p w14:paraId="6208F9E3">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cs="Times New Roman"/>
                      <w:b w:val="0"/>
                      <w:bCs w:val="0"/>
                      <w:color w:val="auto"/>
                      <w:kern w:val="0"/>
                      <w:sz w:val="21"/>
                      <w:szCs w:val="21"/>
                      <w:highlight w:val="none"/>
                      <w:lang w:val="en-US" w:eastAsia="zh-CN"/>
                    </w:rPr>
                  </w:pPr>
                </w:p>
              </w:tc>
              <w:tc>
                <w:tcPr>
                  <w:tcW w:w="943" w:type="dxa"/>
                  <w:vMerge w:val="continue"/>
                  <w:tcBorders>
                    <w:tl2br w:val="nil"/>
                    <w:tr2bl w:val="nil"/>
                  </w:tcBorders>
                  <w:shd w:val="clear" w:color="auto" w:fill="auto"/>
                  <w:vAlign w:val="center"/>
                </w:tcPr>
                <w:p w14:paraId="5423A224">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cs="Times New Roman"/>
                      <w:color w:val="auto"/>
                      <w:kern w:val="0"/>
                      <w:sz w:val="21"/>
                      <w:szCs w:val="21"/>
                      <w:highlight w:val="none"/>
                      <w:lang w:val="en-US" w:eastAsia="zh-CN"/>
                    </w:rPr>
                  </w:pPr>
                </w:p>
              </w:tc>
              <w:tc>
                <w:tcPr>
                  <w:tcW w:w="1244" w:type="dxa"/>
                  <w:tcBorders>
                    <w:tl2br w:val="nil"/>
                    <w:tr2bl w:val="nil"/>
                  </w:tcBorders>
                  <w:shd w:val="clear" w:color="auto" w:fill="auto"/>
                  <w:vAlign w:val="center"/>
                </w:tcPr>
                <w:p w14:paraId="06AA346D">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cs="宋体"/>
                      <w:color w:val="auto"/>
                      <w:kern w:val="0"/>
                      <w:sz w:val="21"/>
                      <w:szCs w:val="21"/>
                      <w:highlight w:val="none"/>
                      <w:lang w:val="en-US" w:eastAsia="zh-CN" w:bidi="ar"/>
                    </w:rPr>
                  </w:pPr>
                  <w:r>
                    <w:rPr>
                      <w:rFonts w:hint="eastAsia" w:cs="宋体"/>
                      <w:color w:val="auto"/>
                      <w:kern w:val="0"/>
                      <w:sz w:val="21"/>
                      <w:szCs w:val="21"/>
                      <w:highlight w:val="none"/>
                      <w:lang w:val="en-US" w:eastAsia="zh-CN" w:bidi="ar"/>
                    </w:rPr>
                    <w:t>乙醛</w:t>
                  </w:r>
                </w:p>
              </w:tc>
              <w:tc>
                <w:tcPr>
                  <w:tcW w:w="2838" w:type="dxa"/>
                  <w:vMerge w:val="continue"/>
                  <w:tcBorders>
                    <w:tl2br w:val="nil"/>
                    <w:tr2bl w:val="nil"/>
                  </w:tcBorders>
                  <w:shd w:val="clear" w:color="auto" w:fill="auto"/>
                  <w:vAlign w:val="center"/>
                </w:tcPr>
                <w:p w14:paraId="79435BB6">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宋体" w:hAnsi="宋体" w:eastAsia="宋体"/>
                      <w:color w:val="auto"/>
                      <w:sz w:val="21"/>
                      <w:szCs w:val="21"/>
                    </w:rPr>
                  </w:pPr>
                </w:p>
              </w:tc>
              <w:tc>
                <w:tcPr>
                  <w:tcW w:w="1007" w:type="dxa"/>
                  <w:tcBorders>
                    <w:tl2br w:val="nil"/>
                    <w:tr2bl w:val="nil"/>
                  </w:tcBorders>
                  <w:shd w:val="clear" w:color="auto" w:fill="auto"/>
                  <w:vAlign w:val="center"/>
                </w:tcPr>
                <w:p w14:paraId="4E68B9B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PET</w:t>
                  </w:r>
                  <w:r>
                    <w:rPr>
                      <w:rFonts w:hint="eastAsia"/>
                      <w:color w:val="auto"/>
                      <w:lang w:val="en-US" w:eastAsia="zh-CN"/>
                    </w:rPr>
                    <w:t>切片</w:t>
                  </w:r>
                </w:p>
              </w:tc>
              <w:tc>
                <w:tcPr>
                  <w:tcW w:w="1468" w:type="dxa"/>
                  <w:tcBorders>
                    <w:tl2br w:val="nil"/>
                    <w:tr2bl w:val="nil"/>
                  </w:tcBorders>
                  <w:shd w:val="clear" w:color="auto" w:fill="auto"/>
                  <w:vAlign w:val="center"/>
                </w:tcPr>
                <w:p w14:paraId="495DDB22">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17.16μg/g-原料</w:t>
                  </w:r>
                </w:p>
              </w:tc>
              <w:tc>
                <w:tcPr>
                  <w:tcW w:w="1010" w:type="dxa"/>
                  <w:tcBorders>
                    <w:tl2br w:val="nil"/>
                    <w:tr2bl w:val="nil"/>
                  </w:tcBorders>
                  <w:shd w:val="clear" w:color="auto" w:fill="auto"/>
                  <w:vAlign w:val="center"/>
                </w:tcPr>
                <w:p w14:paraId="263946C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0.069</w:t>
                  </w:r>
                </w:p>
              </w:tc>
              <w:tc>
                <w:tcPr>
                  <w:tcW w:w="1144" w:type="dxa"/>
                  <w:vMerge w:val="continue"/>
                  <w:tcBorders>
                    <w:tl2br w:val="nil"/>
                    <w:tr2bl w:val="nil"/>
                  </w:tcBorders>
                  <w:shd w:val="clear" w:color="auto" w:fill="auto"/>
                  <w:vAlign w:val="center"/>
                </w:tcPr>
                <w:p w14:paraId="56CD3554">
                  <w:pPr>
                    <w:pStyle w:val="21"/>
                    <w:keepNext w:val="0"/>
                    <w:keepLines w:val="0"/>
                    <w:suppressLineNumbers w:val="0"/>
                    <w:bidi w:val="0"/>
                    <w:spacing w:before="0" w:beforeAutospacing="0" w:after="0" w:afterAutospacing="0"/>
                    <w:ind w:left="0" w:right="0"/>
                    <w:rPr>
                      <w:rFonts w:hint="eastAsia"/>
                      <w:color w:val="auto"/>
                      <w:lang w:val="en-US" w:eastAsia="zh-CN"/>
                    </w:rPr>
                  </w:pPr>
                </w:p>
              </w:tc>
              <w:tc>
                <w:tcPr>
                  <w:tcW w:w="760" w:type="dxa"/>
                  <w:vMerge w:val="continue"/>
                  <w:tcBorders>
                    <w:tl2br w:val="nil"/>
                    <w:tr2bl w:val="nil"/>
                  </w:tcBorders>
                  <w:shd w:val="clear" w:color="auto" w:fill="auto"/>
                  <w:vAlign w:val="center"/>
                </w:tcPr>
                <w:p w14:paraId="76E72355">
                  <w:pPr>
                    <w:pStyle w:val="21"/>
                    <w:keepNext w:val="0"/>
                    <w:keepLines w:val="0"/>
                    <w:suppressLineNumbers w:val="0"/>
                    <w:bidi w:val="0"/>
                    <w:spacing w:before="0" w:beforeAutospacing="0" w:after="0" w:afterAutospacing="0"/>
                    <w:ind w:left="0" w:right="0"/>
                    <w:rPr>
                      <w:rFonts w:hint="default"/>
                      <w:color w:val="auto"/>
                      <w:lang w:val="en-US" w:eastAsia="zh-CN"/>
                    </w:rPr>
                  </w:pPr>
                </w:p>
              </w:tc>
              <w:tc>
                <w:tcPr>
                  <w:tcW w:w="879" w:type="dxa"/>
                  <w:tcBorders>
                    <w:tl2br w:val="nil"/>
                    <w:tr2bl w:val="nil"/>
                  </w:tcBorders>
                  <w:shd w:val="clear" w:color="auto" w:fill="auto"/>
                  <w:vAlign w:val="center"/>
                </w:tcPr>
                <w:p w14:paraId="09DB43F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0.062</w:t>
                  </w:r>
                </w:p>
              </w:tc>
              <w:tc>
                <w:tcPr>
                  <w:tcW w:w="916" w:type="dxa"/>
                  <w:tcBorders>
                    <w:tl2br w:val="nil"/>
                    <w:tr2bl w:val="nil"/>
                  </w:tcBorders>
                  <w:shd w:val="clear" w:color="auto" w:fill="auto"/>
                  <w:vAlign w:val="center"/>
                </w:tcPr>
                <w:p w14:paraId="14FB37B0">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0.007</w:t>
                  </w:r>
                </w:p>
              </w:tc>
            </w:tr>
            <w:tr w14:paraId="50D74E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283" w:hRule="atLeast"/>
                <w:jc w:val="center"/>
              </w:trPr>
              <w:tc>
                <w:tcPr>
                  <w:tcW w:w="1338" w:type="dxa"/>
                  <w:vMerge w:val="restart"/>
                  <w:tcBorders>
                    <w:tl2br w:val="nil"/>
                    <w:tr2bl w:val="nil"/>
                  </w:tcBorders>
                  <w:shd w:val="clear" w:color="auto" w:fill="auto"/>
                  <w:vAlign w:val="center"/>
                </w:tcPr>
                <w:p w14:paraId="770BC3E0">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cs="Times New Roman"/>
                      <w:b w:val="0"/>
                      <w:bCs w:val="0"/>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压盖</w:t>
                  </w:r>
                </w:p>
              </w:tc>
              <w:tc>
                <w:tcPr>
                  <w:tcW w:w="943" w:type="dxa"/>
                  <w:vMerge w:val="restart"/>
                  <w:tcBorders>
                    <w:tl2br w:val="nil"/>
                    <w:tr2bl w:val="nil"/>
                  </w:tcBorders>
                  <w:shd w:val="clear" w:color="auto" w:fill="auto"/>
                  <w:vAlign w:val="center"/>
                </w:tcPr>
                <w:p w14:paraId="06CCE4D1">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G2</w:t>
                  </w:r>
                </w:p>
              </w:tc>
              <w:tc>
                <w:tcPr>
                  <w:tcW w:w="1244" w:type="dxa"/>
                  <w:tcBorders>
                    <w:tl2br w:val="nil"/>
                    <w:tr2bl w:val="nil"/>
                  </w:tcBorders>
                  <w:shd w:val="clear" w:color="auto" w:fill="auto"/>
                  <w:vAlign w:val="center"/>
                </w:tcPr>
                <w:p w14:paraId="0E187B85">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cs="宋体"/>
                      <w:color w:val="auto"/>
                      <w:kern w:val="0"/>
                      <w:sz w:val="21"/>
                      <w:szCs w:val="21"/>
                      <w:highlight w:val="none"/>
                      <w:lang w:val="en-US" w:eastAsia="zh-CN" w:bidi="ar"/>
                    </w:rPr>
                  </w:pPr>
                  <w:r>
                    <w:rPr>
                      <w:rFonts w:hint="eastAsia" w:cs="宋体"/>
                      <w:color w:val="auto"/>
                      <w:kern w:val="0"/>
                      <w:sz w:val="21"/>
                      <w:szCs w:val="21"/>
                      <w:highlight w:val="none"/>
                      <w:lang w:val="en-US" w:eastAsia="zh-CN" w:bidi="ar"/>
                    </w:rPr>
                    <w:t>非甲烷总烃</w:t>
                  </w:r>
                </w:p>
              </w:tc>
              <w:tc>
                <w:tcPr>
                  <w:tcW w:w="2838" w:type="dxa"/>
                  <w:vMerge w:val="continue"/>
                  <w:tcBorders>
                    <w:tl2br w:val="nil"/>
                    <w:tr2bl w:val="nil"/>
                  </w:tcBorders>
                  <w:shd w:val="clear" w:color="auto" w:fill="auto"/>
                  <w:vAlign w:val="center"/>
                </w:tcPr>
                <w:p w14:paraId="46BFE50F">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宋体" w:hAnsi="宋体" w:eastAsia="宋体"/>
                      <w:color w:val="auto"/>
                      <w:sz w:val="21"/>
                      <w:szCs w:val="21"/>
                    </w:rPr>
                  </w:pPr>
                </w:p>
              </w:tc>
              <w:tc>
                <w:tcPr>
                  <w:tcW w:w="1007" w:type="dxa"/>
                  <w:tcBorders>
                    <w:tl2br w:val="nil"/>
                    <w:tr2bl w:val="nil"/>
                  </w:tcBorders>
                  <w:shd w:val="clear" w:color="auto" w:fill="auto"/>
                  <w:vAlign w:val="center"/>
                </w:tcPr>
                <w:p w14:paraId="0BE266C7">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PET</w:t>
                  </w:r>
                  <w:r>
                    <w:rPr>
                      <w:rFonts w:hint="eastAsia"/>
                      <w:color w:val="auto"/>
                      <w:lang w:val="en-US" w:eastAsia="zh-CN"/>
                    </w:rPr>
                    <w:t>切片</w:t>
                  </w:r>
                </w:p>
              </w:tc>
              <w:tc>
                <w:tcPr>
                  <w:tcW w:w="1468" w:type="dxa"/>
                  <w:tcBorders>
                    <w:tl2br w:val="nil"/>
                    <w:tr2bl w:val="nil"/>
                  </w:tcBorders>
                  <w:shd w:val="clear" w:color="auto" w:fill="auto"/>
                  <w:vAlign w:val="center"/>
                </w:tcPr>
                <w:p w14:paraId="1B320BC7">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0.35kg/t</w:t>
                  </w:r>
                  <w:r>
                    <w:rPr>
                      <w:rFonts w:hint="eastAsia"/>
                      <w:color w:val="auto"/>
                      <w:lang w:val="en-US" w:eastAsia="zh-CN"/>
                    </w:rPr>
                    <w:t>物料</w:t>
                  </w:r>
                </w:p>
              </w:tc>
              <w:tc>
                <w:tcPr>
                  <w:tcW w:w="1010" w:type="dxa"/>
                  <w:tcBorders>
                    <w:tl2br w:val="nil"/>
                    <w:tr2bl w:val="nil"/>
                  </w:tcBorders>
                  <w:shd w:val="clear" w:color="auto" w:fill="auto"/>
                  <w:vAlign w:val="center"/>
                </w:tcPr>
                <w:p w14:paraId="5805F668">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0.018</w:t>
                  </w:r>
                </w:p>
              </w:tc>
              <w:tc>
                <w:tcPr>
                  <w:tcW w:w="1144" w:type="dxa"/>
                  <w:vMerge w:val="restart"/>
                  <w:tcBorders>
                    <w:tl2br w:val="nil"/>
                    <w:tr2bl w:val="nil"/>
                  </w:tcBorders>
                  <w:shd w:val="clear" w:color="auto" w:fill="auto"/>
                  <w:vAlign w:val="center"/>
                </w:tcPr>
                <w:p w14:paraId="2204AF5F">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密闭收集</w:t>
                  </w:r>
                </w:p>
              </w:tc>
              <w:tc>
                <w:tcPr>
                  <w:tcW w:w="760" w:type="dxa"/>
                  <w:vMerge w:val="restart"/>
                  <w:tcBorders>
                    <w:tl2br w:val="nil"/>
                    <w:tr2bl w:val="nil"/>
                  </w:tcBorders>
                  <w:shd w:val="clear" w:color="auto" w:fill="auto"/>
                  <w:vAlign w:val="center"/>
                </w:tcPr>
                <w:p w14:paraId="7A4FC68E">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95</w:t>
                  </w:r>
                </w:p>
              </w:tc>
              <w:tc>
                <w:tcPr>
                  <w:tcW w:w="879" w:type="dxa"/>
                  <w:tcBorders>
                    <w:tl2br w:val="nil"/>
                    <w:tr2bl w:val="nil"/>
                  </w:tcBorders>
                  <w:shd w:val="clear" w:color="auto" w:fill="auto"/>
                  <w:vAlign w:val="center"/>
                </w:tcPr>
                <w:p w14:paraId="391138E1">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0.017</w:t>
                  </w:r>
                </w:p>
              </w:tc>
              <w:tc>
                <w:tcPr>
                  <w:tcW w:w="916" w:type="dxa"/>
                  <w:tcBorders>
                    <w:tl2br w:val="nil"/>
                    <w:tr2bl w:val="nil"/>
                  </w:tcBorders>
                  <w:shd w:val="clear" w:color="auto" w:fill="auto"/>
                  <w:vAlign w:val="center"/>
                </w:tcPr>
                <w:p w14:paraId="5BD29847">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0.001</w:t>
                  </w:r>
                </w:p>
              </w:tc>
            </w:tr>
            <w:tr w14:paraId="012429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283" w:hRule="atLeast"/>
                <w:jc w:val="center"/>
              </w:trPr>
              <w:tc>
                <w:tcPr>
                  <w:tcW w:w="1338" w:type="dxa"/>
                  <w:vMerge w:val="continue"/>
                  <w:tcBorders>
                    <w:tl2br w:val="nil"/>
                    <w:tr2bl w:val="nil"/>
                  </w:tcBorders>
                  <w:shd w:val="clear" w:color="auto" w:fill="auto"/>
                  <w:vAlign w:val="center"/>
                </w:tcPr>
                <w:p w14:paraId="53310673">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cs="Times New Roman"/>
                      <w:b w:val="0"/>
                      <w:bCs w:val="0"/>
                      <w:color w:val="auto"/>
                      <w:kern w:val="0"/>
                      <w:sz w:val="21"/>
                      <w:szCs w:val="21"/>
                      <w:highlight w:val="none"/>
                      <w:lang w:val="en-US" w:eastAsia="zh-CN"/>
                    </w:rPr>
                  </w:pPr>
                </w:p>
              </w:tc>
              <w:tc>
                <w:tcPr>
                  <w:tcW w:w="943" w:type="dxa"/>
                  <w:vMerge w:val="continue"/>
                  <w:tcBorders>
                    <w:tl2br w:val="nil"/>
                    <w:tr2bl w:val="nil"/>
                  </w:tcBorders>
                  <w:shd w:val="clear" w:color="auto" w:fill="auto"/>
                  <w:vAlign w:val="center"/>
                </w:tcPr>
                <w:p w14:paraId="64952655">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cs="Times New Roman"/>
                      <w:color w:val="auto"/>
                      <w:kern w:val="0"/>
                      <w:sz w:val="21"/>
                      <w:szCs w:val="21"/>
                      <w:highlight w:val="none"/>
                      <w:lang w:val="en-US" w:eastAsia="zh-CN"/>
                    </w:rPr>
                  </w:pPr>
                </w:p>
              </w:tc>
              <w:tc>
                <w:tcPr>
                  <w:tcW w:w="1244" w:type="dxa"/>
                  <w:tcBorders>
                    <w:tl2br w:val="nil"/>
                    <w:tr2bl w:val="nil"/>
                  </w:tcBorders>
                  <w:shd w:val="clear" w:color="auto" w:fill="auto"/>
                  <w:vAlign w:val="center"/>
                </w:tcPr>
                <w:p w14:paraId="6B198815">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cs="宋体"/>
                      <w:color w:val="auto"/>
                      <w:kern w:val="0"/>
                      <w:sz w:val="21"/>
                      <w:szCs w:val="21"/>
                      <w:highlight w:val="none"/>
                      <w:lang w:val="en-US" w:eastAsia="zh-CN" w:bidi="ar"/>
                    </w:rPr>
                  </w:pPr>
                  <w:r>
                    <w:rPr>
                      <w:rFonts w:hint="eastAsia" w:cs="宋体"/>
                      <w:color w:val="auto"/>
                      <w:kern w:val="0"/>
                      <w:sz w:val="21"/>
                      <w:szCs w:val="21"/>
                      <w:highlight w:val="none"/>
                      <w:lang w:val="en-US" w:eastAsia="zh-CN" w:bidi="ar"/>
                    </w:rPr>
                    <w:t>乙醛</w:t>
                  </w:r>
                </w:p>
              </w:tc>
              <w:tc>
                <w:tcPr>
                  <w:tcW w:w="2838" w:type="dxa"/>
                  <w:vMerge w:val="continue"/>
                  <w:tcBorders>
                    <w:tl2br w:val="nil"/>
                    <w:tr2bl w:val="nil"/>
                  </w:tcBorders>
                  <w:shd w:val="clear" w:color="auto" w:fill="auto"/>
                  <w:vAlign w:val="center"/>
                </w:tcPr>
                <w:p w14:paraId="12CDCBBE">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宋体" w:hAnsi="宋体" w:eastAsia="宋体"/>
                      <w:color w:val="auto"/>
                      <w:sz w:val="21"/>
                      <w:szCs w:val="21"/>
                    </w:rPr>
                  </w:pPr>
                </w:p>
              </w:tc>
              <w:tc>
                <w:tcPr>
                  <w:tcW w:w="1007" w:type="dxa"/>
                  <w:tcBorders>
                    <w:tl2br w:val="nil"/>
                    <w:tr2bl w:val="nil"/>
                  </w:tcBorders>
                  <w:shd w:val="clear" w:color="auto" w:fill="auto"/>
                  <w:vAlign w:val="center"/>
                </w:tcPr>
                <w:p w14:paraId="72606F7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PET</w:t>
                  </w:r>
                  <w:r>
                    <w:rPr>
                      <w:rFonts w:hint="eastAsia"/>
                      <w:color w:val="auto"/>
                      <w:lang w:val="en-US" w:eastAsia="zh-CN"/>
                    </w:rPr>
                    <w:t>切片</w:t>
                  </w:r>
                </w:p>
              </w:tc>
              <w:tc>
                <w:tcPr>
                  <w:tcW w:w="1468" w:type="dxa"/>
                  <w:tcBorders>
                    <w:tl2br w:val="nil"/>
                    <w:tr2bl w:val="nil"/>
                  </w:tcBorders>
                  <w:shd w:val="clear" w:color="auto" w:fill="auto"/>
                  <w:vAlign w:val="center"/>
                </w:tcPr>
                <w:p w14:paraId="76F5F31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17.16μg/g-原料</w:t>
                  </w:r>
                </w:p>
              </w:tc>
              <w:tc>
                <w:tcPr>
                  <w:tcW w:w="1010" w:type="dxa"/>
                  <w:tcBorders>
                    <w:tl2br w:val="nil"/>
                    <w:tr2bl w:val="nil"/>
                  </w:tcBorders>
                  <w:shd w:val="clear" w:color="auto" w:fill="auto"/>
                  <w:vAlign w:val="center"/>
                </w:tcPr>
                <w:p w14:paraId="7161A03E">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0.001</w:t>
                  </w:r>
                </w:p>
              </w:tc>
              <w:tc>
                <w:tcPr>
                  <w:tcW w:w="1144" w:type="dxa"/>
                  <w:vMerge w:val="continue"/>
                  <w:tcBorders>
                    <w:tl2br w:val="nil"/>
                    <w:tr2bl w:val="nil"/>
                  </w:tcBorders>
                  <w:shd w:val="clear" w:color="auto" w:fill="auto"/>
                  <w:vAlign w:val="center"/>
                </w:tcPr>
                <w:p w14:paraId="35196614">
                  <w:pPr>
                    <w:pStyle w:val="21"/>
                    <w:keepNext w:val="0"/>
                    <w:keepLines w:val="0"/>
                    <w:suppressLineNumbers w:val="0"/>
                    <w:bidi w:val="0"/>
                    <w:spacing w:before="0" w:beforeAutospacing="0" w:after="0" w:afterAutospacing="0"/>
                    <w:ind w:left="0" w:right="0"/>
                    <w:rPr>
                      <w:rFonts w:hint="eastAsia"/>
                      <w:color w:val="auto"/>
                      <w:lang w:val="en-US" w:eastAsia="zh-CN"/>
                    </w:rPr>
                  </w:pPr>
                </w:p>
              </w:tc>
              <w:tc>
                <w:tcPr>
                  <w:tcW w:w="760" w:type="dxa"/>
                  <w:vMerge w:val="continue"/>
                  <w:tcBorders>
                    <w:tl2br w:val="nil"/>
                    <w:tr2bl w:val="nil"/>
                  </w:tcBorders>
                  <w:shd w:val="clear" w:color="auto" w:fill="auto"/>
                  <w:vAlign w:val="center"/>
                </w:tcPr>
                <w:p w14:paraId="3B304EB0">
                  <w:pPr>
                    <w:pStyle w:val="21"/>
                    <w:keepNext w:val="0"/>
                    <w:keepLines w:val="0"/>
                    <w:suppressLineNumbers w:val="0"/>
                    <w:bidi w:val="0"/>
                    <w:spacing w:before="0" w:beforeAutospacing="0" w:after="0" w:afterAutospacing="0"/>
                    <w:ind w:left="0" w:right="0"/>
                    <w:rPr>
                      <w:rFonts w:hint="default"/>
                      <w:color w:val="auto"/>
                      <w:lang w:val="en-US" w:eastAsia="zh-CN"/>
                    </w:rPr>
                  </w:pPr>
                </w:p>
              </w:tc>
              <w:tc>
                <w:tcPr>
                  <w:tcW w:w="879" w:type="dxa"/>
                  <w:tcBorders>
                    <w:tl2br w:val="nil"/>
                    <w:tr2bl w:val="nil"/>
                  </w:tcBorders>
                  <w:shd w:val="clear" w:color="auto" w:fill="auto"/>
                  <w:vAlign w:val="center"/>
                </w:tcPr>
                <w:p w14:paraId="688B960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0.00</w:t>
                  </w:r>
                  <w:r>
                    <w:rPr>
                      <w:rFonts w:hint="eastAsia"/>
                      <w:color w:val="auto"/>
                      <w:lang w:val="en-US" w:eastAsia="zh-CN"/>
                    </w:rPr>
                    <w:t>09</w:t>
                  </w:r>
                </w:p>
              </w:tc>
              <w:tc>
                <w:tcPr>
                  <w:tcW w:w="916" w:type="dxa"/>
                  <w:tcBorders>
                    <w:tl2br w:val="nil"/>
                    <w:tr2bl w:val="nil"/>
                  </w:tcBorders>
                  <w:shd w:val="clear" w:color="auto" w:fill="auto"/>
                  <w:vAlign w:val="center"/>
                </w:tcPr>
                <w:p w14:paraId="35895DE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0.0001</w:t>
                  </w:r>
                </w:p>
              </w:tc>
            </w:tr>
            <w:tr w14:paraId="3E9F33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283" w:hRule="atLeast"/>
                <w:jc w:val="center"/>
              </w:trPr>
              <w:tc>
                <w:tcPr>
                  <w:tcW w:w="1338" w:type="dxa"/>
                  <w:vMerge w:val="restart"/>
                  <w:tcBorders>
                    <w:tl2br w:val="nil"/>
                    <w:tr2bl w:val="nil"/>
                  </w:tcBorders>
                  <w:shd w:val="clear" w:color="auto" w:fill="auto"/>
                  <w:vAlign w:val="center"/>
                </w:tcPr>
                <w:p w14:paraId="6FD7735D">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olor w:val="auto"/>
                      <w:highlight w:val="none"/>
                      <w:lang w:val="en-US"/>
                    </w:rPr>
                  </w:pPr>
                  <w:r>
                    <w:rPr>
                      <w:rFonts w:hint="eastAsia"/>
                      <w:color w:val="auto"/>
                      <w:sz w:val="21"/>
                      <w:szCs w:val="21"/>
                      <w:highlight w:val="none"/>
                      <w:lang w:val="en-US" w:eastAsia="zh-CN"/>
                    </w:rPr>
                    <w:t>吹制成瓶</w:t>
                  </w:r>
                </w:p>
              </w:tc>
              <w:tc>
                <w:tcPr>
                  <w:tcW w:w="943" w:type="dxa"/>
                  <w:vMerge w:val="restart"/>
                  <w:tcBorders>
                    <w:tl2br w:val="nil"/>
                    <w:tr2bl w:val="nil"/>
                  </w:tcBorders>
                  <w:shd w:val="clear" w:color="auto" w:fill="auto"/>
                  <w:vAlign w:val="center"/>
                </w:tcPr>
                <w:p w14:paraId="2D729905">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G</w:t>
                  </w:r>
                  <w:r>
                    <w:rPr>
                      <w:rFonts w:hint="eastAsia" w:cs="Times New Roman"/>
                      <w:color w:val="auto"/>
                      <w:kern w:val="0"/>
                      <w:sz w:val="21"/>
                      <w:szCs w:val="21"/>
                      <w:highlight w:val="none"/>
                      <w:lang w:val="en-US" w:eastAsia="zh-CN"/>
                    </w:rPr>
                    <w:t>3</w:t>
                  </w:r>
                </w:p>
              </w:tc>
              <w:tc>
                <w:tcPr>
                  <w:tcW w:w="1244" w:type="dxa"/>
                  <w:tcBorders>
                    <w:tl2br w:val="nil"/>
                    <w:tr2bl w:val="nil"/>
                  </w:tcBorders>
                  <w:shd w:val="clear" w:color="auto" w:fill="auto"/>
                  <w:vAlign w:val="center"/>
                </w:tcPr>
                <w:p w14:paraId="0CB86D32">
                  <w:pPr>
                    <w:keepNext w:val="0"/>
                    <w:keepLines w:val="0"/>
                    <w:widowControl w:val="0"/>
                    <w:suppressLineNumbers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宋体"/>
                      <w:color w:val="auto"/>
                      <w:kern w:val="0"/>
                      <w:sz w:val="21"/>
                      <w:szCs w:val="21"/>
                      <w:highlight w:val="none"/>
                      <w:lang w:val="en-US" w:eastAsia="zh-CN" w:bidi="ar"/>
                    </w:rPr>
                  </w:pPr>
                  <w:r>
                    <w:rPr>
                      <w:rFonts w:hint="eastAsia" w:cs="宋体"/>
                      <w:color w:val="auto"/>
                      <w:kern w:val="0"/>
                      <w:sz w:val="21"/>
                      <w:szCs w:val="21"/>
                      <w:highlight w:val="none"/>
                      <w:lang w:val="en-US" w:eastAsia="zh-CN" w:bidi="ar"/>
                    </w:rPr>
                    <w:t>非甲烷总烃</w:t>
                  </w:r>
                </w:p>
              </w:tc>
              <w:tc>
                <w:tcPr>
                  <w:tcW w:w="2838" w:type="dxa"/>
                  <w:vMerge w:val="continue"/>
                  <w:tcBorders>
                    <w:tl2br w:val="nil"/>
                    <w:tr2bl w:val="nil"/>
                  </w:tcBorders>
                  <w:shd w:val="clear" w:color="auto" w:fill="auto"/>
                  <w:vAlign w:val="center"/>
                </w:tcPr>
                <w:p w14:paraId="7842F327">
                  <w:pPr>
                    <w:keepNext w:val="0"/>
                    <w:keepLines w:val="0"/>
                    <w:widowControl w:val="0"/>
                    <w:suppressLineNumbers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0"/>
                      <w:sz w:val="21"/>
                      <w:szCs w:val="21"/>
                      <w:highlight w:val="none"/>
                      <w:lang w:val="en-US" w:eastAsia="zh-CN" w:bidi="zh-CN"/>
                    </w:rPr>
                  </w:pPr>
                </w:p>
              </w:tc>
              <w:tc>
                <w:tcPr>
                  <w:tcW w:w="1007" w:type="dxa"/>
                  <w:tcBorders>
                    <w:tl2br w:val="nil"/>
                    <w:tr2bl w:val="nil"/>
                  </w:tcBorders>
                  <w:shd w:val="clear" w:color="auto" w:fill="auto"/>
                  <w:vAlign w:val="center"/>
                </w:tcPr>
                <w:p w14:paraId="14114962">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瓶胚</w:t>
                  </w:r>
                </w:p>
              </w:tc>
              <w:tc>
                <w:tcPr>
                  <w:tcW w:w="1468" w:type="dxa"/>
                  <w:tcBorders>
                    <w:tl2br w:val="nil"/>
                    <w:tr2bl w:val="nil"/>
                  </w:tcBorders>
                  <w:shd w:val="clear" w:color="auto" w:fill="auto"/>
                  <w:vAlign w:val="center"/>
                </w:tcPr>
                <w:p w14:paraId="74ACFBD0">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0.35kg/t</w:t>
                  </w:r>
                  <w:r>
                    <w:rPr>
                      <w:rFonts w:hint="eastAsia"/>
                      <w:color w:val="auto"/>
                      <w:lang w:val="en-US" w:eastAsia="zh-CN"/>
                    </w:rPr>
                    <w:t>物料</w:t>
                  </w:r>
                </w:p>
              </w:tc>
              <w:tc>
                <w:tcPr>
                  <w:tcW w:w="1010" w:type="dxa"/>
                  <w:tcBorders>
                    <w:tl2br w:val="nil"/>
                    <w:tr2bl w:val="nil"/>
                  </w:tcBorders>
                  <w:shd w:val="clear" w:color="auto" w:fill="auto"/>
                  <w:vAlign w:val="center"/>
                </w:tcPr>
                <w:p w14:paraId="26C845C5">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1.418</w:t>
                  </w:r>
                </w:p>
              </w:tc>
              <w:tc>
                <w:tcPr>
                  <w:tcW w:w="1144" w:type="dxa"/>
                  <w:vMerge w:val="restart"/>
                  <w:tcBorders>
                    <w:tl2br w:val="nil"/>
                    <w:tr2bl w:val="nil"/>
                  </w:tcBorders>
                  <w:shd w:val="clear" w:color="auto" w:fill="auto"/>
                  <w:vAlign w:val="center"/>
                </w:tcPr>
                <w:p w14:paraId="0ED76CB7">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集气罩收集</w:t>
                  </w:r>
                </w:p>
              </w:tc>
              <w:tc>
                <w:tcPr>
                  <w:tcW w:w="760" w:type="dxa"/>
                  <w:vMerge w:val="restart"/>
                  <w:tcBorders>
                    <w:tl2br w:val="nil"/>
                    <w:tr2bl w:val="nil"/>
                  </w:tcBorders>
                  <w:shd w:val="clear" w:color="auto" w:fill="auto"/>
                  <w:vAlign w:val="center"/>
                </w:tcPr>
                <w:p w14:paraId="4AB1987D">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90</w:t>
                  </w:r>
                </w:p>
              </w:tc>
              <w:tc>
                <w:tcPr>
                  <w:tcW w:w="879" w:type="dxa"/>
                  <w:tcBorders>
                    <w:tl2br w:val="nil"/>
                    <w:tr2bl w:val="nil"/>
                  </w:tcBorders>
                  <w:shd w:val="clear" w:color="auto" w:fill="auto"/>
                  <w:vAlign w:val="center"/>
                </w:tcPr>
                <w:p w14:paraId="3AFF8F8F">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1.276</w:t>
                  </w:r>
                </w:p>
              </w:tc>
              <w:tc>
                <w:tcPr>
                  <w:tcW w:w="916" w:type="dxa"/>
                  <w:tcBorders>
                    <w:tl2br w:val="nil"/>
                    <w:tr2bl w:val="nil"/>
                  </w:tcBorders>
                  <w:shd w:val="clear" w:color="auto" w:fill="auto"/>
                  <w:vAlign w:val="center"/>
                </w:tcPr>
                <w:p w14:paraId="40056D3F">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0.142</w:t>
                  </w:r>
                </w:p>
              </w:tc>
            </w:tr>
            <w:tr w14:paraId="4B921C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283" w:hRule="atLeast"/>
                <w:jc w:val="center"/>
              </w:trPr>
              <w:tc>
                <w:tcPr>
                  <w:tcW w:w="1338" w:type="dxa"/>
                  <w:vMerge w:val="continue"/>
                  <w:tcBorders>
                    <w:tl2br w:val="nil"/>
                    <w:tr2bl w:val="nil"/>
                  </w:tcBorders>
                  <w:shd w:val="clear" w:color="auto" w:fill="auto"/>
                  <w:vAlign w:val="center"/>
                </w:tcPr>
                <w:p w14:paraId="5B22DB8C">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olor w:val="auto"/>
                      <w:highlight w:val="none"/>
                      <w:lang w:val="en-US"/>
                    </w:rPr>
                  </w:pPr>
                </w:p>
              </w:tc>
              <w:tc>
                <w:tcPr>
                  <w:tcW w:w="943" w:type="dxa"/>
                  <w:vMerge w:val="continue"/>
                  <w:tcBorders>
                    <w:tl2br w:val="nil"/>
                    <w:tr2bl w:val="nil"/>
                  </w:tcBorders>
                  <w:shd w:val="clear" w:color="auto" w:fill="auto"/>
                  <w:vAlign w:val="center"/>
                </w:tcPr>
                <w:p w14:paraId="42A25FCD">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rPr>
                  </w:pPr>
                </w:p>
              </w:tc>
              <w:tc>
                <w:tcPr>
                  <w:tcW w:w="1244" w:type="dxa"/>
                  <w:tcBorders>
                    <w:tl2br w:val="nil"/>
                    <w:tr2bl w:val="nil"/>
                  </w:tcBorders>
                  <w:shd w:val="clear" w:color="auto" w:fill="auto"/>
                  <w:vAlign w:val="center"/>
                </w:tcPr>
                <w:p w14:paraId="571A95F7">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宋体"/>
                      <w:color w:val="auto"/>
                      <w:kern w:val="0"/>
                      <w:sz w:val="21"/>
                      <w:szCs w:val="21"/>
                      <w:highlight w:val="none"/>
                      <w:lang w:val="en-US" w:eastAsia="zh-CN" w:bidi="ar"/>
                    </w:rPr>
                  </w:pPr>
                  <w:r>
                    <w:rPr>
                      <w:rFonts w:hint="eastAsia" w:cs="宋体"/>
                      <w:color w:val="auto"/>
                      <w:kern w:val="0"/>
                      <w:sz w:val="21"/>
                      <w:szCs w:val="21"/>
                      <w:highlight w:val="none"/>
                      <w:lang w:val="en-US" w:eastAsia="zh-CN" w:bidi="ar"/>
                    </w:rPr>
                    <w:t>乙醛</w:t>
                  </w:r>
                </w:p>
              </w:tc>
              <w:tc>
                <w:tcPr>
                  <w:tcW w:w="2838" w:type="dxa"/>
                  <w:vMerge w:val="continue"/>
                  <w:tcBorders>
                    <w:tl2br w:val="nil"/>
                    <w:tr2bl w:val="nil"/>
                  </w:tcBorders>
                  <w:shd w:val="clear" w:color="auto" w:fill="auto"/>
                  <w:vAlign w:val="center"/>
                </w:tcPr>
                <w:p w14:paraId="75200D39">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rPr>
                  </w:pPr>
                </w:p>
              </w:tc>
              <w:tc>
                <w:tcPr>
                  <w:tcW w:w="1007" w:type="dxa"/>
                  <w:tcBorders>
                    <w:tl2br w:val="nil"/>
                    <w:tr2bl w:val="nil"/>
                  </w:tcBorders>
                  <w:shd w:val="clear" w:color="auto" w:fill="auto"/>
                  <w:vAlign w:val="center"/>
                </w:tcPr>
                <w:p w14:paraId="6ABE258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瓶胚</w:t>
                  </w:r>
                </w:p>
              </w:tc>
              <w:tc>
                <w:tcPr>
                  <w:tcW w:w="1468" w:type="dxa"/>
                  <w:tcBorders>
                    <w:tl2br w:val="nil"/>
                    <w:tr2bl w:val="nil"/>
                  </w:tcBorders>
                  <w:shd w:val="clear" w:color="auto" w:fill="auto"/>
                  <w:vAlign w:val="center"/>
                </w:tcPr>
                <w:p w14:paraId="414A915B">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17.16μg/g-原料</w:t>
                  </w:r>
                </w:p>
              </w:tc>
              <w:tc>
                <w:tcPr>
                  <w:tcW w:w="1010" w:type="dxa"/>
                  <w:tcBorders>
                    <w:tl2br w:val="nil"/>
                    <w:tr2bl w:val="nil"/>
                  </w:tcBorders>
                  <w:shd w:val="clear" w:color="auto" w:fill="auto"/>
                  <w:vAlign w:val="center"/>
                </w:tcPr>
                <w:p w14:paraId="3D432F02">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0.069</w:t>
                  </w:r>
                </w:p>
              </w:tc>
              <w:tc>
                <w:tcPr>
                  <w:tcW w:w="1144" w:type="dxa"/>
                  <w:vMerge w:val="continue"/>
                  <w:tcBorders>
                    <w:tl2br w:val="nil"/>
                    <w:tr2bl w:val="nil"/>
                  </w:tcBorders>
                  <w:shd w:val="clear" w:color="auto" w:fill="auto"/>
                  <w:vAlign w:val="center"/>
                </w:tcPr>
                <w:p w14:paraId="4BE018D8">
                  <w:pPr>
                    <w:pStyle w:val="21"/>
                    <w:keepNext w:val="0"/>
                    <w:keepLines w:val="0"/>
                    <w:suppressLineNumbers w:val="0"/>
                    <w:bidi w:val="0"/>
                    <w:spacing w:before="0" w:beforeAutospacing="0" w:after="0" w:afterAutospacing="0"/>
                    <w:ind w:left="0" w:right="0"/>
                    <w:rPr>
                      <w:rFonts w:hint="default"/>
                      <w:color w:val="auto"/>
                      <w:lang w:val="en-US" w:eastAsia="zh-CN"/>
                    </w:rPr>
                  </w:pPr>
                </w:p>
              </w:tc>
              <w:tc>
                <w:tcPr>
                  <w:tcW w:w="760" w:type="dxa"/>
                  <w:vMerge w:val="continue"/>
                  <w:tcBorders>
                    <w:tl2br w:val="nil"/>
                    <w:tr2bl w:val="nil"/>
                  </w:tcBorders>
                  <w:shd w:val="clear" w:color="auto" w:fill="auto"/>
                  <w:vAlign w:val="center"/>
                </w:tcPr>
                <w:p w14:paraId="43F9D874">
                  <w:pPr>
                    <w:pStyle w:val="21"/>
                    <w:keepNext w:val="0"/>
                    <w:keepLines w:val="0"/>
                    <w:suppressLineNumbers w:val="0"/>
                    <w:bidi w:val="0"/>
                    <w:spacing w:before="0" w:beforeAutospacing="0" w:after="0" w:afterAutospacing="0"/>
                    <w:ind w:left="0" w:right="0"/>
                    <w:rPr>
                      <w:rFonts w:hint="default"/>
                      <w:color w:val="auto"/>
                      <w:lang w:val="en-US" w:eastAsia="zh-CN"/>
                    </w:rPr>
                  </w:pPr>
                </w:p>
              </w:tc>
              <w:tc>
                <w:tcPr>
                  <w:tcW w:w="879" w:type="dxa"/>
                  <w:tcBorders>
                    <w:tl2br w:val="nil"/>
                    <w:tr2bl w:val="nil"/>
                  </w:tcBorders>
                  <w:shd w:val="clear" w:color="auto" w:fill="auto"/>
                  <w:vAlign w:val="center"/>
                </w:tcPr>
                <w:p w14:paraId="09DF0F2F">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0.062</w:t>
                  </w:r>
                </w:p>
              </w:tc>
              <w:tc>
                <w:tcPr>
                  <w:tcW w:w="916" w:type="dxa"/>
                  <w:tcBorders>
                    <w:tl2br w:val="nil"/>
                    <w:tr2bl w:val="nil"/>
                  </w:tcBorders>
                  <w:shd w:val="clear" w:color="auto" w:fill="auto"/>
                  <w:vAlign w:val="center"/>
                </w:tcPr>
                <w:p w14:paraId="27825FEC">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0.007</w:t>
                  </w:r>
                </w:p>
              </w:tc>
            </w:tr>
            <w:tr w14:paraId="494BAF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283" w:hRule="atLeast"/>
                <w:jc w:val="center"/>
              </w:trPr>
              <w:tc>
                <w:tcPr>
                  <w:tcW w:w="1338" w:type="dxa"/>
                  <w:tcBorders>
                    <w:tl2br w:val="nil"/>
                    <w:tr2bl w:val="nil"/>
                  </w:tcBorders>
                  <w:shd w:val="clear" w:color="auto" w:fill="auto"/>
                  <w:vAlign w:val="center"/>
                </w:tcPr>
                <w:p w14:paraId="601588AB">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lang w:val="en-US" w:eastAsia="zh-CN"/>
                    </w:rPr>
                  </w:pPr>
                  <w:r>
                    <w:rPr>
                      <w:rFonts w:hint="eastAsia"/>
                      <w:color w:val="auto"/>
                      <w:sz w:val="21"/>
                      <w:szCs w:val="21"/>
                      <w:highlight w:val="none"/>
                      <w:lang w:val="en-US" w:eastAsia="zh-CN"/>
                    </w:rPr>
                    <w:t>打码</w:t>
                  </w:r>
                </w:p>
              </w:tc>
              <w:tc>
                <w:tcPr>
                  <w:tcW w:w="943" w:type="dxa"/>
                  <w:tcBorders>
                    <w:tl2br w:val="nil"/>
                    <w:tr2bl w:val="nil"/>
                  </w:tcBorders>
                  <w:shd w:val="clear" w:color="auto" w:fill="auto"/>
                  <w:vAlign w:val="center"/>
                </w:tcPr>
                <w:p w14:paraId="1DCAAE4A">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G4</w:t>
                  </w:r>
                </w:p>
              </w:tc>
              <w:tc>
                <w:tcPr>
                  <w:tcW w:w="1244" w:type="dxa"/>
                  <w:tcBorders>
                    <w:tl2br w:val="nil"/>
                    <w:tr2bl w:val="nil"/>
                  </w:tcBorders>
                  <w:shd w:val="clear" w:color="auto" w:fill="auto"/>
                  <w:vAlign w:val="center"/>
                </w:tcPr>
                <w:p w14:paraId="2C48522D">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宋体"/>
                      <w:color w:val="auto"/>
                      <w:kern w:val="0"/>
                      <w:sz w:val="21"/>
                      <w:szCs w:val="21"/>
                      <w:highlight w:val="none"/>
                      <w:lang w:val="en-US" w:eastAsia="zh-CN" w:bidi="ar"/>
                    </w:rPr>
                  </w:pPr>
                  <w:r>
                    <w:rPr>
                      <w:rFonts w:hint="eastAsia" w:cs="宋体"/>
                      <w:color w:val="auto"/>
                      <w:kern w:val="0"/>
                      <w:sz w:val="21"/>
                      <w:szCs w:val="21"/>
                      <w:highlight w:val="none"/>
                      <w:lang w:val="en-US" w:eastAsia="zh-CN" w:bidi="ar"/>
                    </w:rPr>
                    <w:t>非甲烷总烃</w:t>
                  </w:r>
                </w:p>
              </w:tc>
              <w:tc>
                <w:tcPr>
                  <w:tcW w:w="2838" w:type="dxa"/>
                  <w:tcBorders>
                    <w:tl2br w:val="nil"/>
                    <w:tr2bl w:val="nil"/>
                  </w:tcBorders>
                  <w:shd w:val="clear" w:color="auto" w:fill="auto"/>
                  <w:vAlign w:val="center"/>
                </w:tcPr>
                <w:p w14:paraId="0FE909E5">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物料衡算</w:t>
                  </w:r>
                </w:p>
              </w:tc>
              <w:tc>
                <w:tcPr>
                  <w:tcW w:w="1007" w:type="dxa"/>
                  <w:tcBorders>
                    <w:tl2br w:val="nil"/>
                    <w:tr2bl w:val="nil"/>
                  </w:tcBorders>
                  <w:shd w:val="clear" w:color="auto" w:fill="auto"/>
                  <w:vAlign w:val="center"/>
                </w:tcPr>
                <w:p w14:paraId="3739C4B7">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油墨</w:t>
                  </w:r>
                </w:p>
              </w:tc>
              <w:tc>
                <w:tcPr>
                  <w:tcW w:w="1468" w:type="dxa"/>
                  <w:tcBorders>
                    <w:tl2br w:val="nil"/>
                    <w:tr2bl w:val="nil"/>
                  </w:tcBorders>
                  <w:shd w:val="clear" w:color="auto" w:fill="auto"/>
                  <w:vAlign w:val="center"/>
                </w:tcPr>
                <w:p w14:paraId="56D99C70">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0.088kg/t物料</w:t>
                  </w:r>
                </w:p>
              </w:tc>
              <w:tc>
                <w:tcPr>
                  <w:tcW w:w="1010" w:type="dxa"/>
                  <w:tcBorders>
                    <w:tl2br w:val="nil"/>
                    <w:tr2bl w:val="nil"/>
                  </w:tcBorders>
                  <w:shd w:val="clear" w:color="auto" w:fill="auto"/>
                  <w:vAlign w:val="center"/>
                </w:tcPr>
                <w:p w14:paraId="52353B1F">
                  <w:pPr>
                    <w:pStyle w:val="21"/>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0.018</w:t>
                  </w:r>
                </w:p>
              </w:tc>
              <w:tc>
                <w:tcPr>
                  <w:tcW w:w="1144" w:type="dxa"/>
                  <w:tcBorders>
                    <w:tl2br w:val="nil"/>
                    <w:tr2bl w:val="nil"/>
                  </w:tcBorders>
                  <w:shd w:val="clear" w:color="auto" w:fill="auto"/>
                  <w:vAlign w:val="center"/>
                </w:tcPr>
                <w:p w14:paraId="2CD0F694">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w:t>
                  </w:r>
                </w:p>
              </w:tc>
              <w:tc>
                <w:tcPr>
                  <w:tcW w:w="760" w:type="dxa"/>
                  <w:tcBorders>
                    <w:tl2br w:val="nil"/>
                    <w:tr2bl w:val="nil"/>
                  </w:tcBorders>
                  <w:shd w:val="clear" w:color="auto" w:fill="auto"/>
                  <w:vAlign w:val="center"/>
                </w:tcPr>
                <w:p w14:paraId="4FA1D94B">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w:t>
                  </w:r>
                </w:p>
              </w:tc>
              <w:tc>
                <w:tcPr>
                  <w:tcW w:w="879" w:type="dxa"/>
                  <w:tcBorders>
                    <w:tl2br w:val="nil"/>
                    <w:tr2bl w:val="nil"/>
                  </w:tcBorders>
                  <w:shd w:val="clear" w:color="auto" w:fill="auto"/>
                  <w:vAlign w:val="center"/>
                </w:tcPr>
                <w:p w14:paraId="066242CD">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w:t>
                  </w:r>
                </w:p>
              </w:tc>
              <w:tc>
                <w:tcPr>
                  <w:tcW w:w="916" w:type="dxa"/>
                  <w:tcBorders>
                    <w:tl2br w:val="nil"/>
                    <w:tr2bl w:val="nil"/>
                  </w:tcBorders>
                  <w:shd w:val="clear" w:color="auto" w:fill="auto"/>
                  <w:vAlign w:val="center"/>
                </w:tcPr>
                <w:p w14:paraId="42F79B12">
                  <w:pPr>
                    <w:pStyle w:val="21"/>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0.018</w:t>
                  </w:r>
                </w:p>
              </w:tc>
            </w:tr>
            <w:tr w14:paraId="736564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283" w:hRule="atLeast"/>
                <w:jc w:val="center"/>
              </w:trPr>
              <w:tc>
                <w:tcPr>
                  <w:tcW w:w="1338" w:type="dxa"/>
                  <w:vMerge w:val="restart"/>
                  <w:tcBorders>
                    <w:tl2br w:val="nil"/>
                    <w:tr2bl w:val="nil"/>
                  </w:tcBorders>
                  <w:shd w:val="clear" w:color="auto" w:fill="auto"/>
                  <w:vAlign w:val="center"/>
                </w:tcPr>
                <w:p w14:paraId="21D2126C">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lang w:val="en-US" w:eastAsia="zh-CN"/>
                    </w:rPr>
                  </w:pPr>
                  <w:r>
                    <w:rPr>
                      <w:rFonts w:hint="eastAsia"/>
                      <w:color w:val="auto"/>
                      <w:sz w:val="21"/>
                      <w:szCs w:val="21"/>
                      <w:highlight w:val="none"/>
                      <w:lang w:val="en-US" w:eastAsia="zh-CN"/>
                    </w:rPr>
                    <w:t>废水处理</w:t>
                  </w:r>
                </w:p>
              </w:tc>
              <w:tc>
                <w:tcPr>
                  <w:tcW w:w="943" w:type="dxa"/>
                  <w:vMerge w:val="restart"/>
                  <w:tcBorders>
                    <w:tl2br w:val="nil"/>
                    <w:tr2bl w:val="nil"/>
                  </w:tcBorders>
                  <w:shd w:val="clear" w:color="auto" w:fill="auto"/>
                  <w:vAlign w:val="center"/>
                </w:tcPr>
                <w:p w14:paraId="29B288A4">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G6</w:t>
                  </w:r>
                </w:p>
              </w:tc>
              <w:tc>
                <w:tcPr>
                  <w:tcW w:w="1244" w:type="dxa"/>
                  <w:tcBorders>
                    <w:tl2br w:val="nil"/>
                    <w:tr2bl w:val="nil"/>
                  </w:tcBorders>
                  <w:shd w:val="clear" w:color="auto" w:fill="auto"/>
                  <w:vAlign w:val="center"/>
                </w:tcPr>
                <w:p w14:paraId="3ECC959F">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cs="宋体"/>
                      <w:color w:val="auto"/>
                      <w:kern w:val="0"/>
                      <w:sz w:val="21"/>
                      <w:szCs w:val="21"/>
                      <w:highlight w:val="none"/>
                      <w:lang w:val="en-US" w:eastAsia="zh-CN" w:bidi="ar"/>
                    </w:rPr>
                  </w:pPr>
                  <w:r>
                    <w:rPr>
                      <w:rFonts w:hint="eastAsia" w:cs="宋体"/>
                      <w:color w:val="auto"/>
                      <w:kern w:val="0"/>
                      <w:sz w:val="21"/>
                      <w:szCs w:val="21"/>
                      <w:highlight w:val="none"/>
                      <w:lang w:val="en-US" w:eastAsia="zh-CN" w:bidi="ar"/>
                    </w:rPr>
                    <w:t>氨</w:t>
                  </w:r>
                </w:p>
              </w:tc>
              <w:tc>
                <w:tcPr>
                  <w:tcW w:w="2838" w:type="dxa"/>
                  <w:vMerge w:val="restart"/>
                  <w:tcBorders>
                    <w:tl2br w:val="nil"/>
                    <w:tr2bl w:val="nil"/>
                  </w:tcBorders>
                  <w:shd w:val="clear" w:color="auto" w:fill="auto"/>
                  <w:vAlign w:val="center"/>
                </w:tcPr>
                <w:p w14:paraId="2312B1D6">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美国EPA对污水处理厂恶臭污染物产生情况的研究计算</w:t>
                  </w:r>
                </w:p>
              </w:tc>
              <w:tc>
                <w:tcPr>
                  <w:tcW w:w="1007" w:type="dxa"/>
                  <w:vMerge w:val="restart"/>
                  <w:tcBorders>
                    <w:tl2br w:val="nil"/>
                    <w:tr2bl w:val="nil"/>
                  </w:tcBorders>
                  <w:shd w:val="clear" w:color="auto" w:fill="auto"/>
                  <w:vAlign w:val="center"/>
                </w:tcPr>
                <w:p w14:paraId="306B0CE2">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BOD</w:t>
                  </w:r>
                  <w:r>
                    <w:rPr>
                      <w:rFonts w:hint="eastAsia" w:cs="Times New Roman"/>
                      <w:color w:val="auto"/>
                      <w:kern w:val="0"/>
                      <w:sz w:val="21"/>
                      <w:szCs w:val="21"/>
                      <w:highlight w:val="none"/>
                      <w:vertAlign w:val="subscript"/>
                      <w:lang w:val="en-US" w:eastAsia="zh-CN"/>
                    </w:rPr>
                    <w:t>5</w:t>
                  </w:r>
                  <w:r>
                    <w:rPr>
                      <w:rFonts w:hint="eastAsia" w:cs="Times New Roman"/>
                      <w:color w:val="auto"/>
                      <w:kern w:val="0"/>
                      <w:sz w:val="21"/>
                      <w:szCs w:val="21"/>
                      <w:highlight w:val="none"/>
                      <w:lang w:val="en-US" w:eastAsia="zh-CN"/>
                    </w:rPr>
                    <w:t>消减量</w:t>
                  </w:r>
                </w:p>
              </w:tc>
              <w:tc>
                <w:tcPr>
                  <w:tcW w:w="1468" w:type="dxa"/>
                  <w:tcBorders>
                    <w:tl2br w:val="nil"/>
                    <w:tr2bl w:val="nil"/>
                  </w:tcBorders>
                  <w:shd w:val="clear" w:color="auto" w:fill="auto"/>
                  <w:vAlign w:val="center"/>
                </w:tcPr>
                <w:p w14:paraId="63CB903F">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0.0031g/g</w:t>
                  </w:r>
                </w:p>
              </w:tc>
              <w:tc>
                <w:tcPr>
                  <w:tcW w:w="1010" w:type="dxa"/>
                  <w:tcBorders>
                    <w:tl2br w:val="nil"/>
                    <w:tr2bl w:val="nil"/>
                  </w:tcBorders>
                  <w:shd w:val="clear" w:color="auto" w:fill="auto"/>
                  <w:vAlign w:val="center"/>
                </w:tcPr>
                <w:p w14:paraId="06EE9A9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0.037</w:t>
                  </w:r>
                </w:p>
              </w:tc>
              <w:tc>
                <w:tcPr>
                  <w:tcW w:w="1144" w:type="dxa"/>
                  <w:tcBorders>
                    <w:tl2br w:val="nil"/>
                    <w:tr2bl w:val="nil"/>
                  </w:tcBorders>
                  <w:shd w:val="clear" w:color="auto" w:fill="auto"/>
                  <w:vAlign w:val="center"/>
                </w:tcPr>
                <w:p w14:paraId="41EC2790">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760" w:type="dxa"/>
                  <w:tcBorders>
                    <w:tl2br w:val="nil"/>
                    <w:tr2bl w:val="nil"/>
                  </w:tcBorders>
                  <w:shd w:val="clear" w:color="auto" w:fill="auto"/>
                  <w:vAlign w:val="center"/>
                </w:tcPr>
                <w:p w14:paraId="3B1D45E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879" w:type="dxa"/>
                  <w:tcBorders>
                    <w:tl2br w:val="nil"/>
                    <w:tr2bl w:val="nil"/>
                  </w:tcBorders>
                  <w:shd w:val="clear" w:color="auto" w:fill="auto"/>
                  <w:vAlign w:val="center"/>
                </w:tcPr>
                <w:p w14:paraId="03C8273B">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916" w:type="dxa"/>
                  <w:tcBorders>
                    <w:tl2br w:val="nil"/>
                    <w:tr2bl w:val="nil"/>
                  </w:tcBorders>
                  <w:shd w:val="clear" w:color="auto" w:fill="auto"/>
                  <w:vAlign w:val="center"/>
                </w:tcPr>
                <w:p w14:paraId="3F42B9C6">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0.037</w:t>
                  </w:r>
                </w:p>
              </w:tc>
            </w:tr>
            <w:tr w14:paraId="2CBF45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283" w:hRule="atLeast"/>
                <w:jc w:val="center"/>
              </w:trPr>
              <w:tc>
                <w:tcPr>
                  <w:tcW w:w="1338" w:type="dxa"/>
                  <w:vMerge w:val="continue"/>
                  <w:tcBorders>
                    <w:tl2br w:val="nil"/>
                    <w:tr2bl w:val="nil"/>
                  </w:tcBorders>
                  <w:shd w:val="clear" w:color="auto" w:fill="auto"/>
                  <w:vAlign w:val="center"/>
                </w:tcPr>
                <w:p w14:paraId="01FDE879">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color w:val="auto"/>
                      <w:sz w:val="21"/>
                      <w:szCs w:val="21"/>
                      <w:highlight w:val="none"/>
                      <w:lang w:val="en-US" w:eastAsia="zh-CN"/>
                    </w:rPr>
                  </w:pPr>
                </w:p>
              </w:tc>
              <w:tc>
                <w:tcPr>
                  <w:tcW w:w="943" w:type="dxa"/>
                  <w:vMerge w:val="continue"/>
                  <w:tcBorders>
                    <w:tl2br w:val="nil"/>
                    <w:tr2bl w:val="nil"/>
                  </w:tcBorders>
                  <w:shd w:val="clear" w:color="auto" w:fill="auto"/>
                  <w:vAlign w:val="center"/>
                </w:tcPr>
                <w:p w14:paraId="4125B5A8">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cs="Times New Roman"/>
                      <w:color w:val="auto"/>
                      <w:kern w:val="0"/>
                      <w:sz w:val="21"/>
                      <w:szCs w:val="21"/>
                      <w:highlight w:val="none"/>
                      <w:lang w:val="en-US" w:eastAsia="zh-CN"/>
                    </w:rPr>
                  </w:pPr>
                </w:p>
              </w:tc>
              <w:tc>
                <w:tcPr>
                  <w:tcW w:w="1244" w:type="dxa"/>
                  <w:tcBorders>
                    <w:tl2br w:val="nil"/>
                    <w:tr2bl w:val="nil"/>
                  </w:tcBorders>
                  <w:shd w:val="clear" w:color="auto" w:fill="auto"/>
                  <w:vAlign w:val="center"/>
                </w:tcPr>
                <w:p w14:paraId="77EB34AD">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cs="宋体"/>
                      <w:color w:val="auto"/>
                      <w:kern w:val="0"/>
                      <w:sz w:val="21"/>
                      <w:szCs w:val="21"/>
                      <w:highlight w:val="none"/>
                      <w:lang w:val="en-US" w:eastAsia="zh-CN" w:bidi="ar"/>
                    </w:rPr>
                  </w:pPr>
                  <w:r>
                    <w:rPr>
                      <w:rFonts w:hint="eastAsia" w:cs="宋体"/>
                      <w:color w:val="auto"/>
                      <w:kern w:val="0"/>
                      <w:sz w:val="21"/>
                      <w:szCs w:val="21"/>
                      <w:highlight w:val="none"/>
                      <w:lang w:val="en-US" w:eastAsia="zh-CN" w:bidi="ar"/>
                    </w:rPr>
                    <w:t>硫化氢</w:t>
                  </w:r>
                </w:p>
              </w:tc>
              <w:tc>
                <w:tcPr>
                  <w:tcW w:w="2838" w:type="dxa"/>
                  <w:vMerge w:val="continue"/>
                  <w:tcBorders>
                    <w:tl2br w:val="nil"/>
                    <w:tr2bl w:val="nil"/>
                  </w:tcBorders>
                  <w:shd w:val="clear" w:color="auto" w:fill="auto"/>
                  <w:vAlign w:val="center"/>
                </w:tcPr>
                <w:p w14:paraId="0AFF0ECA">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cs="Times New Roman"/>
                      <w:color w:val="auto"/>
                      <w:kern w:val="0"/>
                      <w:sz w:val="21"/>
                      <w:szCs w:val="21"/>
                      <w:highlight w:val="none"/>
                      <w:lang w:val="en-US" w:eastAsia="zh-CN"/>
                    </w:rPr>
                  </w:pPr>
                </w:p>
              </w:tc>
              <w:tc>
                <w:tcPr>
                  <w:tcW w:w="1007" w:type="dxa"/>
                  <w:vMerge w:val="continue"/>
                  <w:tcBorders>
                    <w:tl2br w:val="nil"/>
                    <w:tr2bl w:val="nil"/>
                  </w:tcBorders>
                  <w:shd w:val="clear" w:color="auto" w:fill="auto"/>
                  <w:vAlign w:val="center"/>
                </w:tcPr>
                <w:p w14:paraId="298F6C74">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cs="Times New Roman"/>
                      <w:color w:val="auto"/>
                      <w:kern w:val="0"/>
                      <w:sz w:val="21"/>
                      <w:szCs w:val="21"/>
                      <w:highlight w:val="none"/>
                      <w:lang w:val="en-US" w:eastAsia="zh-CN"/>
                    </w:rPr>
                  </w:pPr>
                </w:p>
              </w:tc>
              <w:tc>
                <w:tcPr>
                  <w:tcW w:w="1468" w:type="dxa"/>
                  <w:tcBorders>
                    <w:tl2br w:val="nil"/>
                    <w:tr2bl w:val="nil"/>
                  </w:tcBorders>
                  <w:shd w:val="clear" w:color="auto" w:fill="auto"/>
                  <w:vAlign w:val="center"/>
                </w:tcPr>
                <w:p w14:paraId="3869DCA5">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0.00021g/g</w:t>
                  </w:r>
                </w:p>
              </w:tc>
              <w:tc>
                <w:tcPr>
                  <w:tcW w:w="1010" w:type="dxa"/>
                  <w:tcBorders>
                    <w:tl2br w:val="nil"/>
                    <w:tr2bl w:val="nil"/>
                  </w:tcBorders>
                  <w:shd w:val="clear" w:color="auto" w:fill="auto"/>
                  <w:vAlign w:val="center"/>
                </w:tcPr>
                <w:p w14:paraId="469CA47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0.001</w:t>
                  </w:r>
                </w:p>
              </w:tc>
              <w:tc>
                <w:tcPr>
                  <w:tcW w:w="1144" w:type="dxa"/>
                  <w:tcBorders>
                    <w:tl2br w:val="nil"/>
                    <w:tr2bl w:val="nil"/>
                  </w:tcBorders>
                  <w:shd w:val="clear" w:color="auto" w:fill="auto"/>
                  <w:vAlign w:val="center"/>
                </w:tcPr>
                <w:p w14:paraId="3826E579">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w:t>
                  </w:r>
                </w:p>
              </w:tc>
              <w:tc>
                <w:tcPr>
                  <w:tcW w:w="760" w:type="dxa"/>
                  <w:tcBorders>
                    <w:tl2br w:val="nil"/>
                    <w:tr2bl w:val="nil"/>
                  </w:tcBorders>
                  <w:shd w:val="clear" w:color="auto" w:fill="auto"/>
                  <w:vAlign w:val="center"/>
                </w:tcPr>
                <w:p w14:paraId="69828237">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w:t>
                  </w:r>
                </w:p>
              </w:tc>
              <w:tc>
                <w:tcPr>
                  <w:tcW w:w="879" w:type="dxa"/>
                  <w:tcBorders>
                    <w:tl2br w:val="nil"/>
                    <w:tr2bl w:val="nil"/>
                  </w:tcBorders>
                  <w:shd w:val="clear" w:color="auto" w:fill="auto"/>
                  <w:vAlign w:val="center"/>
                </w:tcPr>
                <w:p w14:paraId="1D8D3EA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916" w:type="dxa"/>
                  <w:tcBorders>
                    <w:tl2br w:val="nil"/>
                    <w:tr2bl w:val="nil"/>
                  </w:tcBorders>
                  <w:shd w:val="clear" w:color="auto" w:fill="auto"/>
                  <w:vAlign w:val="center"/>
                </w:tcPr>
                <w:p w14:paraId="5262DB21">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0.001</w:t>
                  </w:r>
                </w:p>
              </w:tc>
            </w:tr>
            <w:tr w14:paraId="0F6601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283" w:hRule="atLeast"/>
                <w:jc w:val="center"/>
              </w:trPr>
              <w:tc>
                <w:tcPr>
                  <w:tcW w:w="1338" w:type="dxa"/>
                  <w:tcBorders>
                    <w:tl2br w:val="nil"/>
                    <w:tr2bl w:val="nil"/>
                  </w:tcBorders>
                  <w:shd w:val="clear" w:color="auto" w:fill="auto"/>
                  <w:vAlign w:val="center"/>
                </w:tcPr>
                <w:p w14:paraId="108B04DE">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lang w:val="en-US" w:eastAsia="zh-CN"/>
                    </w:rPr>
                  </w:pPr>
                  <w:r>
                    <w:rPr>
                      <w:rFonts w:hint="eastAsia" w:cs="Times New Roman"/>
                      <w:b w:val="0"/>
                      <w:bCs w:val="0"/>
                      <w:color w:val="auto"/>
                      <w:kern w:val="0"/>
                      <w:sz w:val="21"/>
                      <w:szCs w:val="21"/>
                      <w:highlight w:val="none"/>
                      <w:lang w:val="en-US" w:eastAsia="zh-CN"/>
                    </w:rPr>
                    <w:t>食堂</w:t>
                  </w:r>
                </w:p>
              </w:tc>
              <w:tc>
                <w:tcPr>
                  <w:tcW w:w="943" w:type="dxa"/>
                  <w:tcBorders>
                    <w:tl2br w:val="nil"/>
                    <w:tr2bl w:val="nil"/>
                  </w:tcBorders>
                  <w:shd w:val="clear" w:color="auto" w:fill="auto"/>
                  <w:vAlign w:val="center"/>
                </w:tcPr>
                <w:p w14:paraId="24CB4A88">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G7</w:t>
                  </w:r>
                </w:p>
              </w:tc>
              <w:tc>
                <w:tcPr>
                  <w:tcW w:w="1244" w:type="dxa"/>
                  <w:tcBorders>
                    <w:tl2br w:val="nil"/>
                    <w:tr2bl w:val="nil"/>
                  </w:tcBorders>
                  <w:shd w:val="clear" w:color="auto" w:fill="auto"/>
                  <w:vAlign w:val="center"/>
                </w:tcPr>
                <w:p w14:paraId="3EF465F8">
                  <w:pPr>
                    <w:keepNext w:val="0"/>
                    <w:keepLines w:val="0"/>
                    <w:widowControl w:val="0"/>
                    <w:suppressLineNumbers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宋体"/>
                      <w:color w:val="auto"/>
                      <w:kern w:val="0"/>
                      <w:sz w:val="21"/>
                      <w:szCs w:val="21"/>
                      <w:highlight w:val="none"/>
                      <w:lang w:val="en-US" w:eastAsia="zh-CN" w:bidi="ar"/>
                    </w:rPr>
                  </w:pPr>
                  <w:r>
                    <w:rPr>
                      <w:rFonts w:hint="eastAsia" w:cs="宋体"/>
                      <w:color w:val="auto"/>
                      <w:kern w:val="0"/>
                      <w:sz w:val="21"/>
                      <w:szCs w:val="21"/>
                      <w:highlight w:val="none"/>
                      <w:lang w:val="en-US" w:eastAsia="zh-CN" w:bidi="ar"/>
                    </w:rPr>
                    <w:t>食堂油烟</w:t>
                  </w:r>
                </w:p>
              </w:tc>
              <w:tc>
                <w:tcPr>
                  <w:tcW w:w="2838" w:type="dxa"/>
                  <w:tcBorders>
                    <w:tl2br w:val="nil"/>
                    <w:tr2bl w:val="nil"/>
                  </w:tcBorders>
                  <w:shd w:val="clear" w:color="auto" w:fill="auto"/>
                  <w:vAlign w:val="center"/>
                </w:tcPr>
                <w:p w14:paraId="469A8099">
                  <w:pPr>
                    <w:keepNext w:val="0"/>
                    <w:keepLines w:val="0"/>
                    <w:widowControl w:val="0"/>
                    <w:suppressLineNumbers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0"/>
                      <w:sz w:val="21"/>
                      <w:szCs w:val="21"/>
                      <w:highlight w:val="none"/>
                      <w:lang w:val="en-US" w:eastAsia="zh-CN" w:bidi="zh-CN"/>
                    </w:rPr>
                  </w:pPr>
                  <w:r>
                    <w:rPr>
                      <w:rFonts w:hint="eastAsia" w:cs="Times New Roman"/>
                      <w:color w:val="auto"/>
                      <w:kern w:val="0"/>
                      <w:sz w:val="21"/>
                      <w:szCs w:val="21"/>
                      <w:highlight w:val="none"/>
                      <w:lang w:val="en-US" w:eastAsia="zh-CN"/>
                    </w:rPr>
                    <w:t>类比法</w:t>
                  </w:r>
                </w:p>
              </w:tc>
              <w:tc>
                <w:tcPr>
                  <w:tcW w:w="1007" w:type="dxa"/>
                  <w:tcBorders>
                    <w:tl2br w:val="nil"/>
                    <w:tr2bl w:val="nil"/>
                  </w:tcBorders>
                  <w:shd w:val="clear" w:color="auto" w:fill="auto"/>
                  <w:vAlign w:val="center"/>
                </w:tcPr>
                <w:p w14:paraId="089B475C">
                  <w:pPr>
                    <w:keepNext w:val="0"/>
                    <w:keepLines w:val="0"/>
                    <w:widowControl w:val="0"/>
                    <w:suppressLineNumbers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0"/>
                      <w:sz w:val="21"/>
                      <w:szCs w:val="21"/>
                      <w:highlight w:val="none"/>
                      <w:lang w:val="en-US" w:eastAsia="zh-CN" w:bidi="zh-CN"/>
                    </w:rPr>
                  </w:pPr>
                  <w:r>
                    <w:rPr>
                      <w:rFonts w:hint="eastAsia" w:cs="Times New Roman"/>
                      <w:color w:val="auto"/>
                      <w:kern w:val="0"/>
                      <w:sz w:val="21"/>
                      <w:szCs w:val="21"/>
                      <w:highlight w:val="none"/>
                      <w:lang w:val="en-US" w:eastAsia="zh-CN"/>
                    </w:rPr>
                    <w:t>食用油</w:t>
                  </w:r>
                </w:p>
              </w:tc>
              <w:tc>
                <w:tcPr>
                  <w:tcW w:w="1468" w:type="dxa"/>
                  <w:tcBorders>
                    <w:tl2br w:val="nil"/>
                    <w:tr2bl w:val="nil"/>
                  </w:tcBorders>
                  <w:shd w:val="clear" w:color="auto" w:fill="auto"/>
                  <w:vAlign w:val="center"/>
                </w:tcPr>
                <w:p w14:paraId="2A2D0E13">
                  <w:pPr>
                    <w:keepNext w:val="0"/>
                    <w:keepLines w:val="0"/>
                    <w:widowControl w:val="0"/>
                    <w:suppressLineNumbers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b w:val="0"/>
                      <w:bCs w:val="0"/>
                      <w:color w:val="auto"/>
                      <w:kern w:val="0"/>
                      <w:sz w:val="21"/>
                      <w:szCs w:val="21"/>
                      <w:highlight w:val="none"/>
                      <w:lang w:val="en-US" w:eastAsia="zh-CN" w:bidi="zh-CN"/>
                    </w:rPr>
                  </w:pPr>
                  <w:r>
                    <w:rPr>
                      <w:rFonts w:hint="eastAsia" w:cs="Times New Roman"/>
                      <w:b w:val="0"/>
                      <w:bCs w:val="0"/>
                      <w:color w:val="auto"/>
                      <w:kern w:val="0"/>
                      <w:sz w:val="21"/>
                      <w:szCs w:val="21"/>
                      <w:highlight w:val="none"/>
                      <w:lang w:val="en-US" w:eastAsia="zh-CN"/>
                    </w:rPr>
                    <w:t>0.02g/g食用油</w:t>
                  </w:r>
                </w:p>
              </w:tc>
              <w:tc>
                <w:tcPr>
                  <w:tcW w:w="1010" w:type="dxa"/>
                  <w:tcBorders>
                    <w:tl2br w:val="nil"/>
                    <w:tr2bl w:val="nil"/>
                  </w:tcBorders>
                  <w:shd w:val="clear" w:color="auto" w:fill="auto"/>
                  <w:vAlign w:val="center"/>
                </w:tcPr>
                <w:p w14:paraId="79EAFB6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0.007</w:t>
                  </w:r>
                </w:p>
              </w:tc>
              <w:tc>
                <w:tcPr>
                  <w:tcW w:w="1144" w:type="dxa"/>
                  <w:tcBorders>
                    <w:tl2br w:val="nil"/>
                    <w:tr2bl w:val="nil"/>
                  </w:tcBorders>
                  <w:shd w:val="clear" w:color="auto" w:fill="auto"/>
                  <w:vAlign w:val="center"/>
                </w:tcPr>
                <w:p w14:paraId="3ADEBA0B">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w:t>
                  </w:r>
                </w:p>
              </w:tc>
              <w:tc>
                <w:tcPr>
                  <w:tcW w:w="760" w:type="dxa"/>
                  <w:tcBorders>
                    <w:tl2br w:val="nil"/>
                    <w:tr2bl w:val="nil"/>
                  </w:tcBorders>
                  <w:shd w:val="clear" w:color="auto" w:fill="auto"/>
                  <w:vAlign w:val="center"/>
                </w:tcPr>
                <w:p w14:paraId="5DBA9819">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w:t>
                  </w:r>
                </w:p>
              </w:tc>
              <w:tc>
                <w:tcPr>
                  <w:tcW w:w="879" w:type="dxa"/>
                  <w:tcBorders>
                    <w:tl2br w:val="nil"/>
                    <w:tr2bl w:val="nil"/>
                  </w:tcBorders>
                  <w:shd w:val="clear" w:color="auto" w:fill="auto"/>
                  <w:vAlign w:val="center"/>
                </w:tcPr>
                <w:p w14:paraId="67A2446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0.007</w:t>
                  </w:r>
                </w:p>
              </w:tc>
              <w:tc>
                <w:tcPr>
                  <w:tcW w:w="916" w:type="dxa"/>
                  <w:tcBorders>
                    <w:tl2br w:val="nil"/>
                    <w:tr2bl w:val="nil"/>
                  </w:tcBorders>
                  <w:shd w:val="clear" w:color="auto" w:fill="auto"/>
                  <w:vAlign w:val="center"/>
                </w:tcPr>
                <w:p w14:paraId="45D83C51">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w:t>
                  </w:r>
                </w:p>
              </w:tc>
            </w:tr>
          </w:tbl>
          <w:p w14:paraId="06323AF5">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本项目</w:t>
            </w:r>
            <w:r>
              <w:rPr>
                <w:rFonts w:hint="eastAsia"/>
                <w:color w:val="auto"/>
                <w:highlight w:val="none"/>
                <w:lang w:val="en-US" w:eastAsia="zh-CN"/>
              </w:rPr>
              <w:t>有组织</w:t>
            </w:r>
            <w:r>
              <w:rPr>
                <w:rFonts w:hint="eastAsia" w:ascii="Times New Roman" w:hAnsi="Times New Roman" w:eastAsia="宋体"/>
                <w:color w:val="auto"/>
                <w:highlight w:val="none"/>
                <w:lang w:val="en-US" w:eastAsia="zh-CN"/>
              </w:rPr>
              <w:t>废气产生及排放情况见下表：</w:t>
            </w:r>
          </w:p>
          <w:p w14:paraId="7186FA35">
            <w:pPr>
              <w:pStyle w:val="23"/>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lang w:val="en-US" w:eastAsia="zh-CN"/>
              </w:rPr>
            </w:pPr>
            <w:r>
              <w:rPr>
                <w:rFonts w:hint="default" w:ascii="Times New Roman" w:hAnsi="Times New Roman" w:eastAsia="宋体"/>
                <w:color w:val="auto"/>
                <w:highlight w:val="none"/>
                <w:lang w:val="en-US" w:eastAsia="zh-CN"/>
              </w:rPr>
              <w:t>表4-</w:t>
            </w:r>
            <w:r>
              <w:rPr>
                <w:rFonts w:hint="eastAsia"/>
                <w:color w:val="auto"/>
                <w:highlight w:val="none"/>
                <w:lang w:val="en-US" w:eastAsia="zh-CN"/>
              </w:rPr>
              <w:t>2</w:t>
            </w:r>
            <w:r>
              <w:rPr>
                <w:rFonts w:hint="default" w:ascii="Times New Roman" w:hAnsi="Times New Roman" w:eastAsia="宋体"/>
                <w:color w:val="auto"/>
                <w:highlight w:val="none"/>
                <w:lang w:val="en-US" w:eastAsia="zh-CN"/>
              </w:rPr>
              <w:t>建设项目有组织产排情况汇总表</w:t>
            </w:r>
          </w:p>
          <w:tbl>
            <w:tblPr>
              <w:tblStyle w:val="16"/>
              <w:tblW w:w="5000" w:type="pct"/>
              <w:jc w:val="center"/>
              <w:tblBorders>
                <w:top w:val="single" w:color="auto" w:sz="12" w:space="0"/>
                <w:left w:val="none" w:color="auto" w:sz="6" w:space="0"/>
                <w:bottom w:val="single" w:color="auto" w:sz="12" w:space="0"/>
                <w:right w:val="none" w:color="auto" w:sz="6" w:space="0"/>
                <w:insideH w:val="single" w:color="auto" w:sz="8" w:space="0"/>
                <w:insideV w:val="single" w:color="auto" w:sz="8" w:space="0"/>
              </w:tblBorders>
              <w:shd w:val="clear" w:color="auto" w:fill="auto"/>
              <w:tblLayout w:type="fixed"/>
              <w:tblCellMar>
                <w:top w:w="0" w:type="dxa"/>
                <w:left w:w="0" w:type="dxa"/>
                <w:bottom w:w="0" w:type="dxa"/>
                <w:right w:w="0" w:type="dxa"/>
              </w:tblCellMar>
            </w:tblPr>
            <w:tblGrid>
              <w:gridCol w:w="567"/>
              <w:gridCol w:w="1176"/>
              <w:gridCol w:w="762"/>
              <w:gridCol w:w="785"/>
              <w:gridCol w:w="773"/>
              <w:gridCol w:w="738"/>
              <w:gridCol w:w="1142"/>
              <w:gridCol w:w="681"/>
              <w:gridCol w:w="866"/>
              <w:gridCol w:w="889"/>
              <w:gridCol w:w="667"/>
              <w:gridCol w:w="809"/>
              <w:gridCol w:w="826"/>
              <w:gridCol w:w="742"/>
              <w:gridCol w:w="708"/>
              <w:gridCol w:w="636"/>
              <w:gridCol w:w="780"/>
            </w:tblGrid>
            <w:tr w14:paraId="0B08BD91">
              <w:tblPrEx>
                <w:tblBorders>
                  <w:top w:val="single" w:color="auto" w:sz="12" w:space="0"/>
                  <w:left w:val="none" w:color="auto" w:sz="6" w:space="0"/>
                  <w:bottom w:val="single" w:color="auto" w:sz="12" w:space="0"/>
                  <w:right w:val="none" w:color="auto" w:sz="6" w:space="0"/>
                  <w:insideH w:val="single" w:color="auto" w:sz="8" w:space="0"/>
                  <w:insideV w:val="single" w:color="auto" w:sz="8" w:space="0"/>
                </w:tblBorders>
                <w:shd w:val="clear" w:color="auto" w:fill="auto"/>
                <w:tblCellMar>
                  <w:top w:w="0" w:type="dxa"/>
                  <w:left w:w="0" w:type="dxa"/>
                  <w:bottom w:w="0" w:type="dxa"/>
                  <w:right w:w="0" w:type="dxa"/>
                </w:tblCellMar>
              </w:tblPrEx>
              <w:trPr>
                <w:trHeight w:val="340" w:hRule="atLeast"/>
                <w:jc w:val="center"/>
              </w:trPr>
              <w:tc>
                <w:tcPr>
                  <w:tcW w:w="567" w:type="dxa"/>
                  <w:vMerge w:val="restart"/>
                  <w:tcBorders>
                    <w:top w:val="single" w:color="auto" w:sz="12" w:space="0"/>
                    <w:left w:val="nil"/>
                    <w:bottom w:val="single" w:color="auto" w:sz="8" w:space="0"/>
                    <w:right w:val="single" w:color="auto" w:sz="8" w:space="0"/>
                  </w:tcBorders>
                  <w:shd w:val="clear" w:color="auto" w:fill="auto"/>
                  <w:vAlign w:val="center"/>
                </w:tcPr>
                <w:p w14:paraId="3C1A034C">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产污工序</w:t>
                  </w:r>
                </w:p>
              </w:tc>
              <w:tc>
                <w:tcPr>
                  <w:tcW w:w="1176" w:type="dxa"/>
                  <w:vMerge w:val="restart"/>
                  <w:tcBorders>
                    <w:top w:val="single" w:color="auto" w:sz="12" w:space="0"/>
                    <w:left w:val="single" w:color="auto" w:sz="8" w:space="0"/>
                    <w:bottom w:val="single" w:color="auto" w:sz="8" w:space="0"/>
                    <w:right w:val="single" w:color="auto" w:sz="8" w:space="0"/>
                  </w:tcBorders>
                  <w:shd w:val="clear" w:color="auto" w:fill="auto"/>
                  <w:vAlign w:val="center"/>
                </w:tcPr>
                <w:p w14:paraId="11DBAF10">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污染物</w:t>
                  </w:r>
                </w:p>
              </w:tc>
              <w:tc>
                <w:tcPr>
                  <w:tcW w:w="3058" w:type="dxa"/>
                  <w:gridSpan w:val="4"/>
                  <w:tcBorders>
                    <w:top w:val="single" w:color="auto" w:sz="12" w:space="0"/>
                    <w:left w:val="single" w:color="auto" w:sz="8" w:space="0"/>
                    <w:bottom w:val="single" w:color="auto" w:sz="8" w:space="0"/>
                    <w:right w:val="single" w:color="auto" w:sz="8" w:space="0"/>
                  </w:tcBorders>
                  <w:shd w:val="clear" w:color="auto" w:fill="auto"/>
                  <w:vAlign w:val="center"/>
                </w:tcPr>
                <w:p w14:paraId="5EAA6E1B">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污染物产生情况</w:t>
                  </w:r>
                </w:p>
              </w:tc>
              <w:tc>
                <w:tcPr>
                  <w:tcW w:w="2689" w:type="dxa"/>
                  <w:gridSpan w:val="3"/>
                  <w:tcBorders>
                    <w:top w:val="single" w:color="auto" w:sz="12" w:space="0"/>
                    <w:left w:val="single" w:color="auto" w:sz="8" w:space="0"/>
                    <w:bottom w:val="single" w:color="auto" w:sz="8" w:space="0"/>
                    <w:right w:val="single" w:color="auto" w:sz="8" w:space="0"/>
                  </w:tcBorders>
                  <w:shd w:val="clear" w:color="auto" w:fill="auto"/>
                  <w:vAlign w:val="center"/>
                </w:tcPr>
                <w:p w14:paraId="37273084">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宋体"/>
                      <w:b/>
                      <w:bCs/>
                      <w:color w:val="auto"/>
                      <w:kern w:val="0"/>
                      <w:sz w:val="21"/>
                      <w:szCs w:val="21"/>
                      <w:highlight w:val="none"/>
                      <w:lang w:val="en-US" w:eastAsia="zh-CN" w:bidi="ar"/>
                    </w:rPr>
                  </w:pPr>
                  <w:r>
                    <w:rPr>
                      <w:rFonts w:hint="eastAsia" w:ascii="Times New Roman" w:hAnsi="Times New Roman" w:eastAsia="宋体" w:cs="宋体"/>
                      <w:b/>
                      <w:bCs/>
                      <w:color w:val="auto"/>
                      <w:kern w:val="0"/>
                      <w:sz w:val="21"/>
                      <w:szCs w:val="21"/>
                      <w:highlight w:val="none"/>
                      <w:lang w:val="en-US" w:eastAsia="zh-CN" w:bidi="ar"/>
                    </w:rPr>
                    <w:t>治理措施</w:t>
                  </w:r>
                </w:p>
              </w:tc>
              <w:tc>
                <w:tcPr>
                  <w:tcW w:w="889" w:type="dxa"/>
                  <w:vMerge w:val="restart"/>
                  <w:tcBorders>
                    <w:top w:val="single" w:color="auto" w:sz="12" w:space="0"/>
                    <w:left w:val="single" w:color="auto" w:sz="8" w:space="0"/>
                    <w:right w:val="single" w:color="auto" w:sz="8" w:space="0"/>
                  </w:tcBorders>
                  <w:shd w:val="clear" w:color="auto" w:fill="auto"/>
                  <w:vAlign w:val="center"/>
                </w:tcPr>
                <w:p w14:paraId="5CA404B1">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宋体"/>
                      <w:b/>
                      <w:bCs/>
                      <w:color w:val="auto"/>
                      <w:kern w:val="0"/>
                      <w:sz w:val="21"/>
                      <w:szCs w:val="21"/>
                      <w:highlight w:val="none"/>
                      <w:lang w:val="en-US" w:eastAsia="zh-CN" w:bidi="ar"/>
                    </w:rPr>
                  </w:pPr>
                  <w:r>
                    <w:rPr>
                      <w:rFonts w:hint="eastAsia" w:ascii="Times New Roman" w:hAnsi="Times New Roman" w:eastAsia="宋体" w:cs="宋体"/>
                      <w:b/>
                      <w:bCs/>
                      <w:color w:val="auto"/>
                      <w:kern w:val="0"/>
                      <w:sz w:val="21"/>
                      <w:szCs w:val="21"/>
                      <w:highlight w:val="none"/>
                      <w:lang w:val="en-US" w:eastAsia="zh-CN" w:bidi="ar"/>
                    </w:rPr>
                    <w:t>污染物</w:t>
                  </w:r>
                </w:p>
              </w:tc>
              <w:tc>
                <w:tcPr>
                  <w:tcW w:w="3044" w:type="dxa"/>
                  <w:gridSpan w:val="4"/>
                  <w:tcBorders>
                    <w:top w:val="single" w:color="auto" w:sz="12" w:space="0"/>
                    <w:left w:val="single" w:color="auto" w:sz="8" w:space="0"/>
                    <w:bottom w:val="single" w:color="auto" w:sz="8" w:space="0"/>
                    <w:right w:val="single" w:color="auto" w:sz="8" w:space="0"/>
                  </w:tcBorders>
                  <w:shd w:val="clear" w:color="auto" w:fill="auto"/>
                  <w:vAlign w:val="center"/>
                </w:tcPr>
                <w:p w14:paraId="0E80D59D">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污染物排放情况</w:t>
                  </w:r>
                </w:p>
              </w:tc>
              <w:tc>
                <w:tcPr>
                  <w:tcW w:w="1344" w:type="dxa"/>
                  <w:gridSpan w:val="2"/>
                  <w:tcBorders>
                    <w:top w:val="single" w:color="auto" w:sz="12" w:space="0"/>
                    <w:left w:val="single" w:color="auto" w:sz="8" w:space="0"/>
                    <w:bottom w:val="single" w:color="auto" w:sz="8" w:space="0"/>
                    <w:right w:val="nil"/>
                  </w:tcBorders>
                  <w:shd w:val="clear" w:color="auto" w:fill="auto"/>
                  <w:vAlign w:val="center"/>
                </w:tcPr>
                <w:p w14:paraId="15F3DADD">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宋体"/>
                      <w:b/>
                      <w:bCs/>
                      <w:color w:val="auto"/>
                      <w:kern w:val="0"/>
                      <w:sz w:val="21"/>
                      <w:szCs w:val="21"/>
                      <w:highlight w:val="none"/>
                      <w:lang w:val="en-US" w:eastAsia="zh-CN" w:bidi="ar"/>
                    </w:rPr>
                  </w:pPr>
                  <w:r>
                    <w:rPr>
                      <w:rFonts w:hint="eastAsia" w:ascii="Times New Roman" w:hAnsi="Times New Roman" w:eastAsia="宋体" w:cs="宋体"/>
                      <w:b/>
                      <w:bCs/>
                      <w:color w:val="auto"/>
                      <w:kern w:val="0"/>
                      <w:sz w:val="21"/>
                      <w:szCs w:val="21"/>
                      <w:highlight w:val="none"/>
                      <w:lang w:val="en-US" w:eastAsia="zh-CN" w:bidi="ar"/>
                    </w:rPr>
                    <w:t>标准限值</w:t>
                  </w:r>
                </w:p>
              </w:tc>
              <w:tc>
                <w:tcPr>
                  <w:tcW w:w="780" w:type="dxa"/>
                  <w:vMerge w:val="restart"/>
                  <w:tcBorders>
                    <w:top w:val="single" w:color="auto" w:sz="12" w:space="0"/>
                    <w:left w:val="single" w:color="auto" w:sz="8" w:space="0"/>
                    <w:right w:val="nil"/>
                  </w:tcBorders>
                  <w:shd w:val="clear" w:color="auto" w:fill="auto"/>
                  <w:vAlign w:val="center"/>
                </w:tcPr>
                <w:p w14:paraId="652B7CEF">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宋体"/>
                      <w:b/>
                      <w:bCs/>
                      <w:color w:val="auto"/>
                      <w:kern w:val="0"/>
                      <w:sz w:val="21"/>
                      <w:szCs w:val="21"/>
                      <w:highlight w:val="none"/>
                      <w:lang w:val="en-US" w:eastAsia="zh-CN" w:bidi="ar"/>
                    </w:rPr>
                  </w:pPr>
                  <w:r>
                    <w:rPr>
                      <w:rFonts w:hint="eastAsia" w:ascii="Times New Roman" w:hAnsi="Times New Roman" w:eastAsia="宋体" w:cs="宋体"/>
                      <w:b/>
                      <w:bCs/>
                      <w:color w:val="auto"/>
                      <w:kern w:val="0"/>
                      <w:sz w:val="21"/>
                      <w:szCs w:val="21"/>
                      <w:highlight w:val="none"/>
                      <w:lang w:val="en-US" w:eastAsia="zh-CN" w:bidi="ar"/>
                    </w:rPr>
                    <w:t>排气筒编号</w:t>
                  </w:r>
                </w:p>
              </w:tc>
            </w:tr>
            <w:tr w14:paraId="56DF5310">
              <w:tblPrEx>
                <w:tblBorders>
                  <w:top w:val="single" w:color="auto" w:sz="12" w:space="0"/>
                  <w:left w:val="none" w:color="auto" w:sz="6" w:space="0"/>
                  <w:bottom w:val="single" w:color="auto" w:sz="12" w:space="0"/>
                  <w:right w:val="none" w:color="auto" w:sz="6" w:space="0"/>
                  <w:insideH w:val="single" w:color="auto" w:sz="8" w:space="0"/>
                  <w:insideV w:val="single" w:color="auto" w:sz="8" w:space="0"/>
                </w:tblBorders>
                <w:shd w:val="clear" w:color="auto" w:fill="auto"/>
                <w:tblCellMar>
                  <w:top w:w="0" w:type="dxa"/>
                  <w:left w:w="0" w:type="dxa"/>
                  <w:bottom w:w="0" w:type="dxa"/>
                  <w:right w:w="0" w:type="dxa"/>
                </w:tblCellMar>
              </w:tblPrEx>
              <w:trPr>
                <w:trHeight w:val="340" w:hRule="atLeast"/>
                <w:jc w:val="center"/>
              </w:trPr>
              <w:tc>
                <w:tcPr>
                  <w:tcW w:w="567" w:type="dxa"/>
                  <w:vMerge w:val="continue"/>
                  <w:tcBorders>
                    <w:top w:val="single" w:color="auto" w:sz="12" w:space="0"/>
                    <w:left w:val="nil"/>
                    <w:bottom w:val="single" w:color="auto" w:sz="8" w:space="0"/>
                    <w:right w:val="single" w:color="auto" w:sz="8" w:space="0"/>
                  </w:tcBorders>
                  <w:shd w:val="clear" w:color="auto" w:fill="auto"/>
                  <w:vAlign w:val="center"/>
                </w:tcPr>
                <w:p w14:paraId="234226C4">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0"/>
                      <w:szCs w:val="20"/>
                      <w:highlight w:val="none"/>
                    </w:rPr>
                  </w:pPr>
                </w:p>
              </w:tc>
              <w:tc>
                <w:tcPr>
                  <w:tcW w:w="1176" w:type="dxa"/>
                  <w:vMerge w:val="continue"/>
                  <w:tcBorders>
                    <w:top w:val="single" w:color="auto" w:sz="12" w:space="0"/>
                    <w:left w:val="single" w:color="auto" w:sz="8" w:space="0"/>
                    <w:bottom w:val="single" w:color="auto" w:sz="8" w:space="0"/>
                    <w:right w:val="single" w:color="auto" w:sz="8" w:space="0"/>
                  </w:tcBorders>
                  <w:shd w:val="clear" w:color="auto" w:fill="auto"/>
                  <w:vAlign w:val="center"/>
                </w:tcPr>
                <w:p w14:paraId="2588D05F">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0"/>
                      <w:szCs w:val="20"/>
                      <w:highlight w:val="none"/>
                    </w:rPr>
                  </w:pPr>
                </w:p>
              </w:tc>
              <w:tc>
                <w:tcPr>
                  <w:tcW w:w="762" w:type="dxa"/>
                  <w:tcBorders>
                    <w:top w:val="single" w:color="auto" w:sz="8" w:space="0"/>
                    <w:left w:val="single" w:color="auto" w:sz="8" w:space="0"/>
                    <w:bottom w:val="single" w:color="auto" w:sz="8" w:space="0"/>
                    <w:right w:val="single" w:color="auto" w:sz="8" w:space="0"/>
                  </w:tcBorders>
                  <w:shd w:val="clear" w:color="auto" w:fill="auto"/>
                  <w:vAlign w:val="center"/>
                </w:tcPr>
                <w:p w14:paraId="2799748A">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废气量</w:t>
                  </w:r>
                </w:p>
                <w:p w14:paraId="2166082F">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lang w:val="en-US" w:eastAsia="zh-CN" w:bidi="ar"/>
                    </w:rPr>
                    <w:t>m</w:t>
                  </w:r>
                  <w:r>
                    <w:rPr>
                      <w:rFonts w:hint="default" w:ascii="Times New Roman" w:hAnsi="Times New Roman" w:eastAsia="宋体" w:cs="Times New Roman"/>
                      <w:b/>
                      <w:bCs/>
                      <w:color w:val="auto"/>
                      <w:kern w:val="0"/>
                      <w:sz w:val="21"/>
                      <w:szCs w:val="21"/>
                      <w:highlight w:val="none"/>
                      <w:vertAlign w:val="superscript"/>
                      <w:lang w:val="en-US" w:eastAsia="zh-CN" w:bidi="ar"/>
                    </w:rPr>
                    <w:t>3</w:t>
                  </w:r>
                  <w:r>
                    <w:rPr>
                      <w:rFonts w:hint="default" w:ascii="Times New Roman" w:hAnsi="Times New Roman" w:eastAsia="宋体" w:cs="Times New Roman"/>
                      <w:b/>
                      <w:bCs/>
                      <w:color w:val="auto"/>
                      <w:kern w:val="0"/>
                      <w:sz w:val="21"/>
                      <w:szCs w:val="21"/>
                      <w:highlight w:val="none"/>
                      <w:lang w:val="en-US" w:eastAsia="zh-CN" w:bidi="ar"/>
                    </w:rPr>
                    <w:t>/h</w:t>
                  </w:r>
                </w:p>
              </w:tc>
              <w:tc>
                <w:tcPr>
                  <w:tcW w:w="785" w:type="dxa"/>
                  <w:tcBorders>
                    <w:top w:val="single" w:color="auto" w:sz="8" w:space="0"/>
                    <w:left w:val="single" w:color="auto" w:sz="8" w:space="0"/>
                    <w:bottom w:val="single" w:color="auto" w:sz="8" w:space="0"/>
                    <w:right w:val="single" w:color="auto" w:sz="8" w:space="0"/>
                  </w:tcBorders>
                  <w:shd w:val="clear" w:color="auto" w:fill="auto"/>
                  <w:vAlign w:val="center"/>
                </w:tcPr>
                <w:p w14:paraId="707D67F3">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浓度</w:t>
                  </w:r>
                </w:p>
                <w:p w14:paraId="4F10E452">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lang w:val="en-US" w:eastAsia="zh-CN" w:bidi="ar"/>
                    </w:rPr>
                    <w:t>mg/m</w:t>
                  </w:r>
                  <w:r>
                    <w:rPr>
                      <w:rFonts w:hint="default" w:ascii="Times New Roman" w:hAnsi="Times New Roman" w:eastAsia="宋体" w:cs="Times New Roman"/>
                      <w:b/>
                      <w:bCs/>
                      <w:color w:val="auto"/>
                      <w:kern w:val="0"/>
                      <w:sz w:val="21"/>
                      <w:szCs w:val="21"/>
                      <w:highlight w:val="none"/>
                      <w:vertAlign w:val="superscript"/>
                      <w:lang w:val="en-US" w:eastAsia="zh-CN" w:bidi="ar"/>
                    </w:rPr>
                    <w:t>3</w:t>
                  </w:r>
                </w:p>
              </w:tc>
              <w:tc>
                <w:tcPr>
                  <w:tcW w:w="773" w:type="dxa"/>
                  <w:tcBorders>
                    <w:top w:val="single" w:color="auto" w:sz="8" w:space="0"/>
                    <w:left w:val="single" w:color="auto" w:sz="8" w:space="0"/>
                    <w:bottom w:val="single" w:color="auto" w:sz="8" w:space="0"/>
                    <w:right w:val="single" w:color="auto" w:sz="8" w:space="0"/>
                  </w:tcBorders>
                  <w:shd w:val="clear" w:color="auto" w:fill="auto"/>
                  <w:vAlign w:val="center"/>
                </w:tcPr>
                <w:p w14:paraId="31A145CD">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速率</w:t>
                  </w:r>
                  <w:r>
                    <w:rPr>
                      <w:rFonts w:hint="default" w:ascii="Times New Roman" w:hAnsi="Times New Roman" w:eastAsia="宋体" w:cs="Times New Roman"/>
                      <w:b/>
                      <w:bCs/>
                      <w:color w:val="auto"/>
                      <w:kern w:val="0"/>
                      <w:sz w:val="21"/>
                      <w:szCs w:val="21"/>
                      <w:highlight w:val="none"/>
                      <w:lang w:val="en-US" w:eastAsia="zh-CN" w:bidi="ar"/>
                    </w:rPr>
                    <w:t>kg/h</w:t>
                  </w:r>
                </w:p>
              </w:tc>
              <w:tc>
                <w:tcPr>
                  <w:tcW w:w="738" w:type="dxa"/>
                  <w:tcBorders>
                    <w:top w:val="single" w:color="auto" w:sz="8" w:space="0"/>
                    <w:left w:val="single" w:color="auto" w:sz="8" w:space="0"/>
                    <w:bottom w:val="single" w:color="auto" w:sz="8" w:space="0"/>
                    <w:right w:val="single" w:color="auto" w:sz="8" w:space="0"/>
                  </w:tcBorders>
                  <w:shd w:val="clear" w:color="auto" w:fill="auto"/>
                  <w:vAlign w:val="center"/>
                </w:tcPr>
                <w:p w14:paraId="0094CAB1">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产生量</w:t>
                  </w:r>
                  <w:r>
                    <w:rPr>
                      <w:rFonts w:hint="default" w:ascii="Times New Roman" w:hAnsi="Times New Roman" w:eastAsia="宋体" w:cs="Times New Roman"/>
                      <w:b/>
                      <w:bCs/>
                      <w:color w:val="auto"/>
                      <w:kern w:val="0"/>
                      <w:sz w:val="21"/>
                      <w:szCs w:val="21"/>
                      <w:highlight w:val="none"/>
                      <w:lang w:val="en-US" w:eastAsia="zh-CN" w:bidi="ar"/>
                    </w:rPr>
                    <w:t>t/a</w:t>
                  </w:r>
                </w:p>
              </w:tc>
              <w:tc>
                <w:tcPr>
                  <w:tcW w:w="1142" w:type="dxa"/>
                  <w:tcBorders>
                    <w:top w:val="single" w:color="auto" w:sz="8" w:space="0"/>
                    <w:left w:val="single" w:color="auto" w:sz="8" w:space="0"/>
                    <w:bottom w:val="single" w:color="auto" w:sz="8" w:space="0"/>
                    <w:right w:val="single" w:color="auto" w:sz="8" w:space="0"/>
                  </w:tcBorders>
                  <w:shd w:val="clear" w:color="auto" w:fill="auto"/>
                  <w:vAlign w:val="center"/>
                </w:tcPr>
                <w:p w14:paraId="506D55C9">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治理措施</w:t>
                  </w:r>
                </w:p>
              </w:tc>
              <w:tc>
                <w:tcPr>
                  <w:tcW w:w="681" w:type="dxa"/>
                  <w:tcBorders>
                    <w:top w:val="single" w:color="auto" w:sz="8" w:space="0"/>
                    <w:left w:val="single" w:color="auto" w:sz="8" w:space="0"/>
                    <w:bottom w:val="single" w:color="auto" w:sz="8" w:space="0"/>
                    <w:right w:val="single" w:color="auto" w:sz="8" w:space="0"/>
                  </w:tcBorders>
                  <w:shd w:val="clear" w:color="auto" w:fill="auto"/>
                  <w:vAlign w:val="center"/>
                </w:tcPr>
                <w:p w14:paraId="2EB345D5">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处理效率</w:t>
                  </w:r>
                  <w:r>
                    <w:rPr>
                      <w:rFonts w:hint="default" w:ascii="Times New Roman" w:hAnsi="Times New Roman" w:eastAsia="宋体" w:cs="Times New Roman"/>
                      <w:b/>
                      <w:bCs/>
                      <w:color w:val="auto"/>
                      <w:kern w:val="0"/>
                      <w:sz w:val="21"/>
                      <w:szCs w:val="21"/>
                      <w:highlight w:val="none"/>
                      <w:lang w:val="en-US" w:eastAsia="zh-CN" w:bidi="ar"/>
                    </w:rPr>
                    <w:t>%</w:t>
                  </w:r>
                </w:p>
              </w:tc>
              <w:tc>
                <w:tcPr>
                  <w:tcW w:w="866" w:type="dxa"/>
                  <w:tcBorders>
                    <w:top w:val="single" w:color="auto" w:sz="8" w:space="0"/>
                    <w:left w:val="single" w:color="auto" w:sz="8" w:space="0"/>
                    <w:bottom w:val="single" w:color="auto" w:sz="8" w:space="0"/>
                    <w:right w:val="single" w:color="auto" w:sz="8" w:space="0"/>
                  </w:tcBorders>
                  <w:shd w:val="clear" w:color="auto" w:fill="auto"/>
                  <w:vAlign w:val="center"/>
                </w:tcPr>
                <w:p w14:paraId="44F45336">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是否为可行技术</w:t>
                  </w:r>
                </w:p>
              </w:tc>
              <w:tc>
                <w:tcPr>
                  <w:tcW w:w="889" w:type="dxa"/>
                  <w:vMerge w:val="continue"/>
                  <w:tcBorders>
                    <w:left w:val="single" w:color="auto" w:sz="8" w:space="0"/>
                    <w:bottom w:val="single" w:color="auto" w:sz="8" w:space="0"/>
                    <w:right w:val="single" w:color="auto" w:sz="8" w:space="0"/>
                  </w:tcBorders>
                  <w:shd w:val="clear" w:color="auto" w:fill="auto"/>
                  <w:vAlign w:val="center"/>
                </w:tcPr>
                <w:p w14:paraId="5BC1FDE5">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宋体"/>
                      <w:b/>
                      <w:bCs/>
                      <w:color w:val="auto"/>
                      <w:kern w:val="0"/>
                      <w:sz w:val="21"/>
                      <w:szCs w:val="21"/>
                      <w:highlight w:val="none"/>
                      <w:lang w:val="en-US" w:eastAsia="zh-CN" w:bidi="ar"/>
                    </w:rPr>
                  </w:pPr>
                </w:p>
              </w:tc>
              <w:tc>
                <w:tcPr>
                  <w:tcW w:w="667" w:type="dxa"/>
                  <w:tcBorders>
                    <w:top w:val="single" w:color="auto" w:sz="8" w:space="0"/>
                    <w:left w:val="single" w:color="auto" w:sz="8" w:space="0"/>
                    <w:bottom w:val="single" w:color="auto" w:sz="8" w:space="0"/>
                    <w:right w:val="single" w:color="auto" w:sz="8" w:space="0"/>
                  </w:tcBorders>
                  <w:shd w:val="clear" w:color="auto" w:fill="auto"/>
                  <w:vAlign w:val="center"/>
                </w:tcPr>
                <w:p w14:paraId="77449E8E">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风量</w:t>
                  </w:r>
                </w:p>
                <w:p w14:paraId="37EEBED2">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lang w:val="en-US" w:eastAsia="zh-CN" w:bidi="ar"/>
                    </w:rPr>
                    <w:t>m</w:t>
                  </w:r>
                  <w:r>
                    <w:rPr>
                      <w:rFonts w:hint="default" w:ascii="Times New Roman" w:hAnsi="Times New Roman" w:eastAsia="宋体" w:cs="Times New Roman"/>
                      <w:b/>
                      <w:bCs/>
                      <w:color w:val="auto"/>
                      <w:kern w:val="0"/>
                      <w:sz w:val="21"/>
                      <w:szCs w:val="21"/>
                      <w:highlight w:val="none"/>
                      <w:vertAlign w:val="superscript"/>
                      <w:lang w:val="en-US" w:eastAsia="zh-CN" w:bidi="ar"/>
                    </w:rPr>
                    <w:t>3</w:t>
                  </w:r>
                  <w:r>
                    <w:rPr>
                      <w:rFonts w:hint="default" w:ascii="Times New Roman" w:hAnsi="Times New Roman" w:eastAsia="宋体" w:cs="Times New Roman"/>
                      <w:b/>
                      <w:bCs/>
                      <w:color w:val="auto"/>
                      <w:kern w:val="0"/>
                      <w:sz w:val="21"/>
                      <w:szCs w:val="21"/>
                      <w:highlight w:val="none"/>
                      <w:lang w:val="en-US" w:eastAsia="zh-CN" w:bidi="ar"/>
                    </w:rPr>
                    <w:t>/h</w:t>
                  </w:r>
                </w:p>
              </w:tc>
              <w:tc>
                <w:tcPr>
                  <w:tcW w:w="809" w:type="dxa"/>
                  <w:tcBorders>
                    <w:top w:val="single" w:color="auto" w:sz="8" w:space="0"/>
                    <w:left w:val="single" w:color="auto" w:sz="8" w:space="0"/>
                    <w:bottom w:val="single" w:color="auto" w:sz="8" w:space="0"/>
                    <w:right w:val="single" w:color="auto" w:sz="8" w:space="0"/>
                  </w:tcBorders>
                  <w:shd w:val="clear" w:color="auto" w:fill="auto"/>
                  <w:vAlign w:val="center"/>
                </w:tcPr>
                <w:p w14:paraId="33033DBA">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浓度</w:t>
                  </w:r>
                </w:p>
                <w:p w14:paraId="7F28DD60">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lang w:val="en-US" w:eastAsia="zh-CN" w:bidi="ar"/>
                    </w:rPr>
                    <w:t>mg/m</w:t>
                  </w:r>
                  <w:r>
                    <w:rPr>
                      <w:rFonts w:hint="default" w:ascii="Times New Roman" w:hAnsi="Times New Roman" w:eastAsia="宋体" w:cs="Times New Roman"/>
                      <w:b/>
                      <w:bCs/>
                      <w:color w:val="auto"/>
                      <w:kern w:val="0"/>
                      <w:sz w:val="21"/>
                      <w:szCs w:val="21"/>
                      <w:highlight w:val="none"/>
                      <w:vertAlign w:val="superscript"/>
                      <w:lang w:val="en-US" w:eastAsia="zh-CN" w:bidi="ar"/>
                    </w:rPr>
                    <w:t>3</w:t>
                  </w:r>
                </w:p>
              </w:tc>
              <w:tc>
                <w:tcPr>
                  <w:tcW w:w="826" w:type="dxa"/>
                  <w:tcBorders>
                    <w:top w:val="single" w:color="auto" w:sz="8" w:space="0"/>
                    <w:left w:val="single" w:color="auto" w:sz="8" w:space="0"/>
                    <w:bottom w:val="single" w:color="auto" w:sz="8" w:space="0"/>
                    <w:right w:val="single" w:color="auto" w:sz="8" w:space="0"/>
                  </w:tcBorders>
                  <w:shd w:val="clear" w:color="auto" w:fill="auto"/>
                  <w:vAlign w:val="center"/>
                </w:tcPr>
                <w:p w14:paraId="219A850D">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速率</w:t>
                  </w:r>
                  <w:r>
                    <w:rPr>
                      <w:rFonts w:hint="default" w:ascii="Times New Roman" w:hAnsi="Times New Roman" w:eastAsia="宋体" w:cs="Times New Roman"/>
                      <w:b/>
                      <w:bCs/>
                      <w:color w:val="auto"/>
                      <w:kern w:val="0"/>
                      <w:sz w:val="21"/>
                      <w:szCs w:val="21"/>
                      <w:highlight w:val="none"/>
                      <w:lang w:val="en-US" w:eastAsia="zh-CN" w:bidi="ar"/>
                    </w:rPr>
                    <w:t>kg/h</w:t>
                  </w:r>
                </w:p>
              </w:tc>
              <w:tc>
                <w:tcPr>
                  <w:tcW w:w="742" w:type="dxa"/>
                  <w:tcBorders>
                    <w:top w:val="single" w:color="auto" w:sz="8" w:space="0"/>
                    <w:left w:val="single" w:color="auto" w:sz="8" w:space="0"/>
                    <w:bottom w:val="single" w:color="auto" w:sz="8" w:space="0"/>
                    <w:right w:val="single" w:color="auto" w:sz="8" w:space="0"/>
                  </w:tcBorders>
                  <w:shd w:val="clear" w:color="auto" w:fill="auto"/>
                  <w:vAlign w:val="center"/>
                </w:tcPr>
                <w:p w14:paraId="63220C00">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排放量</w:t>
                  </w:r>
                  <w:r>
                    <w:rPr>
                      <w:rFonts w:hint="default" w:ascii="Times New Roman" w:hAnsi="Times New Roman" w:eastAsia="宋体" w:cs="Times New Roman"/>
                      <w:b/>
                      <w:bCs/>
                      <w:color w:val="auto"/>
                      <w:kern w:val="0"/>
                      <w:sz w:val="21"/>
                      <w:szCs w:val="21"/>
                      <w:highlight w:val="none"/>
                      <w:lang w:val="en-US" w:eastAsia="zh-CN" w:bidi="ar"/>
                    </w:rPr>
                    <w:t>t/a</w:t>
                  </w:r>
                </w:p>
              </w:tc>
              <w:tc>
                <w:tcPr>
                  <w:tcW w:w="708" w:type="dxa"/>
                  <w:tcBorders>
                    <w:top w:val="single" w:color="auto" w:sz="12" w:space="0"/>
                    <w:left w:val="single" w:color="auto" w:sz="8" w:space="0"/>
                    <w:bottom w:val="single" w:color="auto" w:sz="8" w:space="0"/>
                    <w:right w:val="nil"/>
                  </w:tcBorders>
                  <w:shd w:val="clear" w:color="auto" w:fill="auto"/>
                  <w:vAlign w:val="center"/>
                </w:tcPr>
                <w:p w14:paraId="24FB2393">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浓度</w:t>
                  </w:r>
                </w:p>
                <w:p w14:paraId="722DAACC">
                  <w:pPr>
                    <w:keepNext w:val="0"/>
                    <w:keepLines w:val="0"/>
                    <w:widowControl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olor w:val="auto"/>
                      <w:kern w:val="0"/>
                      <w:sz w:val="21"/>
                      <w:szCs w:val="21"/>
                      <w:highlight w:val="none"/>
                      <w:lang w:val="zh-CN" w:eastAsia="zh-CN" w:bidi="zh-CN"/>
                    </w:rPr>
                  </w:pPr>
                  <w:r>
                    <w:rPr>
                      <w:rFonts w:hint="default" w:ascii="Times New Roman" w:hAnsi="Times New Roman" w:eastAsia="宋体" w:cs="Times New Roman"/>
                      <w:b/>
                      <w:bCs/>
                      <w:color w:val="auto"/>
                      <w:kern w:val="0"/>
                      <w:sz w:val="21"/>
                      <w:szCs w:val="21"/>
                      <w:highlight w:val="none"/>
                      <w:lang w:val="en-US" w:eastAsia="zh-CN" w:bidi="ar"/>
                    </w:rPr>
                    <w:t>mg/m</w:t>
                  </w:r>
                  <w:r>
                    <w:rPr>
                      <w:rFonts w:hint="default" w:ascii="Times New Roman" w:hAnsi="Times New Roman" w:eastAsia="宋体" w:cs="Times New Roman"/>
                      <w:b/>
                      <w:bCs/>
                      <w:color w:val="auto"/>
                      <w:kern w:val="0"/>
                      <w:sz w:val="21"/>
                      <w:szCs w:val="21"/>
                      <w:highlight w:val="none"/>
                      <w:vertAlign w:val="superscript"/>
                      <w:lang w:val="en-US" w:eastAsia="zh-CN" w:bidi="ar"/>
                    </w:rPr>
                    <w:t>3</w:t>
                  </w:r>
                </w:p>
              </w:tc>
              <w:tc>
                <w:tcPr>
                  <w:tcW w:w="636" w:type="dxa"/>
                  <w:tcBorders>
                    <w:top w:val="single" w:color="auto" w:sz="12" w:space="0"/>
                    <w:left w:val="single" w:color="auto" w:sz="8" w:space="0"/>
                    <w:bottom w:val="single" w:color="auto" w:sz="8" w:space="0"/>
                    <w:right w:val="nil"/>
                  </w:tcBorders>
                  <w:shd w:val="clear" w:color="auto" w:fill="auto"/>
                  <w:vAlign w:val="center"/>
                </w:tcPr>
                <w:p w14:paraId="52DA77CE">
                  <w:pPr>
                    <w:keepNext w:val="0"/>
                    <w:keepLines w:val="0"/>
                    <w:widowControl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olor w:val="auto"/>
                      <w:kern w:val="0"/>
                      <w:sz w:val="21"/>
                      <w:szCs w:val="21"/>
                      <w:highlight w:val="none"/>
                      <w:lang w:val="zh-CN" w:eastAsia="zh-CN" w:bidi="zh-CN"/>
                    </w:rPr>
                  </w:pPr>
                  <w:r>
                    <w:rPr>
                      <w:rFonts w:hint="eastAsia" w:ascii="Times New Roman" w:hAnsi="Times New Roman" w:eastAsia="宋体" w:cs="宋体"/>
                      <w:b/>
                      <w:bCs/>
                      <w:color w:val="auto"/>
                      <w:kern w:val="0"/>
                      <w:sz w:val="21"/>
                      <w:szCs w:val="21"/>
                      <w:highlight w:val="none"/>
                      <w:lang w:val="en-US" w:eastAsia="zh-CN" w:bidi="ar"/>
                    </w:rPr>
                    <w:t>速率</w:t>
                  </w:r>
                  <w:r>
                    <w:rPr>
                      <w:rFonts w:hint="default" w:ascii="Times New Roman" w:hAnsi="Times New Roman" w:eastAsia="宋体" w:cs="Times New Roman"/>
                      <w:b/>
                      <w:bCs/>
                      <w:color w:val="auto"/>
                      <w:kern w:val="0"/>
                      <w:sz w:val="21"/>
                      <w:szCs w:val="21"/>
                      <w:highlight w:val="none"/>
                      <w:lang w:val="en-US" w:eastAsia="zh-CN" w:bidi="ar"/>
                    </w:rPr>
                    <w:t>kg/h</w:t>
                  </w:r>
                </w:p>
              </w:tc>
              <w:tc>
                <w:tcPr>
                  <w:tcW w:w="780" w:type="dxa"/>
                  <w:vMerge w:val="continue"/>
                  <w:tcBorders>
                    <w:left w:val="single" w:color="auto" w:sz="8" w:space="0"/>
                    <w:bottom w:val="single" w:color="auto" w:sz="8" w:space="0"/>
                    <w:right w:val="nil"/>
                  </w:tcBorders>
                  <w:shd w:val="clear" w:color="auto" w:fill="auto"/>
                  <w:vAlign w:val="center"/>
                </w:tcPr>
                <w:p w14:paraId="0C2D17DA">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0"/>
                      <w:szCs w:val="20"/>
                      <w:highlight w:val="none"/>
                    </w:rPr>
                  </w:pPr>
                </w:p>
              </w:tc>
            </w:tr>
            <w:tr w14:paraId="0B62FE9C">
              <w:tblPrEx>
                <w:tblBorders>
                  <w:top w:val="single" w:color="auto" w:sz="12" w:space="0"/>
                  <w:left w:val="none" w:color="auto" w:sz="6" w:space="0"/>
                  <w:bottom w:val="single" w:color="auto" w:sz="12" w:space="0"/>
                  <w:right w:val="none" w:color="auto" w:sz="6" w:space="0"/>
                  <w:insideH w:val="single" w:color="auto" w:sz="8" w:space="0"/>
                  <w:insideV w:val="single" w:color="auto" w:sz="8" w:space="0"/>
                </w:tblBorders>
                <w:shd w:val="clear" w:color="auto" w:fill="auto"/>
                <w:tblCellMar>
                  <w:top w:w="0" w:type="dxa"/>
                  <w:left w:w="0" w:type="dxa"/>
                  <w:bottom w:w="0" w:type="dxa"/>
                  <w:right w:w="0" w:type="dxa"/>
                </w:tblCellMar>
              </w:tblPrEx>
              <w:trPr>
                <w:trHeight w:val="340" w:hRule="atLeast"/>
                <w:jc w:val="center"/>
              </w:trPr>
              <w:tc>
                <w:tcPr>
                  <w:tcW w:w="567" w:type="dxa"/>
                  <w:vMerge w:val="restart"/>
                  <w:tcBorders>
                    <w:top w:val="single" w:color="auto" w:sz="8" w:space="0"/>
                    <w:left w:val="nil"/>
                    <w:right w:val="single" w:color="auto" w:sz="8" w:space="0"/>
                  </w:tcBorders>
                  <w:shd w:val="clear" w:color="auto" w:fill="auto"/>
                  <w:vAlign w:val="center"/>
                </w:tcPr>
                <w:p w14:paraId="2CAD586F">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注塑</w:t>
                  </w:r>
                </w:p>
              </w:tc>
              <w:tc>
                <w:tcPr>
                  <w:tcW w:w="1176" w:type="dxa"/>
                  <w:tcBorders>
                    <w:top w:val="single" w:color="auto" w:sz="8" w:space="0"/>
                    <w:left w:val="single" w:color="auto" w:sz="8" w:space="0"/>
                    <w:bottom w:val="single" w:color="auto" w:sz="8" w:space="0"/>
                    <w:right w:val="single" w:color="auto" w:sz="8" w:space="0"/>
                  </w:tcBorders>
                  <w:shd w:val="clear" w:color="auto" w:fill="auto"/>
                  <w:vAlign w:val="center"/>
                </w:tcPr>
                <w:p w14:paraId="1D79A41C">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非甲烷总烃</w:t>
                  </w:r>
                </w:p>
              </w:tc>
              <w:tc>
                <w:tcPr>
                  <w:tcW w:w="762" w:type="dxa"/>
                  <w:vMerge w:val="restart"/>
                  <w:tcBorders>
                    <w:top w:val="single" w:color="auto" w:sz="8" w:space="0"/>
                    <w:left w:val="single" w:color="auto" w:sz="8" w:space="0"/>
                    <w:right w:val="single" w:color="auto" w:sz="8" w:space="0"/>
                  </w:tcBorders>
                  <w:shd w:val="clear" w:color="auto" w:fill="auto"/>
                  <w:vAlign w:val="center"/>
                </w:tcPr>
                <w:p w14:paraId="1CA2443A">
                  <w:pPr>
                    <w:pStyle w:val="21"/>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1000</w:t>
                  </w:r>
                </w:p>
              </w:tc>
              <w:tc>
                <w:tcPr>
                  <w:tcW w:w="785" w:type="dxa"/>
                  <w:tcBorders>
                    <w:top w:val="single" w:color="auto" w:sz="8" w:space="0"/>
                    <w:left w:val="single" w:color="auto" w:sz="8" w:space="0"/>
                    <w:bottom w:val="single" w:color="auto" w:sz="8" w:space="0"/>
                    <w:right w:val="single" w:color="auto" w:sz="8" w:space="0"/>
                  </w:tcBorders>
                  <w:shd w:val="clear" w:color="auto" w:fill="auto"/>
                  <w:vAlign w:val="center"/>
                </w:tcPr>
                <w:p w14:paraId="612387F0">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177.222</w:t>
                  </w:r>
                </w:p>
              </w:tc>
              <w:tc>
                <w:tcPr>
                  <w:tcW w:w="773" w:type="dxa"/>
                  <w:tcBorders>
                    <w:top w:val="single" w:color="auto" w:sz="8" w:space="0"/>
                    <w:left w:val="single" w:color="auto" w:sz="8" w:space="0"/>
                    <w:bottom w:val="single" w:color="auto" w:sz="8" w:space="0"/>
                    <w:right w:val="single" w:color="auto" w:sz="8" w:space="0"/>
                  </w:tcBorders>
                  <w:shd w:val="clear" w:color="auto" w:fill="auto"/>
                  <w:vAlign w:val="center"/>
                </w:tcPr>
                <w:p w14:paraId="2C012EA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0.177</w:t>
                  </w:r>
                </w:p>
              </w:tc>
              <w:tc>
                <w:tcPr>
                  <w:tcW w:w="738" w:type="dxa"/>
                  <w:tcBorders>
                    <w:top w:val="single" w:color="auto" w:sz="8" w:space="0"/>
                    <w:left w:val="single" w:color="auto" w:sz="8" w:space="0"/>
                    <w:bottom w:val="single" w:color="auto" w:sz="8" w:space="0"/>
                    <w:right w:val="single" w:color="auto" w:sz="8" w:space="0"/>
                  </w:tcBorders>
                  <w:shd w:val="clear" w:color="auto" w:fill="auto"/>
                  <w:vAlign w:val="center"/>
                </w:tcPr>
                <w:p w14:paraId="1D0C9350">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1.276</w:t>
                  </w:r>
                </w:p>
              </w:tc>
              <w:tc>
                <w:tcPr>
                  <w:tcW w:w="1142" w:type="dxa"/>
                  <w:vMerge w:val="restart"/>
                  <w:tcBorders>
                    <w:top w:val="single" w:color="auto" w:sz="8" w:space="0"/>
                    <w:left w:val="single" w:color="auto" w:sz="8" w:space="0"/>
                    <w:right w:val="single" w:color="auto" w:sz="8" w:space="0"/>
                  </w:tcBorders>
                  <w:shd w:val="clear" w:color="auto" w:fill="auto"/>
                  <w:vAlign w:val="center"/>
                </w:tcPr>
                <w:p w14:paraId="6245646B">
                  <w:pPr>
                    <w:pStyle w:val="21"/>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二级活性炭吸附</w:t>
                  </w:r>
                </w:p>
              </w:tc>
              <w:tc>
                <w:tcPr>
                  <w:tcW w:w="681" w:type="dxa"/>
                  <w:vMerge w:val="restart"/>
                  <w:tcBorders>
                    <w:top w:val="single" w:color="auto" w:sz="8" w:space="0"/>
                    <w:left w:val="single" w:color="auto" w:sz="8" w:space="0"/>
                    <w:right w:val="single" w:color="auto" w:sz="8" w:space="0"/>
                  </w:tcBorders>
                  <w:shd w:val="clear" w:color="auto" w:fill="auto"/>
                  <w:vAlign w:val="center"/>
                </w:tcPr>
                <w:p w14:paraId="0773DF47">
                  <w:pPr>
                    <w:pStyle w:val="21"/>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90</w:t>
                  </w:r>
                </w:p>
              </w:tc>
              <w:tc>
                <w:tcPr>
                  <w:tcW w:w="866" w:type="dxa"/>
                  <w:vMerge w:val="restart"/>
                  <w:tcBorders>
                    <w:top w:val="single" w:color="auto" w:sz="8" w:space="0"/>
                    <w:left w:val="single" w:color="auto" w:sz="8" w:space="0"/>
                    <w:right w:val="single" w:color="auto" w:sz="8" w:space="0"/>
                  </w:tcBorders>
                  <w:shd w:val="clear" w:color="auto" w:fill="auto"/>
                  <w:vAlign w:val="center"/>
                </w:tcPr>
                <w:p w14:paraId="6D3B4690">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是</w:t>
                  </w:r>
                </w:p>
              </w:tc>
              <w:tc>
                <w:tcPr>
                  <w:tcW w:w="889" w:type="dxa"/>
                  <w:vMerge w:val="restart"/>
                  <w:tcBorders>
                    <w:top w:val="single" w:color="auto" w:sz="8" w:space="0"/>
                    <w:left w:val="single" w:color="auto" w:sz="8" w:space="0"/>
                    <w:right w:val="single" w:color="auto" w:sz="8" w:space="0"/>
                  </w:tcBorders>
                  <w:shd w:val="clear" w:color="auto" w:fill="auto"/>
                  <w:vAlign w:val="center"/>
                </w:tcPr>
                <w:p w14:paraId="095D8301">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eastAsia" w:cs="Times New Roman"/>
                      <w:color w:val="auto"/>
                      <w:kern w:val="0"/>
                      <w:sz w:val="21"/>
                      <w:szCs w:val="21"/>
                      <w:highlight w:val="none"/>
                      <w:lang w:val="en-US" w:eastAsia="zh-CN"/>
                    </w:rPr>
                    <w:t>非甲烷总烃</w:t>
                  </w:r>
                </w:p>
              </w:tc>
              <w:tc>
                <w:tcPr>
                  <w:tcW w:w="667" w:type="dxa"/>
                  <w:vMerge w:val="restart"/>
                  <w:tcBorders>
                    <w:top w:val="single" w:color="auto" w:sz="8" w:space="0"/>
                    <w:left w:val="single" w:color="auto" w:sz="8" w:space="0"/>
                    <w:right w:val="single" w:color="auto" w:sz="8" w:space="0"/>
                  </w:tcBorders>
                  <w:shd w:val="clear" w:color="auto" w:fill="auto"/>
                  <w:vAlign w:val="center"/>
                </w:tcPr>
                <w:p w14:paraId="1BE6FB5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25000</w:t>
                  </w:r>
                </w:p>
              </w:tc>
              <w:tc>
                <w:tcPr>
                  <w:tcW w:w="809" w:type="dxa"/>
                  <w:vMerge w:val="restart"/>
                  <w:tcBorders>
                    <w:top w:val="single" w:color="auto" w:sz="8" w:space="0"/>
                    <w:left w:val="single" w:color="auto" w:sz="8" w:space="0"/>
                    <w:right w:val="single" w:color="auto" w:sz="8" w:space="0"/>
                  </w:tcBorders>
                  <w:shd w:val="clear" w:color="auto" w:fill="auto"/>
                  <w:vAlign w:val="center"/>
                </w:tcPr>
                <w:p w14:paraId="0003429F">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1.428</w:t>
                  </w:r>
                </w:p>
              </w:tc>
              <w:tc>
                <w:tcPr>
                  <w:tcW w:w="826" w:type="dxa"/>
                  <w:vMerge w:val="restart"/>
                  <w:tcBorders>
                    <w:top w:val="single" w:color="auto" w:sz="8" w:space="0"/>
                    <w:left w:val="single" w:color="auto" w:sz="8" w:space="0"/>
                    <w:right w:val="single" w:color="auto" w:sz="8" w:space="0"/>
                  </w:tcBorders>
                  <w:shd w:val="clear" w:color="auto" w:fill="auto"/>
                  <w:vAlign w:val="center"/>
                </w:tcPr>
                <w:p w14:paraId="2CF3EE9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0.036</w:t>
                  </w:r>
                </w:p>
              </w:tc>
              <w:tc>
                <w:tcPr>
                  <w:tcW w:w="742" w:type="dxa"/>
                  <w:vMerge w:val="restart"/>
                  <w:tcBorders>
                    <w:top w:val="single" w:color="auto" w:sz="8" w:space="0"/>
                    <w:left w:val="single" w:color="auto" w:sz="8" w:space="0"/>
                    <w:right w:val="single" w:color="auto" w:sz="8" w:space="0"/>
                  </w:tcBorders>
                  <w:shd w:val="clear" w:color="auto" w:fill="auto"/>
                  <w:vAlign w:val="center"/>
                </w:tcPr>
                <w:p w14:paraId="2DBFE4EF">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0.257</w:t>
                  </w:r>
                </w:p>
              </w:tc>
              <w:tc>
                <w:tcPr>
                  <w:tcW w:w="708" w:type="dxa"/>
                  <w:vMerge w:val="restart"/>
                  <w:tcBorders>
                    <w:top w:val="single" w:color="auto" w:sz="8" w:space="0"/>
                    <w:left w:val="single" w:color="auto" w:sz="8" w:space="0"/>
                    <w:right w:val="nil"/>
                  </w:tcBorders>
                  <w:shd w:val="clear" w:color="auto" w:fill="auto"/>
                  <w:vAlign w:val="center"/>
                </w:tcPr>
                <w:p w14:paraId="3529E609">
                  <w:pPr>
                    <w:pStyle w:val="21"/>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50</w:t>
                  </w:r>
                </w:p>
              </w:tc>
              <w:tc>
                <w:tcPr>
                  <w:tcW w:w="636" w:type="dxa"/>
                  <w:vMerge w:val="restart"/>
                  <w:tcBorders>
                    <w:top w:val="single" w:color="auto" w:sz="8" w:space="0"/>
                    <w:left w:val="single" w:color="auto" w:sz="8" w:space="0"/>
                    <w:right w:val="nil"/>
                  </w:tcBorders>
                  <w:shd w:val="clear" w:color="auto" w:fill="auto"/>
                  <w:vAlign w:val="center"/>
                </w:tcPr>
                <w:p w14:paraId="368B986A">
                  <w:pPr>
                    <w:pStyle w:val="21"/>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w:t>
                  </w:r>
                </w:p>
              </w:tc>
              <w:tc>
                <w:tcPr>
                  <w:tcW w:w="780" w:type="dxa"/>
                  <w:vMerge w:val="restart"/>
                  <w:tcBorders>
                    <w:top w:val="single" w:color="auto" w:sz="8" w:space="0"/>
                    <w:left w:val="single" w:color="auto" w:sz="8" w:space="0"/>
                    <w:right w:val="nil"/>
                  </w:tcBorders>
                  <w:shd w:val="clear" w:color="auto" w:fill="auto"/>
                  <w:vAlign w:val="center"/>
                </w:tcPr>
                <w:p w14:paraId="0BC3F76E">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DA001</w:t>
                  </w:r>
                </w:p>
              </w:tc>
            </w:tr>
            <w:tr w14:paraId="00B17C5C">
              <w:tblPrEx>
                <w:tblBorders>
                  <w:top w:val="single" w:color="auto" w:sz="12" w:space="0"/>
                  <w:left w:val="none" w:color="auto" w:sz="6" w:space="0"/>
                  <w:bottom w:val="single" w:color="auto" w:sz="12" w:space="0"/>
                  <w:right w:val="none" w:color="auto" w:sz="6" w:space="0"/>
                  <w:insideH w:val="single" w:color="auto" w:sz="8" w:space="0"/>
                  <w:insideV w:val="single" w:color="auto" w:sz="8" w:space="0"/>
                </w:tblBorders>
                <w:shd w:val="clear" w:color="auto" w:fill="auto"/>
                <w:tblCellMar>
                  <w:top w:w="0" w:type="dxa"/>
                  <w:left w:w="0" w:type="dxa"/>
                  <w:bottom w:w="0" w:type="dxa"/>
                  <w:right w:w="0" w:type="dxa"/>
                </w:tblCellMar>
              </w:tblPrEx>
              <w:trPr>
                <w:trHeight w:val="340" w:hRule="atLeast"/>
                <w:jc w:val="center"/>
              </w:trPr>
              <w:tc>
                <w:tcPr>
                  <w:tcW w:w="567" w:type="dxa"/>
                  <w:vMerge w:val="continue"/>
                  <w:tcBorders>
                    <w:left w:val="nil"/>
                    <w:right w:val="single" w:color="auto" w:sz="8" w:space="0"/>
                  </w:tcBorders>
                  <w:shd w:val="clear" w:color="auto" w:fill="auto"/>
                  <w:vAlign w:val="center"/>
                </w:tcPr>
                <w:p w14:paraId="7E8F051C">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0"/>
                      <w:sz w:val="21"/>
                      <w:szCs w:val="21"/>
                      <w:highlight w:val="none"/>
                    </w:rPr>
                  </w:pPr>
                </w:p>
              </w:tc>
              <w:tc>
                <w:tcPr>
                  <w:tcW w:w="1176" w:type="dxa"/>
                  <w:tcBorders>
                    <w:top w:val="single" w:color="auto" w:sz="8" w:space="0"/>
                    <w:left w:val="single" w:color="auto" w:sz="8" w:space="0"/>
                    <w:bottom w:val="single" w:color="auto" w:sz="8" w:space="0"/>
                    <w:right w:val="single" w:color="auto" w:sz="8" w:space="0"/>
                  </w:tcBorders>
                  <w:shd w:val="clear" w:color="auto" w:fill="auto"/>
                  <w:vAlign w:val="center"/>
                </w:tcPr>
                <w:p w14:paraId="34C5237A">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乙醛</w:t>
                  </w:r>
                </w:p>
              </w:tc>
              <w:tc>
                <w:tcPr>
                  <w:tcW w:w="762" w:type="dxa"/>
                  <w:vMerge w:val="continue"/>
                  <w:tcBorders>
                    <w:left w:val="single" w:color="auto" w:sz="8" w:space="0"/>
                    <w:bottom w:val="single" w:color="auto" w:sz="8" w:space="0"/>
                    <w:right w:val="single" w:color="auto" w:sz="8" w:space="0"/>
                  </w:tcBorders>
                  <w:shd w:val="clear" w:color="auto" w:fill="auto"/>
                  <w:vAlign w:val="center"/>
                </w:tcPr>
                <w:p w14:paraId="752AD545">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785" w:type="dxa"/>
                  <w:tcBorders>
                    <w:top w:val="single" w:color="auto" w:sz="8" w:space="0"/>
                    <w:left w:val="single" w:color="auto" w:sz="8" w:space="0"/>
                    <w:bottom w:val="single" w:color="auto" w:sz="8" w:space="0"/>
                    <w:right w:val="single" w:color="auto" w:sz="8" w:space="0"/>
                  </w:tcBorders>
                  <w:shd w:val="clear" w:color="auto" w:fill="auto"/>
                  <w:vAlign w:val="center"/>
                </w:tcPr>
                <w:p w14:paraId="5F95424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8.611</w:t>
                  </w:r>
                </w:p>
              </w:tc>
              <w:tc>
                <w:tcPr>
                  <w:tcW w:w="773" w:type="dxa"/>
                  <w:tcBorders>
                    <w:top w:val="single" w:color="auto" w:sz="8" w:space="0"/>
                    <w:left w:val="single" w:color="auto" w:sz="8" w:space="0"/>
                    <w:bottom w:val="single" w:color="auto" w:sz="8" w:space="0"/>
                    <w:right w:val="single" w:color="auto" w:sz="8" w:space="0"/>
                  </w:tcBorders>
                  <w:shd w:val="clear" w:color="auto" w:fill="auto"/>
                  <w:vAlign w:val="center"/>
                </w:tcPr>
                <w:p w14:paraId="7082879F">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0.009</w:t>
                  </w:r>
                </w:p>
              </w:tc>
              <w:tc>
                <w:tcPr>
                  <w:tcW w:w="738" w:type="dxa"/>
                  <w:tcBorders>
                    <w:top w:val="single" w:color="auto" w:sz="8" w:space="0"/>
                    <w:left w:val="single" w:color="auto" w:sz="8" w:space="0"/>
                    <w:bottom w:val="single" w:color="auto" w:sz="8" w:space="0"/>
                    <w:right w:val="single" w:color="auto" w:sz="8" w:space="0"/>
                  </w:tcBorders>
                  <w:shd w:val="clear" w:color="auto" w:fill="auto"/>
                  <w:vAlign w:val="center"/>
                </w:tcPr>
                <w:p w14:paraId="5F27AD6B">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0.062</w:t>
                  </w:r>
                </w:p>
              </w:tc>
              <w:tc>
                <w:tcPr>
                  <w:tcW w:w="1142" w:type="dxa"/>
                  <w:vMerge w:val="continue"/>
                  <w:tcBorders>
                    <w:left w:val="single" w:color="auto" w:sz="8" w:space="0"/>
                    <w:right w:val="single" w:color="auto" w:sz="8" w:space="0"/>
                  </w:tcBorders>
                  <w:shd w:val="clear" w:color="auto" w:fill="auto"/>
                  <w:vAlign w:val="center"/>
                </w:tcPr>
                <w:p w14:paraId="3A788707">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681" w:type="dxa"/>
                  <w:vMerge w:val="continue"/>
                  <w:tcBorders>
                    <w:left w:val="single" w:color="auto" w:sz="8" w:space="0"/>
                    <w:right w:val="single" w:color="auto" w:sz="8" w:space="0"/>
                  </w:tcBorders>
                  <w:shd w:val="clear" w:color="auto" w:fill="auto"/>
                  <w:vAlign w:val="center"/>
                </w:tcPr>
                <w:p w14:paraId="21D582EB">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866" w:type="dxa"/>
                  <w:vMerge w:val="continue"/>
                  <w:tcBorders>
                    <w:left w:val="single" w:color="auto" w:sz="8" w:space="0"/>
                    <w:right w:val="single" w:color="auto" w:sz="8" w:space="0"/>
                  </w:tcBorders>
                  <w:shd w:val="clear" w:color="auto" w:fill="auto"/>
                  <w:vAlign w:val="center"/>
                </w:tcPr>
                <w:p w14:paraId="59426F86">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889" w:type="dxa"/>
                  <w:vMerge w:val="continue"/>
                  <w:tcBorders>
                    <w:left w:val="single" w:color="auto" w:sz="8" w:space="0"/>
                    <w:right w:val="single" w:color="auto" w:sz="8" w:space="0"/>
                  </w:tcBorders>
                  <w:shd w:val="clear" w:color="auto" w:fill="auto"/>
                  <w:vAlign w:val="center"/>
                </w:tcPr>
                <w:p w14:paraId="10E82752">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667" w:type="dxa"/>
                  <w:vMerge w:val="continue"/>
                  <w:tcBorders>
                    <w:left w:val="single" w:color="auto" w:sz="8" w:space="0"/>
                    <w:right w:val="single" w:color="auto" w:sz="8" w:space="0"/>
                  </w:tcBorders>
                  <w:shd w:val="clear" w:color="auto" w:fill="auto"/>
                  <w:vAlign w:val="center"/>
                </w:tcPr>
                <w:p w14:paraId="786F40A8">
                  <w:pPr>
                    <w:pStyle w:val="21"/>
                    <w:keepNext w:val="0"/>
                    <w:keepLines w:val="0"/>
                    <w:suppressLineNumbers w:val="0"/>
                    <w:bidi w:val="0"/>
                    <w:spacing w:before="0" w:beforeAutospacing="0" w:after="0" w:afterAutospacing="0"/>
                    <w:ind w:left="0" w:right="0"/>
                    <w:rPr>
                      <w:rFonts w:hint="eastAsia"/>
                      <w:color w:val="auto"/>
                      <w:lang w:val="en-US" w:eastAsia="zh-CN"/>
                    </w:rPr>
                  </w:pPr>
                </w:p>
              </w:tc>
              <w:tc>
                <w:tcPr>
                  <w:tcW w:w="809" w:type="dxa"/>
                  <w:vMerge w:val="continue"/>
                  <w:tcBorders>
                    <w:left w:val="single" w:color="auto" w:sz="8" w:space="0"/>
                    <w:right w:val="single" w:color="auto" w:sz="8" w:space="0"/>
                  </w:tcBorders>
                  <w:shd w:val="clear" w:color="auto" w:fill="auto"/>
                  <w:vAlign w:val="center"/>
                </w:tcPr>
                <w:p w14:paraId="37F93CD2">
                  <w:pPr>
                    <w:pStyle w:val="21"/>
                    <w:keepNext w:val="0"/>
                    <w:keepLines w:val="0"/>
                    <w:suppressLineNumbers w:val="0"/>
                    <w:bidi w:val="0"/>
                    <w:spacing w:before="0" w:beforeAutospacing="0" w:after="0" w:afterAutospacing="0"/>
                    <w:ind w:left="0" w:right="0"/>
                    <w:rPr>
                      <w:rFonts w:hint="eastAsia"/>
                      <w:color w:val="auto"/>
                      <w:lang w:val="en-US" w:eastAsia="zh-CN"/>
                    </w:rPr>
                  </w:pPr>
                </w:p>
              </w:tc>
              <w:tc>
                <w:tcPr>
                  <w:tcW w:w="826" w:type="dxa"/>
                  <w:vMerge w:val="continue"/>
                  <w:tcBorders>
                    <w:left w:val="single" w:color="auto" w:sz="8" w:space="0"/>
                    <w:right w:val="single" w:color="auto" w:sz="8" w:space="0"/>
                  </w:tcBorders>
                  <w:shd w:val="clear" w:color="auto" w:fill="auto"/>
                  <w:vAlign w:val="center"/>
                </w:tcPr>
                <w:p w14:paraId="10E94E21">
                  <w:pPr>
                    <w:pStyle w:val="21"/>
                    <w:keepNext w:val="0"/>
                    <w:keepLines w:val="0"/>
                    <w:suppressLineNumbers w:val="0"/>
                    <w:bidi w:val="0"/>
                    <w:spacing w:before="0" w:beforeAutospacing="0" w:after="0" w:afterAutospacing="0"/>
                    <w:ind w:left="0" w:right="0"/>
                    <w:rPr>
                      <w:rFonts w:hint="default"/>
                      <w:color w:val="auto"/>
                      <w:lang w:val="en-US" w:eastAsia="zh-CN"/>
                    </w:rPr>
                  </w:pPr>
                </w:p>
              </w:tc>
              <w:tc>
                <w:tcPr>
                  <w:tcW w:w="742" w:type="dxa"/>
                  <w:vMerge w:val="continue"/>
                  <w:tcBorders>
                    <w:left w:val="single" w:color="auto" w:sz="8" w:space="0"/>
                    <w:right w:val="single" w:color="auto" w:sz="8" w:space="0"/>
                  </w:tcBorders>
                  <w:shd w:val="clear" w:color="auto" w:fill="auto"/>
                  <w:vAlign w:val="center"/>
                </w:tcPr>
                <w:p w14:paraId="57B85939">
                  <w:pPr>
                    <w:pStyle w:val="21"/>
                    <w:keepNext w:val="0"/>
                    <w:keepLines w:val="0"/>
                    <w:suppressLineNumbers w:val="0"/>
                    <w:bidi w:val="0"/>
                    <w:spacing w:before="0" w:beforeAutospacing="0" w:after="0" w:afterAutospacing="0"/>
                    <w:ind w:left="0" w:right="0"/>
                    <w:rPr>
                      <w:rFonts w:hint="default"/>
                      <w:color w:val="auto"/>
                      <w:lang w:val="en-US" w:eastAsia="zh-CN"/>
                    </w:rPr>
                  </w:pPr>
                </w:p>
              </w:tc>
              <w:tc>
                <w:tcPr>
                  <w:tcW w:w="708" w:type="dxa"/>
                  <w:vMerge w:val="continue"/>
                  <w:tcBorders>
                    <w:left w:val="single" w:color="auto" w:sz="8" w:space="0"/>
                    <w:right w:val="nil"/>
                  </w:tcBorders>
                  <w:shd w:val="clear" w:color="auto" w:fill="auto"/>
                  <w:vAlign w:val="center"/>
                </w:tcPr>
                <w:p w14:paraId="0784C67C">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636" w:type="dxa"/>
                  <w:vMerge w:val="continue"/>
                  <w:tcBorders>
                    <w:left w:val="single" w:color="auto" w:sz="8" w:space="0"/>
                    <w:right w:val="nil"/>
                  </w:tcBorders>
                  <w:shd w:val="clear" w:color="auto" w:fill="auto"/>
                  <w:vAlign w:val="center"/>
                </w:tcPr>
                <w:p w14:paraId="2CF754C0">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780" w:type="dxa"/>
                  <w:vMerge w:val="continue"/>
                  <w:tcBorders>
                    <w:left w:val="single" w:color="auto" w:sz="8" w:space="0"/>
                    <w:right w:val="nil"/>
                  </w:tcBorders>
                  <w:shd w:val="clear" w:color="auto" w:fill="auto"/>
                  <w:vAlign w:val="center"/>
                </w:tcPr>
                <w:p w14:paraId="7C7D5F64">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cs="Times New Roman"/>
                      <w:b w:val="0"/>
                      <w:bCs w:val="0"/>
                      <w:color w:val="auto"/>
                      <w:kern w:val="0"/>
                      <w:sz w:val="21"/>
                      <w:szCs w:val="21"/>
                      <w:highlight w:val="none"/>
                      <w:lang w:val="en-US" w:eastAsia="zh-CN"/>
                    </w:rPr>
                  </w:pPr>
                </w:p>
              </w:tc>
            </w:tr>
            <w:tr w14:paraId="5252DA4F">
              <w:tblPrEx>
                <w:tblBorders>
                  <w:top w:val="single" w:color="auto" w:sz="12" w:space="0"/>
                  <w:left w:val="none" w:color="auto" w:sz="6" w:space="0"/>
                  <w:bottom w:val="single" w:color="auto" w:sz="12" w:space="0"/>
                  <w:right w:val="none" w:color="auto" w:sz="6" w:space="0"/>
                  <w:insideH w:val="single" w:color="auto" w:sz="8" w:space="0"/>
                  <w:insideV w:val="single" w:color="auto" w:sz="8" w:space="0"/>
                </w:tblBorders>
                <w:shd w:val="clear" w:color="auto" w:fill="auto"/>
                <w:tblCellMar>
                  <w:top w:w="0" w:type="dxa"/>
                  <w:left w:w="0" w:type="dxa"/>
                  <w:bottom w:w="0" w:type="dxa"/>
                  <w:right w:w="0" w:type="dxa"/>
                </w:tblCellMar>
              </w:tblPrEx>
              <w:trPr>
                <w:trHeight w:val="340" w:hRule="atLeast"/>
                <w:jc w:val="center"/>
              </w:trPr>
              <w:tc>
                <w:tcPr>
                  <w:tcW w:w="567" w:type="dxa"/>
                  <w:vMerge w:val="restart"/>
                  <w:tcBorders>
                    <w:top w:val="single" w:color="auto" w:sz="8" w:space="0"/>
                    <w:left w:val="nil"/>
                    <w:right w:val="single" w:color="auto" w:sz="8" w:space="0"/>
                  </w:tcBorders>
                  <w:shd w:val="clear" w:color="auto" w:fill="auto"/>
                  <w:vAlign w:val="center"/>
                </w:tcPr>
                <w:p w14:paraId="4EA1060D">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压盖</w:t>
                  </w:r>
                </w:p>
              </w:tc>
              <w:tc>
                <w:tcPr>
                  <w:tcW w:w="1176" w:type="dxa"/>
                  <w:tcBorders>
                    <w:top w:val="single" w:color="auto" w:sz="8" w:space="0"/>
                    <w:left w:val="single" w:color="auto" w:sz="8" w:space="0"/>
                    <w:bottom w:val="single" w:color="auto" w:sz="8" w:space="0"/>
                    <w:right w:val="single" w:color="auto" w:sz="8" w:space="0"/>
                  </w:tcBorders>
                  <w:shd w:val="clear" w:color="auto" w:fill="auto"/>
                  <w:vAlign w:val="center"/>
                </w:tcPr>
                <w:p w14:paraId="5AC4E72F">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非甲烷总烃</w:t>
                  </w:r>
                </w:p>
              </w:tc>
              <w:tc>
                <w:tcPr>
                  <w:tcW w:w="762" w:type="dxa"/>
                  <w:vMerge w:val="restart"/>
                  <w:tcBorders>
                    <w:top w:val="single" w:color="auto" w:sz="8" w:space="0"/>
                    <w:left w:val="single" w:color="auto" w:sz="8" w:space="0"/>
                    <w:right w:val="single" w:color="auto" w:sz="8" w:space="0"/>
                  </w:tcBorders>
                  <w:shd w:val="clear" w:color="auto" w:fill="auto"/>
                  <w:vAlign w:val="center"/>
                </w:tcPr>
                <w:p w14:paraId="1419A5E2">
                  <w:pPr>
                    <w:pStyle w:val="21"/>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1000</w:t>
                  </w:r>
                </w:p>
              </w:tc>
              <w:tc>
                <w:tcPr>
                  <w:tcW w:w="785" w:type="dxa"/>
                  <w:tcBorders>
                    <w:top w:val="single" w:color="auto" w:sz="8" w:space="0"/>
                    <w:left w:val="single" w:color="auto" w:sz="8" w:space="0"/>
                    <w:bottom w:val="single" w:color="auto" w:sz="8" w:space="0"/>
                    <w:right w:val="single" w:color="auto" w:sz="8" w:space="0"/>
                  </w:tcBorders>
                  <w:shd w:val="clear" w:color="auto" w:fill="auto"/>
                  <w:vAlign w:val="center"/>
                </w:tcPr>
                <w:p w14:paraId="2B3E9E0E">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2.361</w:t>
                  </w:r>
                </w:p>
              </w:tc>
              <w:tc>
                <w:tcPr>
                  <w:tcW w:w="773" w:type="dxa"/>
                  <w:tcBorders>
                    <w:top w:val="single" w:color="auto" w:sz="8" w:space="0"/>
                    <w:left w:val="single" w:color="auto" w:sz="8" w:space="0"/>
                    <w:bottom w:val="single" w:color="auto" w:sz="8" w:space="0"/>
                    <w:right w:val="single" w:color="auto" w:sz="8" w:space="0"/>
                  </w:tcBorders>
                  <w:shd w:val="clear" w:color="auto" w:fill="auto"/>
                  <w:vAlign w:val="center"/>
                </w:tcPr>
                <w:p w14:paraId="5FC3F94C">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0.002</w:t>
                  </w:r>
                </w:p>
              </w:tc>
              <w:tc>
                <w:tcPr>
                  <w:tcW w:w="738" w:type="dxa"/>
                  <w:tcBorders>
                    <w:top w:val="single" w:color="auto" w:sz="8" w:space="0"/>
                    <w:left w:val="single" w:color="auto" w:sz="8" w:space="0"/>
                    <w:bottom w:val="single" w:color="auto" w:sz="8" w:space="0"/>
                    <w:right w:val="single" w:color="auto" w:sz="8" w:space="0"/>
                  </w:tcBorders>
                  <w:shd w:val="clear" w:color="auto" w:fill="auto"/>
                  <w:vAlign w:val="center"/>
                </w:tcPr>
                <w:p w14:paraId="2264555C">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0.017</w:t>
                  </w:r>
                </w:p>
              </w:tc>
              <w:tc>
                <w:tcPr>
                  <w:tcW w:w="1142" w:type="dxa"/>
                  <w:vMerge w:val="continue"/>
                  <w:tcBorders>
                    <w:left w:val="single" w:color="auto" w:sz="8" w:space="0"/>
                    <w:right w:val="single" w:color="auto" w:sz="8" w:space="0"/>
                  </w:tcBorders>
                  <w:shd w:val="clear" w:color="auto" w:fill="auto"/>
                  <w:vAlign w:val="center"/>
                </w:tcPr>
                <w:p w14:paraId="3CD432FC">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681" w:type="dxa"/>
                  <w:vMerge w:val="continue"/>
                  <w:tcBorders>
                    <w:left w:val="single" w:color="auto" w:sz="8" w:space="0"/>
                    <w:right w:val="single" w:color="auto" w:sz="8" w:space="0"/>
                  </w:tcBorders>
                  <w:shd w:val="clear" w:color="auto" w:fill="auto"/>
                  <w:vAlign w:val="center"/>
                </w:tcPr>
                <w:p w14:paraId="0299165D">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866" w:type="dxa"/>
                  <w:vMerge w:val="continue"/>
                  <w:tcBorders>
                    <w:left w:val="single" w:color="auto" w:sz="8" w:space="0"/>
                    <w:right w:val="single" w:color="auto" w:sz="8" w:space="0"/>
                  </w:tcBorders>
                  <w:shd w:val="clear" w:color="auto" w:fill="auto"/>
                  <w:vAlign w:val="center"/>
                </w:tcPr>
                <w:p w14:paraId="5C08266D">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889" w:type="dxa"/>
                  <w:vMerge w:val="continue"/>
                  <w:tcBorders>
                    <w:left w:val="single" w:color="auto" w:sz="8" w:space="0"/>
                    <w:right w:val="single" w:color="auto" w:sz="8" w:space="0"/>
                  </w:tcBorders>
                  <w:shd w:val="clear" w:color="auto" w:fill="auto"/>
                  <w:vAlign w:val="center"/>
                </w:tcPr>
                <w:p w14:paraId="6288F6A4">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667" w:type="dxa"/>
                  <w:vMerge w:val="continue"/>
                  <w:tcBorders>
                    <w:left w:val="single" w:color="auto" w:sz="8" w:space="0"/>
                    <w:right w:val="single" w:color="auto" w:sz="8" w:space="0"/>
                  </w:tcBorders>
                  <w:shd w:val="clear" w:color="auto" w:fill="auto"/>
                  <w:vAlign w:val="center"/>
                </w:tcPr>
                <w:p w14:paraId="5E226F8F">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809" w:type="dxa"/>
                  <w:vMerge w:val="continue"/>
                  <w:tcBorders>
                    <w:left w:val="single" w:color="auto" w:sz="8" w:space="0"/>
                    <w:right w:val="single" w:color="auto" w:sz="8" w:space="0"/>
                  </w:tcBorders>
                  <w:shd w:val="clear" w:color="auto" w:fill="auto"/>
                  <w:vAlign w:val="center"/>
                </w:tcPr>
                <w:p w14:paraId="0F3A515D">
                  <w:pPr>
                    <w:pStyle w:val="21"/>
                    <w:keepNext w:val="0"/>
                    <w:keepLines w:val="0"/>
                    <w:suppressLineNumbers w:val="0"/>
                    <w:bidi w:val="0"/>
                    <w:spacing w:before="0" w:beforeAutospacing="0" w:after="0" w:afterAutospacing="0"/>
                    <w:ind w:left="0" w:right="0"/>
                    <w:rPr>
                      <w:rFonts w:hint="eastAsia"/>
                      <w:color w:val="auto"/>
                      <w:lang w:val="en-US" w:eastAsia="zh-CN"/>
                    </w:rPr>
                  </w:pPr>
                </w:p>
              </w:tc>
              <w:tc>
                <w:tcPr>
                  <w:tcW w:w="826" w:type="dxa"/>
                  <w:vMerge w:val="continue"/>
                  <w:tcBorders>
                    <w:left w:val="single" w:color="auto" w:sz="8" w:space="0"/>
                    <w:right w:val="single" w:color="auto" w:sz="8" w:space="0"/>
                  </w:tcBorders>
                  <w:shd w:val="clear" w:color="auto" w:fill="auto"/>
                  <w:vAlign w:val="center"/>
                </w:tcPr>
                <w:p w14:paraId="746ADA85">
                  <w:pPr>
                    <w:pStyle w:val="21"/>
                    <w:keepNext w:val="0"/>
                    <w:keepLines w:val="0"/>
                    <w:suppressLineNumbers w:val="0"/>
                    <w:bidi w:val="0"/>
                    <w:spacing w:before="0" w:beforeAutospacing="0" w:after="0" w:afterAutospacing="0"/>
                    <w:ind w:left="0" w:right="0"/>
                    <w:rPr>
                      <w:rFonts w:hint="eastAsia"/>
                      <w:color w:val="auto"/>
                      <w:lang w:val="en-US" w:eastAsia="zh-CN"/>
                    </w:rPr>
                  </w:pPr>
                </w:p>
              </w:tc>
              <w:tc>
                <w:tcPr>
                  <w:tcW w:w="742" w:type="dxa"/>
                  <w:vMerge w:val="continue"/>
                  <w:tcBorders>
                    <w:left w:val="single" w:color="auto" w:sz="8" w:space="0"/>
                    <w:right w:val="single" w:color="auto" w:sz="8" w:space="0"/>
                  </w:tcBorders>
                  <w:shd w:val="clear" w:color="auto" w:fill="auto"/>
                  <w:vAlign w:val="center"/>
                </w:tcPr>
                <w:p w14:paraId="2872E18A">
                  <w:pPr>
                    <w:pStyle w:val="21"/>
                    <w:keepNext w:val="0"/>
                    <w:keepLines w:val="0"/>
                    <w:suppressLineNumbers w:val="0"/>
                    <w:bidi w:val="0"/>
                    <w:spacing w:before="0" w:beforeAutospacing="0" w:after="0" w:afterAutospacing="0"/>
                    <w:ind w:left="0" w:right="0"/>
                    <w:rPr>
                      <w:rFonts w:hint="eastAsia"/>
                      <w:color w:val="auto"/>
                      <w:lang w:val="en-US" w:eastAsia="zh-CN"/>
                    </w:rPr>
                  </w:pPr>
                </w:p>
              </w:tc>
              <w:tc>
                <w:tcPr>
                  <w:tcW w:w="708" w:type="dxa"/>
                  <w:vMerge w:val="continue"/>
                  <w:tcBorders>
                    <w:left w:val="single" w:color="auto" w:sz="8" w:space="0"/>
                    <w:right w:val="nil"/>
                  </w:tcBorders>
                  <w:shd w:val="clear" w:color="auto" w:fill="auto"/>
                  <w:vAlign w:val="center"/>
                </w:tcPr>
                <w:p w14:paraId="1A651D55">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636" w:type="dxa"/>
                  <w:vMerge w:val="continue"/>
                  <w:tcBorders>
                    <w:left w:val="single" w:color="auto" w:sz="8" w:space="0"/>
                    <w:right w:val="nil"/>
                  </w:tcBorders>
                  <w:shd w:val="clear" w:color="auto" w:fill="auto"/>
                  <w:vAlign w:val="center"/>
                </w:tcPr>
                <w:p w14:paraId="473B559A">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780" w:type="dxa"/>
                  <w:vMerge w:val="continue"/>
                  <w:tcBorders>
                    <w:left w:val="single" w:color="auto" w:sz="8" w:space="0"/>
                    <w:right w:val="nil"/>
                  </w:tcBorders>
                  <w:shd w:val="clear" w:color="auto" w:fill="auto"/>
                  <w:vAlign w:val="center"/>
                </w:tcPr>
                <w:p w14:paraId="5BC131E0">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cs="Times New Roman"/>
                      <w:b w:val="0"/>
                      <w:bCs w:val="0"/>
                      <w:color w:val="auto"/>
                      <w:kern w:val="0"/>
                      <w:sz w:val="21"/>
                      <w:szCs w:val="21"/>
                      <w:highlight w:val="none"/>
                      <w:lang w:val="en-US" w:eastAsia="zh-CN"/>
                    </w:rPr>
                  </w:pPr>
                </w:p>
              </w:tc>
            </w:tr>
            <w:tr w14:paraId="50EE17BD">
              <w:tblPrEx>
                <w:tblBorders>
                  <w:top w:val="single" w:color="auto" w:sz="12" w:space="0"/>
                  <w:left w:val="none" w:color="auto" w:sz="6" w:space="0"/>
                  <w:bottom w:val="single" w:color="auto" w:sz="12" w:space="0"/>
                  <w:right w:val="none" w:color="auto" w:sz="6" w:space="0"/>
                  <w:insideH w:val="single" w:color="auto" w:sz="8" w:space="0"/>
                  <w:insideV w:val="single" w:color="auto" w:sz="8" w:space="0"/>
                </w:tblBorders>
                <w:shd w:val="clear" w:color="auto" w:fill="auto"/>
                <w:tblCellMar>
                  <w:top w:w="0" w:type="dxa"/>
                  <w:left w:w="0" w:type="dxa"/>
                  <w:bottom w:w="0" w:type="dxa"/>
                  <w:right w:w="0" w:type="dxa"/>
                </w:tblCellMar>
              </w:tblPrEx>
              <w:trPr>
                <w:trHeight w:val="340" w:hRule="atLeast"/>
                <w:jc w:val="center"/>
              </w:trPr>
              <w:tc>
                <w:tcPr>
                  <w:tcW w:w="567" w:type="dxa"/>
                  <w:vMerge w:val="continue"/>
                  <w:tcBorders>
                    <w:left w:val="nil"/>
                    <w:right w:val="single" w:color="auto" w:sz="8" w:space="0"/>
                  </w:tcBorders>
                  <w:shd w:val="clear" w:color="auto" w:fill="auto"/>
                  <w:vAlign w:val="center"/>
                </w:tcPr>
                <w:p w14:paraId="3F9DB0E4">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cs="Times New Roman"/>
                      <w:color w:val="auto"/>
                      <w:kern w:val="0"/>
                      <w:sz w:val="21"/>
                      <w:szCs w:val="21"/>
                      <w:highlight w:val="none"/>
                      <w:lang w:val="en-US" w:eastAsia="zh-CN"/>
                    </w:rPr>
                  </w:pPr>
                </w:p>
              </w:tc>
              <w:tc>
                <w:tcPr>
                  <w:tcW w:w="1176" w:type="dxa"/>
                  <w:tcBorders>
                    <w:top w:val="single" w:color="auto" w:sz="8" w:space="0"/>
                    <w:left w:val="single" w:color="auto" w:sz="8" w:space="0"/>
                    <w:bottom w:val="single" w:color="auto" w:sz="8" w:space="0"/>
                    <w:right w:val="single" w:color="auto" w:sz="8" w:space="0"/>
                  </w:tcBorders>
                  <w:shd w:val="clear" w:color="auto" w:fill="auto"/>
                  <w:vAlign w:val="center"/>
                </w:tcPr>
                <w:p w14:paraId="45FDF978">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乙醛</w:t>
                  </w:r>
                </w:p>
              </w:tc>
              <w:tc>
                <w:tcPr>
                  <w:tcW w:w="762" w:type="dxa"/>
                  <w:vMerge w:val="continue"/>
                  <w:tcBorders>
                    <w:left w:val="single" w:color="auto" w:sz="8" w:space="0"/>
                    <w:bottom w:val="single" w:color="auto" w:sz="8" w:space="0"/>
                    <w:right w:val="single" w:color="auto" w:sz="8" w:space="0"/>
                  </w:tcBorders>
                  <w:shd w:val="clear" w:color="auto" w:fill="auto"/>
                  <w:vAlign w:val="center"/>
                </w:tcPr>
                <w:p w14:paraId="76BB8F7D">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785" w:type="dxa"/>
                  <w:tcBorders>
                    <w:top w:val="single" w:color="auto" w:sz="8" w:space="0"/>
                    <w:left w:val="single" w:color="auto" w:sz="8" w:space="0"/>
                    <w:bottom w:val="single" w:color="auto" w:sz="8" w:space="0"/>
                    <w:right w:val="single" w:color="auto" w:sz="8" w:space="0"/>
                  </w:tcBorders>
                  <w:shd w:val="clear" w:color="auto" w:fill="auto"/>
                  <w:vAlign w:val="center"/>
                </w:tcPr>
                <w:p w14:paraId="34534AD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0.139</w:t>
                  </w:r>
                </w:p>
              </w:tc>
              <w:tc>
                <w:tcPr>
                  <w:tcW w:w="773" w:type="dxa"/>
                  <w:tcBorders>
                    <w:top w:val="single" w:color="auto" w:sz="8" w:space="0"/>
                    <w:left w:val="single" w:color="auto" w:sz="8" w:space="0"/>
                    <w:bottom w:val="single" w:color="auto" w:sz="8" w:space="0"/>
                    <w:right w:val="single" w:color="auto" w:sz="8" w:space="0"/>
                  </w:tcBorders>
                  <w:shd w:val="clear" w:color="auto" w:fill="auto"/>
                  <w:vAlign w:val="center"/>
                </w:tcPr>
                <w:p w14:paraId="2905AD4B">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0.0001</w:t>
                  </w:r>
                </w:p>
              </w:tc>
              <w:tc>
                <w:tcPr>
                  <w:tcW w:w="738" w:type="dxa"/>
                  <w:tcBorders>
                    <w:top w:val="single" w:color="auto" w:sz="8" w:space="0"/>
                    <w:left w:val="single" w:color="auto" w:sz="8" w:space="0"/>
                    <w:bottom w:val="single" w:color="auto" w:sz="8" w:space="0"/>
                    <w:right w:val="single" w:color="auto" w:sz="8" w:space="0"/>
                  </w:tcBorders>
                  <w:shd w:val="clear" w:color="auto" w:fill="auto"/>
                  <w:vAlign w:val="center"/>
                </w:tcPr>
                <w:p w14:paraId="03014BCC">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0.001</w:t>
                  </w:r>
                </w:p>
              </w:tc>
              <w:tc>
                <w:tcPr>
                  <w:tcW w:w="1142" w:type="dxa"/>
                  <w:vMerge w:val="continue"/>
                  <w:tcBorders>
                    <w:left w:val="single" w:color="auto" w:sz="8" w:space="0"/>
                    <w:right w:val="single" w:color="auto" w:sz="8" w:space="0"/>
                  </w:tcBorders>
                  <w:shd w:val="clear" w:color="auto" w:fill="auto"/>
                  <w:vAlign w:val="center"/>
                </w:tcPr>
                <w:p w14:paraId="03C508CB">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681" w:type="dxa"/>
                  <w:vMerge w:val="continue"/>
                  <w:tcBorders>
                    <w:left w:val="single" w:color="auto" w:sz="8" w:space="0"/>
                    <w:right w:val="single" w:color="auto" w:sz="8" w:space="0"/>
                  </w:tcBorders>
                  <w:shd w:val="clear" w:color="auto" w:fill="auto"/>
                  <w:vAlign w:val="center"/>
                </w:tcPr>
                <w:p w14:paraId="4E7DAD6C">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866" w:type="dxa"/>
                  <w:vMerge w:val="continue"/>
                  <w:tcBorders>
                    <w:left w:val="single" w:color="auto" w:sz="8" w:space="0"/>
                    <w:right w:val="single" w:color="auto" w:sz="8" w:space="0"/>
                  </w:tcBorders>
                  <w:shd w:val="clear" w:color="auto" w:fill="auto"/>
                  <w:vAlign w:val="center"/>
                </w:tcPr>
                <w:p w14:paraId="070850A8">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889" w:type="dxa"/>
                  <w:vMerge w:val="restart"/>
                  <w:tcBorders>
                    <w:left w:val="single" w:color="auto" w:sz="8" w:space="0"/>
                    <w:right w:val="single" w:color="auto" w:sz="8" w:space="0"/>
                  </w:tcBorders>
                  <w:shd w:val="clear" w:color="auto" w:fill="auto"/>
                  <w:vAlign w:val="center"/>
                </w:tcPr>
                <w:p w14:paraId="26EA129F">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eastAsia" w:cs="Times New Roman"/>
                      <w:color w:val="auto"/>
                      <w:kern w:val="0"/>
                      <w:sz w:val="21"/>
                      <w:szCs w:val="21"/>
                      <w:highlight w:val="none"/>
                      <w:lang w:val="en-US" w:eastAsia="zh-CN"/>
                    </w:rPr>
                    <w:t>乙醛</w:t>
                  </w:r>
                </w:p>
              </w:tc>
              <w:tc>
                <w:tcPr>
                  <w:tcW w:w="667" w:type="dxa"/>
                  <w:vMerge w:val="continue"/>
                  <w:tcBorders>
                    <w:left w:val="single" w:color="auto" w:sz="8" w:space="0"/>
                    <w:right w:val="single" w:color="auto" w:sz="8" w:space="0"/>
                  </w:tcBorders>
                  <w:shd w:val="clear" w:color="auto" w:fill="auto"/>
                  <w:vAlign w:val="center"/>
                </w:tcPr>
                <w:p w14:paraId="5E018657">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809" w:type="dxa"/>
                  <w:vMerge w:val="restart"/>
                  <w:tcBorders>
                    <w:left w:val="single" w:color="auto" w:sz="8" w:space="0"/>
                    <w:right w:val="single" w:color="auto" w:sz="8" w:space="0"/>
                  </w:tcBorders>
                  <w:shd w:val="clear" w:color="auto" w:fill="auto"/>
                  <w:vAlign w:val="center"/>
                </w:tcPr>
                <w:p w14:paraId="55228FD8">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0.072</w:t>
                  </w:r>
                </w:p>
              </w:tc>
              <w:tc>
                <w:tcPr>
                  <w:tcW w:w="826" w:type="dxa"/>
                  <w:vMerge w:val="restart"/>
                  <w:tcBorders>
                    <w:left w:val="single" w:color="auto" w:sz="8" w:space="0"/>
                    <w:right w:val="single" w:color="auto" w:sz="8" w:space="0"/>
                  </w:tcBorders>
                  <w:shd w:val="clear" w:color="auto" w:fill="auto"/>
                  <w:vAlign w:val="center"/>
                </w:tcPr>
                <w:p w14:paraId="6AC4C257">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0.002</w:t>
                  </w:r>
                </w:p>
              </w:tc>
              <w:tc>
                <w:tcPr>
                  <w:tcW w:w="742" w:type="dxa"/>
                  <w:vMerge w:val="restart"/>
                  <w:tcBorders>
                    <w:left w:val="single" w:color="auto" w:sz="8" w:space="0"/>
                    <w:right w:val="single" w:color="auto" w:sz="8" w:space="0"/>
                  </w:tcBorders>
                  <w:shd w:val="clear" w:color="auto" w:fill="auto"/>
                  <w:vAlign w:val="center"/>
                </w:tcPr>
                <w:p w14:paraId="6D6045DE">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0.013</w:t>
                  </w:r>
                </w:p>
              </w:tc>
              <w:tc>
                <w:tcPr>
                  <w:tcW w:w="708" w:type="dxa"/>
                  <w:vMerge w:val="restart"/>
                  <w:tcBorders>
                    <w:left w:val="single" w:color="auto" w:sz="8" w:space="0"/>
                    <w:right w:val="nil"/>
                  </w:tcBorders>
                  <w:shd w:val="clear" w:color="auto" w:fill="auto"/>
                  <w:vAlign w:val="center"/>
                </w:tcPr>
                <w:p w14:paraId="42036852">
                  <w:pPr>
                    <w:pStyle w:val="21"/>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20</w:t>
                  </w:r>
                </w:p>
              </w:tc>
              <w:tc>
                <w:tcPr>
                  <w:tcW w:w="636" w:type="dxa"/>
                  <w:vMerge w:val="restart"/>
                  <w:tcBorders>
                    <w:left w:val="single" w:color="auto" w:sz="8" w:space="0"/>
                    <w:right w:val="nil"/>
                  </w:tcBorders>
                  <w:shd w:val="clear" w:color="auto" w:fill="auto"/>
                  <w:vAlign w:val="center"/>
                </w:tcPr>
                <w:p w14:paraId="1EFB4774">
                  <w:pPr>
                    <w:pStyle w:val="21"/>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w:t>
                  </w:r>
                </w:p>
              </w:tc>
              <w:tc>
                <w:tcPr>
                  <w:tcW w:w="780" w:type="dxa"/>
                  <w:vMerge w:val="continue"/>
                  <w:tcBorders>
                    <w:left w:val="single" w:color="auto" w:sz="8" w:space="0"/>
                    <w:right w:val="nil"/>
                  </w:tcBorders>
                  <w:shd w:val="clear" w:color="auto" w:fill="auto"/>
                  <w:vAlign w:val="center"/>
                </w:tcPr>
                <w:p w14:paraId="3F16E351">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cs="Times New Roman"/>
                      <w:b w:val="0"/>
                      <w:bCs w:val="0"/>
                      <w:color w:val="auto"/>
                      <w:kern w:val="0"/>
                      <w:sz w:val="21"/>
                      <w:szCs w:val="21"/>
                      <w:highlight w:val="none"/>
                      <w:lang w:val="en-US" w:eastAsia="zh-CN"/>
                    </w:rPr>
                  </w:pPr>
                </w:p>
              </w:tc>
            </w:tr>
            <w:tr w14:paraId="2EEE4FB5">
              <w:tblPrEx>
                <w:tblBorders>
                  <w:top w:val="single" w:color="auto" w:sz="12" w:space="0"/>
                  <w:left w:val="none" w:color="auto" w:sz="6" w:space="0"/>
                  <w:bottom w:val="single" w:color="auto" w:sz="12" w:space="0"/>
                  <w:right w:val="none" w:color="auto" w:sz="6" w:space="0"/>
                  <w:insideH w:val="single" w:color="auto" w:sz="8" w:space="0"/>
                  <w:insideV w:val="single" w:color="auto" w:sz="8" w:space="0"/>
                </w:tblBorders>
                <w:shd w:val="clear" w:color="auto" w:fill="auto"/>
                <w:tblCellMar>
                  <w:top w:w="0" w:type="dxa"/>
                  <w:left w:w="0" w:type="dxa"/>
                  <w:bottom w:w="0" w:type="dxa"/>
                  <w:right w:w="0" w:type="dxa"/>
                </w:tblCellMar>
              </w:tblPrEx>
              <w:trPr>
                <w:trHeight w:val="340" w:hRule="atLeast"/>
                <w:jc w:val="center"/>
              </w:trPr>
              <w:tc>
                <w:tcPr>
                  <w:tcW w:w="567" w:type="dxa"/>
                  <w:vMerge w:val="restart"/>
                  <w:tcBorders>
                    <w:top w:val="single" w:color="auto" w:sz="8" w:space="0"/>
                    <w:left w:val="nil"/>
                    <w:right w:val="single" w:color="auto" w:sz="8" w:space="0"/>
                  </w:tcBorders>
                  <w:shd w:val="clear" w:color="auto" w:fill="auto"/>
                  <w:vAlign w:val="center"/>
                </w:tcPr>
                <w:p w14:paraId="6113DDE8">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吹制成瓶</w:t>
                  </w:r>
                </w:p>
              </w:tc>
              <w:tc>
                <w:tcPr>
                  <w:tcW w:w="1176" w:type="dxa"/>
                  <w:tcBorders>
                    <w:top w:val="single" w:color="auto" w:sz="8" w:space="0"/>
                    <w:left w:val="single" w:color="auto" w:sz="8" w:space="0"/>
                    <w:bottom w:val="single" w:color="auto" w:sz="8" w:space="0"/>
                    <w:right w:val="single" w:color="auto" w:sz="8" w:space="0"/>
                  </w:tcBorders>
                  <w:shd w:val="clear" w:color="auto" w:fill="auto"/>
                  <w:vAlign w:val="center"/>
                </w:tcPr>
                <w:p w14:paraId="7191FD81">
                  <w:pPr>
                    <w:keepNext w:val="0"/>
                    <w:keepLines w:val="0"/>
                    <w:widowControl w:val="0"/>
                    <w:suppressLineNumbers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0"/>
                      <w:sz w:val="21"/>
                      <w:szCs w:val="21"/>
                      <w:highlight w:val="none"/>
                      <w:lang w:val="en-US" w:eastAsia="zh-CN" w:bidi="zh-CN"/>
                    </w:rPr>
                  </w:pPr>
                  <w:r>
                    <w:rPr>
                      <w:rFonts w:hint="eastAsia" w:cs="Times New Roman"/>
                      <w:color w:val="auto"/>
                      <w:kern w:val="0"/>
                      <w:sz w:val="21"/>
                      <w:szCs w:val="21"/>
                      <w:highlight w:val="none"/>
                      <w:lang w:val="en-US" w:eastAsia="zh-CN"/>
                    </w:rPr>
                    <w:t>非甲烷总烃</w:t>
                  </w:r>
                </w:p>
              </w:tc>
              <w:tc>
                <w:tcPr>
                  <w:tcW w:w="762" w:type="dxa"/>
                  <w:vMerge w:val="restart"/>
                  <w:tcBorders>
                    <w:top w:val="single" w:color="auto" w:sz="8" w:space="0"/>
                    <w:left w:val="single" w:color="auto" w:sz="8" w:space="0"/>
                    <w:right w:val="single" w:color="auto" w:sz="8" w:space="0"/>
                  </w:tcBorders>
                  <w:shd w:val="clear" w:color="auto" w:fill="auto"/>
                  <w:vAlign w:val="center"/>
                </w:tcPr>
                <w:p w14:paraId="4764F7A3">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23000</w:t>
                  </w:r>
                </w:p>
              </w:tc>
              <w:tc>
                <w:tcPr>
                  <w:tcW w:w="785" w:type="dxa"/>
                  <w:tcBorders>
                    <w:top w:val="single" w:color="auto" w:sz="8" w:space="0"/>
                    <w:left w:val="single" w:color="auto" w:sz="8" w:space="0"/>
                    <w:bottom w:val="single" w:color="auto" w:sz="8" w:space="0"/>
                    <w:right w:val="single" w:color="auto" w:sz="8" w:space="0"/>
                  </w:tcBorders>
                  <w:shd w:val="clear" w:color="auto" w:fill="auto"/>
                  <w:vAlign w:val="center"/>
                </w:tcPr>
                <w:p w14:paraId="591BD1E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7.705</w:t>
                  </w:r>
                </w:p>
              </w:tc>
              <w:tc>
                <w:tcPr>
                  <w:tcW w:w="773" w:type="dxa"/>
                  <w:tcBorders>
                    <w:top w:val="single" w:color="auto" w:sz="8" w:space="0"/>
                    <w:left w:val="single" w:color="auto" w:sz="8" w:space="0"/>
                    <w:bottom w:val="single" w:color="auto" w:sz="8" w:space="0"/>
                    <w:right w:val="single" w:color="auto" w:sz="8" w:space="0"/>
                  </w:tcBorders>
                  <w:shd w:val="clear" w:color="auto" w:fill="auto"/>
                  <w:vAlign w:val="center"/>
                </w:tcPr>
                <w:p w14:paraId="4815651A">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0.177</w:t>
                  </w:r>
                </w:p>
              </w:tc>
              <w:tc>
                <w:tcPr>
                  <w:tcW w:w="738" w:type="dxa"/>
                  <w:tcBorders>
                    <w:top w:val="single" w:color="auto" w:sz="8" w:space="0"/>
                    <w:left w:val="single" w:color="auto" w:sz="8" w:space="0"/>
                    <w:bottom w:val="single" w:color="auto" w:sz="8" w:space="0"/>
                    <w:right w:val="single" w:color="auto" w:sz="8" w:space="0"/>
                  </w:tcBorders>
                  <w:shd w:val="clear" w:color="auto" w:fill="auto"/>
                  <w:vAlign w:val="center"/>
                </w:tcPr>
                <w:p w14:paraId="2227917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1.276</w:t>
                  </w:r>
                </w:p>
              </w:tc>
              <w:tc>
                <w:tcPr>
                  <w:tcW w:w="1142" w:type="dxa"/>
                  <w:vMerge w:val="continue"/>
                  <w:tcBorders>
                    <w:left w:val="single" w:color="auto" w:sz="8" w:space="0"/>
                    <w:right w:val="single" w:color="auto" w:sz="8" w:space="0"/>
                  </w:tcBorders>
                  <w:shd w:val="clear" w:color="auto" w:fill="auto"/>
                  <w:vAlign w:val="center"/>
                </w:tcPr>
                <w:p w14:paraId="03FC92FC">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681" w:type="dxa"/>
                  <w:vMerge w:val="continue"/>
                  <w:tcBorders>
                    <w:left w:val="single" w:color="auto" w:sz="8" w:space="0"/>
                    <w:right w:val="single" w:color="auto" w:sz="8" w:space="0"/>
                  </w:tcBorders>
                  <w:shd w:val="clear" w:color="auto" w:fill="auto"/>
                  <w:vAlign w:val="center"/>
                </w:tcPr>
                <w:p w14:paraId="068C6528">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866" w:type="dxa"/>
                  <w:vMerge w:val="continue"/>
                  <w:tcBorders>
                    <w:left w:val="single" w:color="auto" w:sz="8" w:space="0"/>
                    <w:right w:val="single" w:color="auto" w:sz="8" w:space="0"/>
                  </w:tcBorders>
                  <w:shd w:val="clear" w:color="auto" w:fill="auto"/>
                  <w:vAlign w:val="center"/>
                </w:tcPr>
                <w:p w14:paraId="35DA5F37">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889" w:type="dxa"/>
                  <w:vMerge w:val="continue"/>
                  <w:tcBorders>
                    <w:left w:val="single" w:color="auto" w:sz="8" w:space="0"/>
                    <w:right w:val="single" w:color="auto" w:sz="8" w:space="0"/>
                  </w:tcBorders>
                  <w:shd w:val="clear" w:color="auto" w:fill="auto"/>
                  <w:vAlign w:val="center"/>
                </w:tcPr>
                <w:p w14:paraId="7209591E">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667" w:type="dxa"/>
                  <w:vMerge w:val="continue"/>
                  <w:tcBorders>
                    <w:left w:val="single" w:color="auto" w:sz="8" w:space="0"/>
                    <w:right w:val="single" w:color="auto" w:sz="8" w:space="0"/>
                  </w:tcBorders>
                  <w:shd w:val="clear" w:color="auto" w:fill="auto"/>
                  <w:vAlign w:val="center"/>
                </w:tcPr>
                <w:p w14:paraId="49644188">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809" w:type="dxa"/>
                  <w:vMerge w:val="continue"/>
                  <w:tcBorders>
                    <w:left w:val="single" w:color="auto" w:sz="8" w:space="0"/>
                    <w:right w:val="single" w:color="auto" w:sz="8" w:space="0"/>
                  </w:tcBorders>
                  <w:shd w:val="clear" w:color="auto" w:fill="auto"/>
                  <w:vAlign w:val="center"/>
                </w:tcPr>
                <w:p w14:paraId="0B694297">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826" w:type="dxa"/>
                  <w:vMerge w:val="continue"/>
                  <w:tcBorders>
                    <w:left w:val="single" w:color="auto" w:sz="8" w:space="0"/>
                    <w:right w:val="single" w:color="auto" w:sz="8" w:space="0"/>
                  </w:tcBorders>
                  <w:shd w:val="clear" w:color="auto" w:fill="auto"/>
                  <w:vAlign w:val="center"/>
                </w:tcPr>
                <w:p w14:paraId="4FAB6E51">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742" w:type="dxa"/>
                  <w:vMerge w:val="continue"/>
                  <w:tcBorders>
                    <w:left w:val="single" w:color="auto" w:sz="8" w:space="0"/>
                    <w:right w:val="single" w:color="auto" w:sz="8" w:space="0"/>
                  </w:tcBorders>
                  <w:shd w:val="clear" w:color="auto" w:fill="auto"/>
                  <w:vAlign w:val="center"/>
                </w:tcPr>
                <w:p w14:paraId="7095D18A">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708" w:type="dxa"/>
                  <w:vMerge w:val="continue"/>
                  <w:tcBorders>
                    <w:left w:val="single" w:color="auto" w:sz="8" w:space="0"/>
                    <w:right w:val="nil"/>
                  </w:tcBorders>
                  <w:shd w:val="clear" w:color="auto" w:fill="auto"/>
                  <w:vAlign w:val="center"/>
                </w:tcPr>
                <w:p w14:paraId="55AA426F">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636" w:type="dxa"/>
                  <w:vMerge w:val="continue"/>
                  <w:tcBorders>
                    <w:left w:val="single" w:color="auto" w:sz="8" w:space="0"/>
                    <w:right w:val="nil"/>
                  </w:tcBorders>
                  <w:shd w:val="clear" w:color="auto" w:fill="auto"/>
                  <w:vAlign w:val="center"/>
                </w:tcPr>
                <w:p w14:paraId="74A5AD71">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780" w:type="dxa"/>
                  <w:vMerge w:val="continue"/>
                  <w:tcBorders>
                    <w:left w:val="single" w:color="auto" w:sz="8" w:space="0"/>
                    <w:right w:val="nil"/>
                  </w:tcBorders>
                  <w:shd w:val="clear" w:color="auto" w:fill="auto"/>
                  <w:vAlign w:val="center"/>
                </w:tcPr>
                <w:p w14:paraId="7E74BA2B">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cs="Times New Roman"/>
                      <w:b w:val="0"/>
                      <w:bCs w:val="0"/>
                      <w:color w:val="auto"/>
                      <w:kern w:val="0"/>
                      <w:sz w:val="21"/>
                      <w:szCs w:val="21"/>
                      <w:highlight w:val="none"/>
                      <w:lang w:val="en-US" w:eastAsia="zh-CN"/>
                    </w:rPr>
                  </w:pPr>
                </w:p>
              </w:tc>
            </w:tr>
            <w:tr w14:paraId="61CF85D6">
              <w:tblPrEx>
                <w:tblBorders>
                  <w:top w:val="single" w:color="auto" w:sz="12" w:space="0"/>
                  <w:left w:val="none" w:color="auto" w:sz="6" w:space="0"/>
                  <w:bottom w:val="single" w:color="auto" w:sz="12" w:space="0"/>
                  <w:right w:val="none" w:color="auto" w:sz="6" w:space="0"/>
                  <w:insideH w:val="single" w:color="auto" w:sz="8" w:space="0"/>
                  <w:insideV w:val="single" w:color="auto" w:sz="8" w:space="0"/>
                </w:tblBorders>
                <w:shd w:val="clear" w:color="auto" w:fill="auto"/>
                <w:tblCellMar>
                  <w:top w:w="0" w:type="dxa"/>
                  <w:left w:w="0" w:type="dxa"/>
                  <w:bottom w:w="0" w:type="dxa"/>
                  <w:right w:w="0" w:type="dxa"/>
                </w:tblCellMar>
              </w:tblPrEx>
              <w:trPr>
                <w:trHeight w:val="340" w:hRule="atLeast"/>
                <w:jc w:val="center"/>
              </w:trPr>
              <w:tc>
                <w:tcPr>
                  <w:tcW w:w="567" w:type="dxa"/>
                  <w:vMerge w:val="continue"/>
                  <w:tcBorders>
                    <w:left w:val="nil"/>
                    <w:right w:val="single" w:color="auto" w:sz="8" w:space="0"/>
                  </w:tcBorders>
                  <w:shd w:val="clear" w:color="auto" w:fill="auto"/>
                  <w:vAlign w:val="center"/>
                </w:tcPr>
                <w:p w14:paraId="587E978F">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0"/>
                      <w:sz w:val="21"/>
                      <w:szCs w:val="21"/>
                      <w:highlight w:val="none"/>
                    </w:rPr>
                  </w:pPr>
                </w:p>
              </w:tc>
              <w:tc>
                <w:tcPr>
                  <w:tcW w:w="1176" w:type="dxa"/>
                  <w:tcBorders>
                    <w:top w:val="single" w:color="auto" w:sz="8" w:space="0"/>
                    <w:left w:val="single" w:color="auto" w:sz="8" w:space="0"/>
                    <w:bottom w:val="single" w:color="auto" w:sz="8" w:space="0"/>
                    <w:right w:val="single" w:color="auto" w:sz="8" w:space="0"/>
                  </w:tcBorders>
                  <w:shd w:val="clear" w:color="auto" w:fill="auto"/>
                  <w:vAlign w:val="center"/>
                </w:tcPr>
                <w:p w14:paraId="26983E03">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乙醛</w:t>
                  </w:r>
                </w:p>
              </w:tc>
              <w:tc>
                <w:tcPr>
                  <w:tcW w:w="762" w:type="dxa"/>
                  <w:vMerge w:val="continue"/>
                  <w:tcBorders>
                    <w:left w:val="single" w:color="auto" w:sz="8" w:space="0"/>
                    <w:bottom w:val="single" w:color="auto" w:sz="8" w:space="0"/>
                    <w:right w:val="single" w:color="auto" w:sz="8" w:space="0"/>
                  </w:tcBorders>
                  <w:shd w:val="clear" w:color="auto" w:fill="auto"/>
                  <w:vAlign w:val="center"/>
                </w:tcPr>
                <w:p w14:paraId="2A2362A7">
                  <w:pPr>
                    <w:pStyle w:val="21"/>
                    <w:keepNext w:val="0"/>
                    <w:keepLines w:val="0"/>
                    <w:suppressLineNumbers w:val="0"/>
                    <w:bidi w:val="0"/>
                    <w:spacing w:before="0" w:beforeAutospacing="0" w:after="0" w:afterAutospacing="0"/>
                    <w:ind w:left="0" w:right="0"/>
                    <w:rPr>
                      <w:rFonts w:hint="default"/>
                      <w:color w:val="auto"/>
                      <w:highlight w:val="none"/>
                      <w:lang w:val="en-US" w:eastAsia="zh-CN"/>
                    </w:rPr>
                  </w:pPr>
                </w:p>
              </w:tc>
              <w:tc>
                <w:tcPr>
                  <w:tcW w:w="785" w:type="dxa"/>
                  <w:tcBorders>
                    <w:top w:val="single" w:color="auto" w:sz="8" w:space="0"/>
                    <w:left w:val="single" w:color="auto" w:sz="8" w:space="0"/>
                    <w:bottom w:val="single" w:color="auto" w:sz="8" w:space="0"/>
                    <w:right w:val="single" w:color="auto" w:sz="8" w:space="0"/>
                  </w:tcBorders>
                  <w:shd w:val="clear" w:color="auto" w:fill="auto"/>
                  <w:vAlign w:val="center"/>
                </w:tcPr>
                <w:p w14:paraId="7438CAF6">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0.374</w:t>
                  </w:r>
                </w:p>
              </w:tc>
              <w:tc>
                <w:tcPr>
                  <w:tcW w:w="773" w:type="dxa"/>
                  <w:tcBorders>
                    <w:top w:val="single" w:color="auto" w:sz="8" w:space="0"/>
                    <w:left w:val="single" w:color="auto" w:sz="8" w:space="0"/>
                    <w:bottom w:val="single" w:color="auto" w:sz="8" w:space="0"/>
                    <w:right w:val="single" w:color="auto" w:sz="8" w:space="0"/>
                  </w:tcBorders>
                  <w:shd w:val="clear" w:color="auto" w:fill="auto"/>
                  <w:vAlign w:val="center"/>
                </w:tcPr>
                <w:p w14:paraId="20AFC7CB">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0.009</w:t>
                  </w:r>
                </w:p>
              </w:tc>
              <w:tc>
                <w:tcPr>
                  <w:tcW w:w="738" w:type="dxa"/>
                  <w:tcBorders>
                    <w:top w:val="single" w:color="auto" w:sz="8" w:space="0"/>
                    <w:left w:val="single" w:color="auto" w:sz="8" w:space="0"/>
                    <w:bottom w:val="single" w:color="auto" w:sz="8" w:space="0"/>
                    <w:right w:val="single" w:color="auto" w:sz="8" w:space="0"/>
                  </w:tcBorders>
                  <w:shd w:val="clear" w:color="auto" w:fill="auto"/>
                  <w:vAlign w:val="center"/>
                </w:tcPr>
                <w:p w14:paraId="7E96479C">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0.062</w:t>
                  </w:r>
                </w:p>
              </w:tc>
              <w:tc>
                <w:tcPr>
                  <w:tcW w:w="1142" w:type="dxa"/>
                  <w:vMerge w:val="continue"/>
                  <w:tcBorders>
                    <w:left w:val="single" w:color="auto" w:sz="8" w:space="0"/>
                    <w:bottom w:val="single" w:color="auto" w:sz="8" w:space="0"/>
                    <w:right w:val="single" w:color="auto" w:sz="8" w:space="0"/>
                  </w:tcBorders>
                  <w:shd w:val="clear" w:color="auto" w:fill="auto"/>
                  <w:vAlign w:val="center"/>
                </w:tcPr>
                <w:p w14:paraId="055DF2BE">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681" w:type="dxa"/>
                  <w:vMerge w:val="continue"/>
                  <w:tcBorders>
                    <w:left w:val="single" w:color="auto" w:sz="8" w:space="0"/>
                    <w:bottom w:val="single" w:color="auto" w:sz="8" w:space="0"/>
                    <w:right w:val="single" w:color="auto" w:sz="8" w:space="0"/>
                  </w:tcBorders>
                  <w:shd w:val="clear" w:color="auto" w:fill="auto"/>
                  <w:vAlign w:val="center"/>
                </w:tcPr>
                <w:p w14:paraId="543C5BD7">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866" w:type="dxa"/>
                  <w:vMerge w:val="continue"/>
                  <w:tcBorders>
                    <w:left w:val="single" w:color="auto" w:sz="8" w:space="0"/>
                    <w:bottom w:val="single" w:color="auto" w:sz="8" w:space="0"/>
                    <w:right w:val="single" w:color="auto" w:sz="8" w:space="0"/>
                  </w:tcBorders>
                  <w:shd w:val="clear" w:color="auto" w:fill="auto"/>
                  <w:vAlign w:val="center"/>
                </w:tcPr>
                <w:p w14:paraId="1A8A5144">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889" w:type="dxa"/>
                  <w:vMerge w:val="continue"/>
                  <w:tcBorders>
                    <w:left w:val="single" w:color="auto" w:sz="8" w:space="0"/>
                    <w:bottom w:val="single" w:color="auto" w:sz="8" w:space="0"/>
                    <w:right w:val="single" w:color="auto" w:sz="8" w:space="0"/>
                  </w:tcBorders>
                  <w:shd w:val="clear" w:color="auto" w:fill="auto"/>
                  <w:vAlign w:val="center"/>
                </w:tcPr>
                <w:p w14:paraId="4740B71A">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667" w:type="dxa"/>
                  <w:vMerge w:val="continue"/>
                  <w:tcBorders>
                    <w:left w:val="single" w:color="auto" w:sz="8" w:space="0"/>
                    <w:bottom w:val="single" w:color="auto" w:sz="8" w:space="0"/>
                    <w:right w:val="single" w:color="auto" w:sz="8" w:space="0"/>
                  </w:tcBorders>
                  <w:shd w:val="clear" w:color="auto" w:fill="auto"/>
                  <w:vAlign w:val="center"/>
                </w:tcPr>
                <w:p w14:paraId="0A1842C2">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809" w:type="dxa"/>
                  <w:vMerge w:val="continue"/>
                  <w:tcBorders>
                    <w:left w:val="single" w:color="auto" w:sz="8" w:space="0"/>
                    <w:bottom w:val="single" w:color="auto" w:sz="8" w:space="0"/>
                    <w:right w:val="single" w:color="auto" w:sz="8" w:space="0"/>
                  </w:tcBorders>
                  <w:shd w:val="clear" w:color="auto" w:fill="auto"/>
                  <w:vAlign w:val="center"/>
                </w:tcPr>
                <w:p w14:paraId="207BB90E">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826" w:type="dxa"/>
                  <w:vMerge w:val="continue"/>
                  <w:tcBorders>
                    <w:left w:val="single" w:color="auto" w:sz="8" w:space="0"/>
                    <w:bottom w:val="single" w:color="auto" w:sz="8" w:space="0"/>
                    <w:right w:val="single" w:color="auto" w:sz="8" w:space="0"/>
                  </w:tcBorders>
                  <w:shd w:val="clear" w:color="auto" w:fill="auto"/>
                  <w:vAlign w:val="center"/>
                </w:tcPr>
                <w:p w14:paraId="7390E6E5">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742" w:type="dxa"/>
                  <w:vMerge w:val="continue"/>
                  <w:tcBorders>
                    <w:left w:val="single" w:color="auto" w:sz="8" w:space="0"/>
                    <w:bottom w:val="single" w:color="auto" w:sz="8" w:space="0"/>
                    <w:right w:val="single" w:color="auto" w:sz="8" w:space="0"/>
                  </w:tcBorders>
                  <w:shd w:val="clear" w:color="auto" w:fill="auto"/>
                  <w:vAlign w:val="center"/>
                </w:tcPr>
                <w:p w14:paraId="2EDA18FD">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708" w:type="dxa"/>
                  <w:vMerge w:val="continue"/>
                  <w:tcBorders>
                    <w:left w:val="single" w:color="auto" w:sz="8" w:space="0"/>
                    <w:bottom w:val="single" w:color="auto" w:sz="8" w:space="0"/>
                    <w:right w:val="nil"/>
                  </w:tcBorders>
                  <w:shd w:val="clear" w:color="auto" w:fill="auto"/>
                  <w:vAlign w:val="center"/>
                </w:tcPr>
                <w:p w14:paraId="4949C85F">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636" w:type="dxa"/>
                  <w:vMerge w:val="continue"/>
                  <w:tcBorders>
                    <w:left w:val="single" w:color="auto" w:sz="8" w:space="0"/>
                    <w:bottom w:val="single" w:color="auto" w:sz="8" w:space="0"/>
                    <w:right w:val="nil"/>
                  </w:tcBorders>
                  <w:shd w:val="clear" w:color="auto" w:fill="auto"/>
                  <w:vAlign w:val="center"/>
                </w:tcPr>
                <w:p w14:paraId="2B144135">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780" w:type="dxa"/>
                  <w:vMerge w:val="continue"/>
                  <w:tcBorders>
                    <w:left w:val="single" w:color="auto" w:sz="8" w:space="0"/>
                    <w:bottom w:val="single" w:color="auto" w:sz="8" w:space="0"/>
                    <w:right w:val="nil"/>
                  </w:tcBorders>
                  <w:shd w:val="clear" w:color="auto" w:fill="auto"/>
                  <w:vAlign w:val="center"/>
                </w:tcPr>
                <w:p w14:paraId="26851092">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cs="Times New Roman"/>
                      <w:b w:val="0"/>
                      <w:bCs w:val="0"/>
                      <w:color w:val="auto"/>
                      <w:kern w:val="0"/>
                      <w:sz w:val="21"/>
                      <w:szCs w:val="21"/>
                      <w:highlight w:val="none"/>
                      <w:lang w:val="en-US" w:eastAsia="zh-CN"/>
                    </w:rPr>
                  </w:pPr>
                </w:p>
              </w:tc>
            </w:tr>
            <w:tr w14:paraId="3660A83C">
              <w:tblPrEx>
                <w:tblBorders>
                  <w:top w:val="single" w:color="auto" w:sz="12" w:space="0"/>
                  <w:left w:val="none" w:color="auto" w:sz="6" w:space="0"/>
                  <w:bottom w:val="single" w:color="auto" w:sz="12" w:space="0"/>
                  <w:right w:val="none" w:color="auto" w:sz="6" w:space="0"/>
                  <w:insideH w:val="single" w:color="auto" w:sz="8" w:space="0"/>
                  <w:insideV w:val="single" w:color="auto" w:sz="8" w:space="0"/>
                </w:tblBorders>
                <w:shd w:val="clear" w:color="auto" w:fill="auto"/>
                <w:tblCellMar>
                  <w:top w:w="0" w:type="dxa"/>
                  <w:left w:w="0" w:type="dxa"/>
                  <w:bottom w:w="0" w:type="dxa"/>
                  <w:right w:w="0" w:type="dxa"/>
                </w:tblCellMar>
              </w:tblPrEx>
              <w:trPr>
                <w:trHeight w:val="340" w:hRule="atLeast"/>
                <w:jc w:val="center"/>
              </w:trPr>
              <w:tc>
                <w:tcPr>
                  <w:tcW w:w="567" w:type="dxa"/>
                  <w:tcBorders>
                    <w:left w:val="nil"/>
                    <w:right w:val="single" w:color="auto" w:sz="8" w:space="0"/>
                  </w:tcBorders>
                  <w:shd w:val="clear" w:color="auto" w:fill="auto"/>
                  <w:vAlign w:val="center"/>
                </w:tcPr>
                <w:p w14:paraId="66891FE5">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食堂</w:t>
                  </w:r>
                </w:p>
              </w:tc>
              <w:tc>
                <w:tcPr>
                  <w:tcW w:w="1176" w:type="dxa"/>
                  <w:tcBorders>
                    <w:top w:val="single" w:color="auto" w:sz="8" w:space="0"/>
                    <w:left w:val="single" w:color="auto" w:sz="8" w:space="0"/>
                    <w:bottom w:val="single" w:color="auto" w:sz="8" w:space="0"/>
                    <w:right w:val="single" w:color="auto" w:sz="8" w:space="0"/>
                  </w:tcBorders>
                  <w:shd w:val="clear" w:color="auto" w:fill="auto"/>
                  <w:vAlign w:val="center"/>
                </w:tcPr>
                <w:p w14:paraId="3B5384CE">
                  <w:pPr>
                    <w:pStyle w:val="21"/>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食堂油烟</w:t>
                  </w:r>
                </w:p>
              </w:tc>
              <w:tc>
                <w:tcPr>
                  <w:tcW w:w="762" w:type="dxa"/>
                  <w:tcBorders>
                    <w:top w:val="single" w:color="auto" w:sz="8" w:space="0"/>
                    <w:left w:val="single" w:color="auto" w:sz="8" w:space="0"/>
                    <w:bottom w:val="single" w:color="auto" w:sz="8" w:space="0"/>
                    <w:right w:val="single" w:color="auto" w:sz="8" w:space="0"/>
                  </w:tcBorders>
                  <w:shd w:val="clear" w:color="auto" w:fill="auto"/>
                  <w:vAlign w:val="center"/>
                </w:tcPr>
                <w:p w14:paraId="02D92B5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8000</w:t>
                  </w:r>
                </w:p>
              </w:tc>
              <w:tc>
                <w:tcPr>
                  <w:tcW w:w="785" w:type="dxa"/>
                  <w:tcBorders>
                    <w:top w:val="single" w:color="auto" w:sz="8" w:space="0"/>
                    <w:left w:val="single" w:color="auto" w:sz="8" w:space="0"/>
                    <w:bottom w:val="single" w:color="auto" w:sz="8" w:space="0"/>
                    <w:right w:val="single" w:color="auto" w:sz="8" w:space="0"/>
                  </w:tcBorders>
                  <w:shd w:val="clear" w:color="auto" w:fill="auto"/>
                  <w:vAlign w:val="center"/>
                </w:tcPr>
                <w:p w14:paraId="640BD63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0.49</w:t>
                  </w:r>
                </w:p>
              </w:tc>
              <w:tc>
                <w:tcPr>
                  <w:tcW w:w="773" w:type="dxa"/>
                  <w:tcBorders>
                    <w:top w:val="single" w:color="auto" w:sz="8" w:space="0"/>
                    <w:left w:val="single" w:color="auto" w:sz="8" w:space="0"/>
                    <w:bottom w:val="single" w:color="auto" w:sz="8" w:space="0"/>
                    <w:right w:val="single" w:color="auto" w:sz="8" w:space="0"/>
                  </w:tcBorders>
                  <w:shd w:val="clear" w:color="auto" w:fill="auto"/>
                  <w:vAlign w:val="center"/>
                </w:tcPr>
                <w:p w14:paraId="4A7CEEC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0.004</w:t>
                  </w:r>
                </w:p>
              </w:tc>
              <w:tc>
                <w:tcPr>
                  <w:tcW w:w="738" w:type="dxa"/>
                  <w:tcBorders>
                    <w:top w:val="single" w:color="auto" w:sz="8" w:space="0"/>
                    <w:left w:val="single" w:color="auto" w:sz="8" w:space="0"/>
                    <w:bottom w:val="single" w:color="auto" w:sz="8" w:space="0"/>
                    <w:right w:val="single" w:color="auto" w:sz="8" w:space="0"/>
                  </w:tcBorders>
                  <w:shd w:val="clear" w:color="auto" w:fill="auto"/>
                  <w:vAlign w:val="center"/>
                </w:tcPr>
                <w:p w14:paraId="0246FA1B">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0.007</w:t>
                  </w:r>
                </w:p>
              </w:tc>
              <w:tc>
                <w:tcPr>
                  <w:tcW w:w="1142" w:type="dxa"/>
                  <w:tcBorders>
                    <w:top w:val="single" w:color="auto" w:sz="8" w:space="0"/>
                    <w:left w:val="single" w:color="auto" w:sz="8" w:space="0"/>
                    <w:bottom w:val="single" w:color="auto" w:sz="8" w:space="0"/>
                    <w:right w:val="single" w:color="auto" w:sz="8" w:space="0"/>
                  </w:tcBorders>
                  <w:shd w:val="clear" w:color="auto" w:fill="auto"/>
                  <w:vAlign w:val="center"/>
                </w:tcPr>
                <w:p w14:paraId="011C3E4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油烟净化器</w:t>
                  </w:r>
                </w:p>
              </w:tc>
              <w:tc>
                <w:tcPr>
                  <w:tcW w:w="681" w:type="dxa"/>
                  <w:tcBorders>
                    <w:top w:val="single" w:color="auto" w:sz="8" w:space="0"/>
                    <w:left w:val="single" w:color="auto" w:sz="8" w:space="0"/>
                    <w:bottom w:val="single" w:color="auto" w:sz="8" w:space="0"/>
                    <w:right w:val="single" w:color="auto" w:sz="8" w:space="0"/>
                  </w:tcBorders>
                  <w:shd w:val="clear" w:color="auto" w:fill="auto"/>
                  <w:vAlign w:val="center"/>
                </w:tcPr>
                <w:p w14:paraId="62E5610B">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75</w:t>
                  </w:r>
                </w:p>
              </w:tc>
              <w:tc>
                <w:tcPr>
                  <w:tcW w:w="866" w:type="dxa"/>
                  <w:tcBorders>
                    <w:top w:val="single" w:color="auto" w:sz="8" w:space="0"/>
                    <w:left w:val="single" w:color="auto" w:sz="8" w:space="0"/>
                    <w:bottom w:val="single" w:color="auto" w:sz="8" w:space="0"/>
                    <w:right w:val="single" w:color="auto" w:sz="8" w:space="0"/>
                  </w:tcBorders>
                  <w:shd w:val="clear" w:color="auto" w:fill="auto"/>
                  <w:vAlign w:val="center"/>
                </w:tcPr>
                <w:p w14:paraId="4DD099A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是</w:t>
                  </w:r>
                </w:p>
              </w:tc>
              <w:tc>
                <w:tcPr>
                  <w:tcW w:w="889" w:type="dxa"/>
                  <w:tcBorders>
                    <w:top w:val="single" w:color="auto" w:sz="8" w:space="0"/>
                    <w:left w:val="single" w:color="auto" w:sz="8" w:space="0"/>
                    <w:bottom w:val="single" w:color="auto" w:sz="8" w:space="0"/>
                    <w:right w:val="single" w:color="auto" w:sz="8" w:space="0"/>
                  </w:tcBorders>
                  <w:shd w:val="clear" w:color="auto" w:fill="auto"/>
                  <w:vAlign w:val="center"/>
                </w:tcPr>
                <w:p w14:paraId="015DFEFF">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食堂油烟</w:t>
                  </w:r>
                </w:p>
              </w:tc>
              <w:tc>
                <w:tcPr>
                  <w:tcW w:w="667" w:type="dxa"/>
                  <w:tcBorders>
                    <w:top w:val="single" w:color="auto" w:sz="8" w:space="0"/>
                    <w:left w:val="single" w:color="auto" w:sz="8" w:space="0"/>
                    <w:bottom w:val="single" w:color="auto" w:sz="8" w:space="0"/>
                    <w:right w:val="single" w:color="auto" w:sz="8" w:space="0"/>
                  </w:tcBorders>
                  <w:shd w:val="clear" w:color="auto" w:fill="auto"/>
                  <w:vAlign w:val="center"/>
                </w:tcPr>
                <w:p w14:paraId="5010507A">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8000</w:t>
                  </w:r>
                </w:p>
              </w:tc>
              <w:tc>
                <w:tcPr>
                  <w:tcW w:w="809" w:type="dxa"/>
                  <w:tcBorders>
                    <w:top w:val="single" w:color="auto" w:sz="8" w:space="0"/>
                    <w:left w:val="single" w:color="auto" w:sz="8" w:space="0"/>
                    <w:bottom w:val="single" w:color="auto" w:sz="8" w:space="0"/>
                    <w:right w:val="single" w:color="auto" w:sz="8" w:space="0"/>
                  </w:tcBorders>
                  <w:shd w:val="clear" w:color="auto" w:fill="auto"/>
                  <w:vAlign w:val="center"/>
                </w:tcPr>
                <w:p w14:paraId="2B8149EC">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0.12</w:t>
                  </w:r>
                </w:p>
              </w:tc>
              <w:tc>
                <w:tcPr>
                  <w:tcW w:w="826" w:type="dxa"/>
                  <w:tcBorders>
                    <w:top w:val="single" w:color="auto" w:sz="8" w:space="0"/>
                    <w:left w:val="single" w:color="auto" w:sz="8" w:space="0"/>
                    <w:bottom w:val="single" w:color="auto" w:sz="8" w:space="0"/>
                    <w:right w:val="single" w:color="auto" w:sz="8" w:space="0"/>
                  </w:tcBorders>
                  <w:shd w:val="clear" w:color="auto" w:fill="auto"/>
                  <w:vAlign w:val="center"/>
                </w:tcPr>
                <w:p w14:paraId="134A55D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0.001</w:t>
                  </w:r>
                </w:p>
              </w:tc>
              <w:tc>
                <w:tcPr>
                  <w:tcW w:w="742" w:type="dxa"/>
                  <w:tcBorders>
                    <w:top w:val="single" w:color="auto" w:sz="8" w:space="0"/>
                    <w:left w:val="single" w:color="auto" w:sz="8" w:space="0"/>
                    <w:bottom w:val="single" w:color="auto" w:sz="8" w:space="0"/>
                    <w:right w:val="single" w:color="auto" w:sz="8" w:space="0"/>
                  </w:tcBorders>
                  <w:shd w:val="clear" w:color="auto" w:fill="auto"/>
                  <w:vAlign w:val="center"/>
                </w:tcPr>
                <w:p w14:paraId="60D5A3DA">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0.002</w:t>
                  </w:r>
                </w:p>
              </w:tc>
              <w:tc>
                <w:tcPr>
                  <w:tcW w:w="708" w:type="dxa"/>
                  <w:tcBorders>
                    <w:top w:val="single" w:color="auto" w:sz="8" w:space="0"/>
                    <w:left w:val="single" w:color="auto" w:sz="8" w:space="0"/>
                    <w:bottom w:val="single" w:color="auto" w:sz="8" w:space="0"/>
                    <w:right w:val="nil"/>
                  </w:tcBorders>
                  <w:shd w:val="clear" w:color="auto" w:fill="auto"/>
                  <w:vAlign w:val="center"/>
                </w:tcPr>
                <w:p w14:paraId="0AE7353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w:t>
                  </w:r>
                </w:p>
              </w:tc>
              <w:tc>
                <w:tcPr>
                  <w:tcW w:w="636" w:type="dxa"/>
                  <w:tcBorders>
                    <w:top w:val="single" w:color="auto" w:sz="8" w:space="0"/>
                    <w:left w:val="single" w:color="auto" w:sz="8" w:space="0"/>
                    <w:bottom w:val="single" w:color="auto" w:sz="8" w:space="0"/>
                    <w:right w:val="nil"/>
                  </w:tcBorders>
                  <w:shd w:val="clear" w:color="auto" w:fill="auto"/>
                  <w:vAlign w:val="center"/>
                </w:tcPr>
                <w:p w14:paraId="3D932577">
                  <w:pPr>
                    <w:pStyle w:val="21"/>
                    <w:keepNext w:val="0"/>
                    <w:keepLines w:val="0"/>
                    <w:suppressLineNumbers w:val="0"/>
                    <w:bidi w:val="0"/>
                    <w:spacing w:before="0" w:beforeAutospacing="0" w:after="0" w:afterAutospacing="0"/>
                    <w:ind w:left="0" w:right="0" w:firstLine="0" w:firstLineChars="0"/>
                    <w:rPr>
                      <w:rFonts w:hint="default"/>
                      <w:color w:val="auto"/>
                      <w:highlight w:val="none"/>
                      <w:lang w:val="en-US" w:eastAsia="zh-CN"/>
                    </w:rPr>
                  </w:pPr>
                  <w:r>
                    <w:rPr>
                      <w:rFonts w:hint="eastAsia"/>
                      <w:color w:val="auto"/>
                      <w:highlight w:val="none"/>
                      <w:lang w:val="en-US" w:eastAsia="zh-CN"/>
                    </w:rPr>
                    <w:t>/</w:t>
                  </w:r>
                </w:p>
              </w:tc>
              <w:tc>
                <w:tcPr>
                  <w:tcW w:w="780" w:type="dxa"/>
                  <w:tcBorders>
                    <w:top w:val="single" w:color="auto" w:sz="8" w:space="0"/>
                    <w:left w:val="single" w:color="auto" w:sz="8" w:space="0"/>
                    <w:bottom w:val="single" w:color="auto" w:sz="8" w:space="0"/>
                    <w:right w:val="nil"/>
                  </w:tcBorders>
                  <w:shd w:val="clear" w:color="auto" w:fill="auto"/>
                  <w:vAlign w:val="center"/>
                </w:tcPr>
                <w:p w14:paraId="5B47F481">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油烟排气筒</w:t>
                  </w:r>
                </w:p>
              </w:tc>
            </w:tr>
          </w:tbl>
          <w:p w14:paraId="30F22D1C">
            <w:pPr>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本项目建成后，南京哇哈哈饮料有限公司食堂油烟排放情况见下表</w:t>
            </w:r>
          </w:p>
          <w:p w14:paraId="10200591">
            <w:pPr>
              <w:pStyle w:val="23"/>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lang w:val="en-US" w:eastAsia="zh-CN"/>
              </w:rPr>
              <w:t>表4-3  本项目建成后南京哇哈哈饮料有限公司食堂油烟排放情况表</w:t>
            </w:r>
          </w:p>
          <w:tbl>
            <w:tblPr>
              <w:tblStyle w:val="16"/>
              <w:tblW w:w="5000" w:type="pct"/>
              <w:jc w:val="center"/>
              <w:tblBorders>
                <w:top w:val="single" w:color="auto" w:sz="12" w:space="0"/>
                <w:left w:val="none" w:color="auto" w:sz="6" w:space="0"/>
                <w:bottom w:val="single" w:color="auto" w:sz="12" w:space="0"/>
                <w:right w:val="none" w:color="auto" w:sz="6" w:space="0"/>
                <w:insideH w:val="single" w:color="auto" w:sz="8" w:space="0"/>
                <w:insideV w:val="single" w:color="auto" w:sz="8" w:space="0"/>
              </w:tblBorders>
              <w:shd w:val="clear" w:color="auto" w:fill="auto"/>
              <w:tblLayout w:type="fixed"/>
              <w:tblCellMar>
                <w:top w:w="0" w:type="dxa"/>
                <w:left w:w="0" w:type="dxa"/>
                <w:bottom w:w="0" w:type="dxa"/>
                <w:right w:w="0" w:type="dxa"/>
              </w:tblCellMar>
            </w:tblPr>
            <w:tblGrid>
              <w:gridCol w:w="1093"/>
              <w:gridCol w:w="1717"/>
              <w:gridCol w:w="1210"/>
              <w:gridCol w:w="1756"/>
              <w:gridCol w:w="1687"/>
              <w:gridCol w:w="1500"/>
              <w:gridCol w:w="1517"/>
              <w:gridCol w:w="1619"/>
              <w:gridCol w:w="1448"/>
            </w:tblGrid>
            <w:tr w14:paraId="6C18C645">
              <w:tblPrEx>
                <w:tblBorders>
                  <w:top w:val="single" w:color="auto" w:sz="12" w:space="0"/>
                  <w:left w:val="none" w:color="auto" w:sz="6" w:space="0"/>
                  <w:bottom w:val="single" w:color="auto" w:sz="12" w:space="0"/>
                  <w:right w:val="none" w:color="auto" w:sz="6" w:space="0"/>
                  <w:insideH w:val="single" w:color="auto" w:sz="8" w:space="0"/>
                  <w:insideV w:val="single" w:color="auto" w:sz="8" w:space="0"/>
                </w:tblBorders>
                <w:tblCellMar>
                  <w:top w:w="0" w:type="dxa"/>
                  <w:left w:w="0" w:type="dxa"/>
                  <w:bottom w:w="0" w:type="dxa"/>
                  <w:right w:w="0" w:type="dxa"/>
                </w:tblCellMar>
              </w:tblPrEx>
              <w:trPr>
                <w:trHeight w:val="340" w:hRule="atLeast"/>
                <w:jc w:val="center"/>
              </w:trPr>
              <w:tc>
                <w:tcPr>
                  <w:tcW w:w="1093" w:type="dxa"/>
                  <w:vMerge w:val="restart"/>
                  <w:tcBorders>
                    <w:top w:val="single" w:color="auto" w:sz="12" w:space="0"/>
                    <w:left w:val="nil"/>
                    <w:bottom w:val="single" w:color="auto" w:sz="8" w:space="0"/>
                    <w:right w:val="single" w:color="auto" w:sz="8" w:space="0"/>
                  </w:tcBorders>
                  <w:shd w:val="clear" w:color="auto" w:fill="auto"/>
                  <w:vAlign w:val="center"/>
                </w:tcPr>
                <w:p w14:paraId="3380D7B7">
                  <w:pPr>
                    <w:pStyle w:val="21"/>
                    <w:keepNext w:val="0"/>
                    <w:keepLines w:val="0"/>
                    <w:suppressLineNumbers w:val="0"/>
                    <w:bidi w:val="0"/>
                    <w:spacing w:before="0" w:beforeAutospacing="0" w:after="0" w:afterAutospacing="0"/>
                    <w:ind w:left="0" w:right="0"/>
                    <w:rPr>
                      <w:rFonts w:hint="default"/>
                      <w:b/>
                      <w:bCs/>
                      <w:color w:val="auto"/>
                    </w:rPr>
                  </w:pPr>
                  <w:r>
                    <w:rPr>
                      <w:rFonts w:hint="eastAsia"/>
                      <w:b/>
                      <w:bCs/>
                      <w:color w:val="auto"/>
                      <w:lang w:val="en-US" w:eastAsia="zh-CN"/>
                    </w:rPr>
                    <w:t>产污工序</w:t>
                  </w:r>
                </w:p>
              </w:tc>
              <w:tc>
                <w:tcPr>
                  <w:tcW w:w="1717" w:type="dxa"/>
                  <w:vMerge w:val="restart"/>
                  <w:tcBorders>
                    <w:top w:val="single" w:color="auto" w:sz="12" w:space="0"/>
                    <w:left w:val="nil"/>
                    <w:bottom w:val="single" w:color="auto" w:sz="8" w:space="0"/>
                    <w:right w:val="single" w:color="auto" w:sz="8" w:space="0"/>
                  </w:tcBorders>
                  <w:shd w:val="clear" w:color="auto" w:fill="auto"/>
                  <w:vAlign w:val="center"/>
                </w:tcPr>
                <w:p w14:paraId="72C47CA5">
                  <w:pPr>
                    <w:pStyle w:val="21"/>
                    <w:keepNext w:val="0"/>
                    <w:keepLines w:val="0"/>
                    <w:suppressLineNumbers w:val="0"/>
                    <w:bidi w:val="0"/>
                    <w:spacing w:before="0" w:beforeAutospacing="0" w:after="0" w:afterAutospacing="0"/>
                    <w:ind w:left="0" w:right="0"/>
                    <w:rPr>
                      <w:rFonts w:hint="default"/>
                      <w:b/>
                      <w:bCs/>
                      <w:color w:val="auto"/>
                    </w:rPr>
                  </w:pPr>
                  <w:r>
                    <w:rPr>
                      <w:rFonts w:hint="eastAsia"/>
                      <w:b/>
                      <w:bCs/>
                      <w:color w:val="auto"/>
                      <w:lang w:val="en-US" w:eastAsia="zh-CN"/>
                    </w:rPr>
                    <w:t>排放源</w:t>
                  </w:r>
                </w:p>
              </w:tc>
              <w:tc>
                <w:tcPr>
                  <w:tcW w:w="1210" w:type="dxa"/>
                  <w:vMerge w:val="restart"/>
                  <w:tcBorders>
                    <w:top w:val="single" w:color="auto" w:sz="12" w:space="0"/>
                    <w:left w:val="nil"/>
                    <w:bottom w:val="single" w:color="auto" w:sz="8" w:space="0"/>
                    <w:right w:val="single" w:color="auto" w:sz="8" w:space="0"/>
                  </w:tcBorders>
                  <w:shd w:val="clear" w:color="auto" w:fill="auto"/>
                  <w:vAlign w:val="center"/>
                </w:tcPr>
                <w:p w14:paraId="2639BC86">
                  <w:pPr>
                    <w:pStyle w:val="21"/>
                    <w:keepNext w:val="0"/>
                    <w:keepLines w:val="0"/>
                    <w:suppressLineNumbers w:val="0"/>
                    <w:bidi w:val="0"/>
                    <w:spacing w:before="0" w:beforeAutospacing="0" w:after="0" w:afterAutospacing="0"/>
                    <w:ind w:left="0" w:right="0"/>
                    <w:rPr>
                      <w:rFonts w:hint="default"/>
                      <w:b/>
                      <w:bCs/>
                      <w:color w:val="auto"/>
                    </w:rPr>
                  </w:pPr>
                  <w:r>
                    <w:rPr>
                      <w:rFonts w:hint="eastAsia"/>
                      <w:b/>
                      <w:bCs/>
                      <w:color w:val="auto"/>
                      <w:lang w:val="en-US" w:eastAsia="zh-CN"/>
                    </w:rPr>
                    <w:t>污染物</w:t>
                  </w:r>
                </w:p>
              </w:tc>
              <w:tc>
                <w:tcPr>
                  <w:tcW w:w="6460" w:type="dxa"/>
                  <w:gridSpan w:val="4"/>
                  <w:tcBorders>
                    <w:top w:val="single" w:color="auto" w:sz="12" w:space="0"/>
                    <w:left w:val="nil"/>
                    <w:bottom w:val="single" w:color="auto" w:sz="8" w:space="0"/>
                    <w:right w:val="single" w:color="auto" w:sz="8" w:space="0"/>
                  </w:tcBorders>
                  <w:shd w:val="clear" w:color="auto" w:fill="auto"/>
                  <w:vAlign w:val="center"/>
                </w:tcPr>
                <w:p w14:paraId="59F47A01">
                  <w:pPr>
                    <w:pStyle w:val="21"/>
                    <w:keepNext w:val="0"/>
                    <w:keepLines w:val="0"/>
                    <w:suppressLineNumbers w:val="0"/>
                    <w:bidi w:val="0"/>
                    <w:spacing w:before="0" w:beforeAutospacing="0" w:after="0" w:afterAutospacing="0"/>
                    <w:ind w:left="0" w:right="0"/>
                    <w:rPr>
                      <w:rFonts w:hint="default"/>
                      <w:b/>
                      <w:bCs/>
                      <w:color w:val="auto"/>
                    </w:rPr>
                  </w:pPr>
                  <w:r>
                    <w:rPr>
                      <w:rFonts w:hint="eastAsia"/>
                      <w:b/>
                      <w:bCs/>
                      <w:color w:val="auto"/>
                      <w:lang w:val="en-US" w:eastAsia="zh-CN"/>
                    </w:rPr>
                    <w:t>污染物排放情况</w:t>
                  </w:r>
                </w:p>
              </w:tc>
              <w:tc>
                <w:tcPr>
                  <w:tcW w:w="3067" w:type="dxa"/>
                  <w:gridSpan w:val="2"/>
                  <w:tcBorders>
                    <w:top w:val="single" w:color="auto" w:sz="12" w:space="0"/>
                    <w:left w:val="nil"/>
                    <w:bottom w:val="single" w:color="auto" w:sz="8" w:space="0"/>
                    <w:right w:val="nil"/>
                  </w:tcBorders>
                  <w:shd w:val="clear" w:color="auto" w:fill="auto"/>
                  <w:vAlign w:val="center"/>
                </w:tcPr>
                <w:p w14:paraId="757EB302">
                  <w:pPr>
                    <w:pStyle w:val="21"/>
                    <w:keepNext w:val="0"/>
                    <w:keepLines w:val="0"/>
                    <w:suppressLineNumbers w:val="0"/>
                    <w:bidi w:val="0"/>
                    <w:spacing w:before="0" w:beforeAutospacing="0" w:after="0" w:afterAutospacing="0"/>
                    <w:ind w:left="0" w:right="0"/>
                    <w:rPr>
                      <w:rFonts w:hint="default"/>
                      <w:b/>
                      <w:bCs/>
                      <w:color w:val="auto"/>
                    </w:rPr>
                  </w:pPr>
                  <w:r>
                    <w:rPr>
                      <w:rFonts w:hint="eastAsia"/>
                      <w:b/>
                      <w:bCs/>
                      <w:color w:val="auto"/>
                      <w:lang w:val="en-US" w:eastAsia="zh-CN"/>
                    </w:rPr>
                    <w:t>标准限值</w:t>
                  </w:r>
                </w:p>
              </w:tc>
            </w:tr>
            <w:tr w14:paraId="11FF03CB">
              <w:tblPrEx>
                <w:tblBorders>
                  <w:top w:val="single" w:color="auto" w:sz="12" w:space="0"/>
                  <w:left w:val="none" w:color="auto" w:sz="6" w:space="0"/>
                  <w:bottom w:val="single" w:color="auto" w:sz="12" w:space="0"/>
                  <w:right w:val="none" w:color="auto" w:sz="6" w:space="0"/>
                  <w:insideH w:val="single" w:color="auto" w:sz="8" w:space="0"/>
                  <w:insideV w:val="single" w:color="auto" w:sz="8" w:space="0"/>
                </w:tblBorders>
                <w:tblCellMar>
                  <w:top w:w="0" w:type="dxa"/>
                  <w:left w:w="0" w:type="dxa"/>
                  <w:bottom w:w="0" w:type="dxa"/>
                  <w:right w:w="0" w:type="dxa"/>
                </w:tblCellMar>
              </w:tblPrEx>
              <w:trPr>
                <w:trHeight w:val="340" w:hRule="atLeast"/>
                <w:jc w:val="center"/>
              </w:trPr>
              <w:tc>
                <w:tcPr>
                  <w:tcW w:w="1093" w:type="dxa"/>
                  <w:vMerge w:val="continue"/>
                  <w:tcBorders>
                    <w:top w:val="single" w:color="auto" w:sz="12" w:space="0"/>
                    <w:left w:val="nil"/>
                    <w:bottom w:val="single" w:color="auto" w:sz="8" w:space="0"/>
                    <w:right w:val="single" w:color="auto" w:sz="8" w:space="0"/>
                  </w:tcBorders>
                  <w:shd w:val="clear" w:color="auto" w:fill="auto"/>
                  <w:vAlign w:val="center"/>
                </w:tcPr>
                <w:p w14:paraId="48C5D78C">
                  <w:pPr>
                    <w:pStyle w:val="21"/>
                    <w:keepNext w:val="0"/>
                    <w:keepLines w:val="0"/>
                    <w:suppressLineNumbers w:val="0"/>
                    <w:bidi w:val="0"/>
                    <w:spacing w:before="0" w:beforeAutospacing="0" w:after="0" w:afterAutospacing="0"/>
                    <w:ind w:left="0" w:right="0"/>
                    <w:rPr>
                      <w:rFonts w:hint="default"/>
                      <w:color w:val="auto"/>
                    </w:rPr>
                  </w:pPr>
                </w:p>
              </w:tc>
              <w:tc>
                <w:tcPr>
                  <w:tcW w:w="1717" w:type="dxa"/>
                  <w:vMerge w:val="continue"/>
                  <w:tcBorders>
                    <w:top w:val="single" w:color="auto" w:sz="12" w:space="0"/>
                    <w:left w:val="nil"/>
                    <w:bottom w:val="single" w:color="auto" w:sz="8" w:space="0"/>
                    <w:right w:val="single" w:color="auto" w:sz="8" w:space="0"/>
                  </w:tcBorders>
                  <w:shd w:val="clear" w:color="auto" w:fill="auto"/>
                  <w:vAlign w:val="center"/>
                </w:tcPr>
                <w:p w14:paraId="325D7DE3">
                  <w:pPr>
                    <w:pStyle w:val="21"/>
                    <w:keepNext w:val="0"/>
                    <w:keepLines w:val="0"/>
                    <w:suppressLineNumbers w:val="0"/>
                    <w:bidi w:val="0"/>
                    <w:spacing w:before="0" w:beforeAutospacing="0" w:after="0" w:afterAutospacing="0"/>
                    <w:ind w:left="0" w:right="0"/>
                    <w:rPr>
                      <w:rFonts w:hint="default"/>
                      <w:color w:val="auto"/>
                    </w:rPr>
                  </w:pPr>
                </w:p>
              </w:tc>
              <w:tc>
                <w:tcPr>
                  <w:tcW w:w="1210" w:type="dxa"/>
                  <w:vMerge w:val="continue"/>
                  <w:tcBorders>
                    <w:top w:val="single" w:color="auto" w:sz="12" w:space="0"/>
                    <w:left w:val="nil"/>
                    <w:bottom w:val="single" w:color="auto" w:sz="8" w:space="0"/>
                    <w:right w:val="single" w:color="auto" w:sz="8" w:space="0"/>
                  </w:tcBorders>
                  <w:shd w:val="clear" w:color="auto" w:fill="auto"/>
                  <w:vAlign w:val="center"/>
                </w:tcPr>
                <w:p w14:paraId="2D4DC637">
                  <w:pPr>
                    <w:pStyle w:val="21"/>
                    <w:keepNext w:val="0"/>
                    <w:keepLines w:val="0"/>
                    <w:suppressLineNumbers w:val="0"/>
                    <w:bidi w:val="0"/>
                    <w:spacing w:before="0" w:beforeAutospacing="0" w:after="0" w:afterAutospacing="0"/>
                    <w:ind w:left="0" w:right="0"/>
                    <w:rPr>
                      <w:rFonts w:hint="default"/>
                      <w:color w:val="auto"/>
                    </w:rPr>
                  </w:pPr>
                </w:p>
              </w:tc>
              <w:tc>
                <w:tcPr>
                  <w:tcW w:w="1756" w:type="dxa"/>
                  <w:tcBorders>
                    <w:top w:val="single" w:color="auto" w:sz="8" w:space="0"/>
                    <w:left w:val="nil"/>
                    <w:bottom w:val="single" w:color="auto" w:sz="8" w:space="0"/>
                    <w:right w:val="single" w:color="auto" w:sz="8" w:space="0"/>
                  </w:tcBorders>
                  <w:shd w:val="clear" w:color="auto" w:fill="auto"/>
                  <w:vAlign w:val="center"/>
                </w:tcPr>
                <w:p w14:paraId="06CC0B7C">
                  <w:pPr>
                    <w:pStyle w:val="21"/>
                    <w:keepNext w:val="0"/>
                    <w:keepLines w:val="0"/>
                    <w:suppressLineNumbers w:val="0"/>
                    <w:bidi w:val="0"/>
                    <w:spacing w:before="0" w:beforeAutospacing="0" w:after="0" w:afterAutospacing="0"/>
                    <w:ind w:left="0" w:right="0"/>
                    <w:rPr>
                      <w:rFonts w:hint="eastAsia"/>
                      <w:b/>
                      <w:bCs/>
                      <w:color w:val="auto"/>
                    </w:rPr>
                  </w:pPr>
                  <w:r>
                    <w:rPr>
                      <w:rFonts w:hint="eastAsia"/>
                      <w:b/>
                      <w:bCs/>
                      <w:color w:val="auto"/>
                      <w:lang w:val="en-US" w:eastAsia="zh-CN"/>
                    </w:rPr>
                    <w:t>风量（</w:t>
                  </w:r>
                  <w:r>
                    <w:rPr>
                      <w:rFonts w:hint="default"/>
                      <w:b/>
                      <w:bCs/>
                      <w:color w:val="auto"/>
                      <w:lang w:val="en-US" w:eastAsia="zh-CN"/>
                    </w:rPr>
                    <w:t>m</w:t>
                  </w:r>
                  <w:r>
                    <w:rPr>
                      <w:rFonts w:hint="default"/>
                      <w:b/>
                      <w:bCs/>
                      <w:color w:val="auto"/>
                      <w:vertAlign w:val="superscript"/>
                      <w:lang w:val="en-US" w:eastAsia="zh-CN"/>
                    </w:rPr>
                    <w:t>3</w:t>
                  </w:r>
                  <w:r>
                    <w:rPr>
                      <w:rFonts w:hint="default"/>
                      <w:b/>
                      <w:bCs/>
                      <w:color w:val="auto"/>
                      <w:lang w:val="en-US" w:eastAsia="zh-CN"/>
                    </w:rPr>
                    <w:t>/h</w:t>
                  </w:r>
                  <w:r>
                    <w:rPr>
                      <w:rFonts w:hint="eastAsia"/>
                      <w:b/>
                      <w:bCs/>
                      <w:color w:val="auto"/>
                      <w:lang w:val="en-US" w:eastAsia="zh-CN"/>
                    </w:rPr>
                    <w:t>）</w:t>
                  </w:r>
                </w:p>
              </w:tc>
              <w:tc>
                <w:tcPr>
                  <w:tcW w:w="1687" w:type="dxa"/>
                  <w:tcBorders>
                    <w:top w:val="single" w:color="auto" w:sz="8" w:space="0"/>
                    <w:left w:val="nil"/>
                    <w:bottom w:val="single" w:color="auto" w:sz="8" w:space="0"/>
                    <w:right w:val="single" w:color="auto" w:sz="8" w:space="0"/>
                  </w:tcBorders>
                  <w:shd w:val="clear" w:color="auto" w:fill="auto"/>
                  <w:vAlign w:val="center"/>
                </w:tcPr>
                <w:p w14:paraId="2460463D">
                  <w:pPr>
                    <w:pStyle w:val="21"/>
                    <w:keepNext w:val="0"/>
                    <w:keepLines w:val="0"/>
                    <w:suppressLineNumbers w:val="0"/>
                    <w:bidi w:val="0"/>
                    <w:spacing w:before="0" w:beforeAutospacing="0" w:after="0" w:afterAutospacing="0"/>
                    <w:ind w:left="0" w:right="0"/>
                    <w:rPr>
                      <w:rFonts w:hint="eastAsia" w:eastAsia="宋体"/>
                      <w:b/>
                      <w:bCs/>
                      <w:color w:val="auto"/>
                      <w:lang w:eastAsia="zh-CN"/>
                    </w:rPr>
                  </w:pPr>
                  <w:r>
                    <w:rPr>
                      <w:rFonts w:hint="eastAsia"/>
                      <w:b/>
                      <w:bCs/>
                      <w:color w:val="auto"/>
                      <w:lang w:val="en-US" w:eastAsia="zh-CN"/>
                    </w:rPr>
                    <w:t>浓度</w:t>
                  </w:r>
                  <w:r>
                    <w:rPr>
                      <w:rFonts w:hint="eastAsia"/>
                      <w:b/>
                      <w:bCs/>
                      <w:color w:val="auto"/>
                      <w:lang w:eastAsia="zh-CN"/>
                    </w:rPr>
                    <w:t>（</w:t>
                  </w:r>
                  <w:r>
                    <w:rPr>
                      <w:rFonts w:hint="default"/>
                      <w:b/>
                      <w:bCs/>
                      <w:color w:val="auto"/>
                      <w:lang w:val="en-US" w:eastAsia="zh-CN"/>
                    </w:rPr>
                    <w:t>mg/m</w:t>
                  </w:r>
                  <w:r>
                    <w:rPr>
                      <w:rFonts w:hint="default"/>
                      <w:b/>
                      <w:bCs/>
                      <w:color w:val="auto"/>
                      <w:vertAlign w:val="superscript"/>
                      <w:lang w:val="en-US" w:eastAsia="zh-CN"/>
                    </w:rPr>
                    <w:t>3</w:t>
                  </w:r>
                  <w:r>
                    <w:rPr>
                      <w:rFonts w:hint="eastAsia"/>
                      <w:b/>
                      <w:bCs/>
                      <w:color w:val="auto"/>
                      <w:lang w:eastAsia="zh-CN"/>
                    </w:rPr>
                    <w:t>）</w:t>
                  </w:r>
                </w:p>
              </w:tc>
              <w:tc>
                <w:tcPr>
                  <w:tcW w:w="1500" w:type="dxa"/>
                  <w:tcBorders>
                    <w:top w:val="single" w:color="auto" w:sz="8" w:space="0"/>
                    <w:left w:val="nil"/>
                    <w:bottom w:val="single" w:color="auto" w:sz="8" w:space="0"/>
                    <w:right w:val="single" w:color="auto" w:sz="8" w:space="0"/>
                  </w:tcBorders>
                  <w:shd w:val="clear" w:color="auto" w:fill="auto"/>
                  <w:vAlign w:val="center"/>
                </w:tcPr>
                <w:p w14:paraId="3BCE954C">
                  <w:pPr>
                    <w:pStyle w:val="21"/>
                    <w:keepNext w:val="0"/>
                    <w:keepLines w:val="0"/>
                    <w:suppressLineNumbers w:val="0"/>
                    <w:bidi w:val="0"/>
                    <w:spacing w:before="0" w:beforeAutospacing="0" w:after="0" w:afterAutospacing="0"/>
                    <w:ind w:left="0" w:right="0"/>
                    <w:rPr>
                      <w:rFonts w:hint="default"/>
                      <w:b/>
                      <w:bCs/>
                      <w:color w:val="auto"/>
                    </w:rPr>
                  </w:pPr>
                  <w:r>
                    <w:rPr>
                      <w:rFonts w:hint="eastAsia"/>
                      <w:b/>
                      <w:bCs/>
                      <w:color w:val="auto"/>
                      <w:lang w:val="en-US" w:eastAsia="zh-CN"/>
                    </w:rPr>
                    <w:t>速率（</w:t>
                  </w:r>
                  <w:r>
                    <w:rPr>
                      <w:rFonts w:hint="default"/>
                      <w:b/>
                      <w:bCs/>
                      <w:color w:val="auto"/>
                      <w:lang w:val="en-US" w:eastAsia="zh-CN"/>
                    </w:rPr>
                    <w:t>kg/h</w:t>
                  </w:r>
                  <w:r>
                    <w:rPr>
                      <w:rFonts w:hint="eastAsia"/>
                      <w:b/>
                      <w:bCs/>
                      <w:color w:val="auto"/>
                      <w:lang w:val="en-US" w:eastAsia="zh-CN"/>
                    </w:rPr>
                    <w:t>）</w:t>
                  </w:r>
                </w:p>
              </w:tc>
              <w:tc>
                <w:tcPr>
                  <w:tcW w:w="1517" w:type="dxa"/>
                  <w:tcBorders>
                    <w:top w:val="single" w:color="auto" w:sz="8" w:space="0"/>
                    <w:left w:val="nil"/>
                    <w:bottom w:val="single" w:color="auto" w:sz="8" w:space="0"/>
                    <w:right w:val="single" w:color="auto" w:sz="8" w:space="0"/>
                  </w:tcBorders>
                  <w:shd w:val="clear" w:color="auto" w:fill="auto"/>
                  <w:vAlign w:val="center"/>
                </w:tcPr>
                <w:p w14:paraId="78FC23EB">
                  <w:pPr>
                    <w:pStyle w:val="21"/>
                    <w:keepNext w:val="0"/>
                    <w:keepLines w:val="0"/>
                    <w:suppressLineNumbers w:val="0"/>
                    <w:bidi w:val="0"/>
                    <w:spacing w:before="0" w:beforeAutospacing="0" w:after="0" w:afterAutospacing="0"/>
                    <w:ind w:left="0" w:right="0"/>
                    <w:rPr>
                      <w:rFonts w:hint="default"/>
                      <w:b/>
                      <w:bCs/>
                      <w:color w:val="auto"/>
                    </w:rPr>
                  </w:pPr>
                  <w:r>
                    <w:rPr>
                      <w:rFonts w:hint="eastAsia"/>
                      <w:b/>
                      <w:bCs/>
                      <w:color w:val="auto"/>
                      <w:lang w:val="en-US" w:eastAsia="zh-CN"/>
                    </w:rPr>
                    <w:t>排放量（</w:t>
                  </w:r>
                  <w:r>
                    <w:rPr>
                      <w:rFonts w:hint="default"/>
                      <w:b/>
                      <w:bCs/>
                      <w:color w:val="auto"/>
                      <w:lang w:val="en-US" w:eastAsia="zh-CN"/>
                    </w:rPr>
                    <w:t>t/a</w:t>
                  </w:r>
                  <w:r>
                    <w:rPr>
                      <w:rFonts w:hint="eastAsia"/>
                      <w:b/>
                      <w:bCs/>
                      <w:color w:val="auto"/>
                      <w:lang w:val="en-US" w:eastAsia="zh-CN"/>
                    </w:rPr>
                    <w:t>）</w:t>
                  </w:r>
                </w:p>
              </w:tc>
              <w:tc>
                <w:tcPr>
                  <w:tcW w:w="1619" w:type="dxa"/>
                  <w:tcBorders>
                    <w:top w:val="single" w:color="auto" w:sz="12" w:space="0"/>
                    <w:left w:val="nil"/>
                    <w:bottom w:val="single" w:color="auto" w:sz="8" w:space="0"/>
                    <w:right w:val="nil"/>
                  </w:tcBorders>
                  <w:shd w:val="clear" w:color="auto" w:fill="auto"/>
                  <w:vAlign w:val="center"/>
                </w:tcPr>
                <w:p w14:paraId="20D2DEAE">
                  <w:pPr>
                    <w:pStyle w:val="21"/>
                    <w:keepNext w:val="0"/>
                    <w:keepLines w:val="0"/>
                    <w:suppressLineNumbers w:val="0"/>
                    <w:bidi w:val="0"/>
                    <w:spacing w:before="0" w:beforeAutospacing="0" w:after="0" w:afterAutospacing="0"/>
                    <w:ind w:left="0" w:right="0"/>
                    <w:rPr>
                      <w:rFonts w:hint="eastAsia" w:eastAsia="宋体"/>
                      <w:b/>
                      <w:bCs/>
                      <w:color w:val="auto"/>
                      <w:lang w:eastAsia="zh-CN"/>
                    </w:rPr>
                  </w:pPr>
                  <w:r>
                    <w:rPr>
                      <w:rFonts w:hint="eastAsia"/>
                      <w:b/>
                      <w:bCs/>
                      <w:color w:val="auto"/>
                      <w:lang w:val="en-US" w:eastAsia="zh-CN"/>
                    </w:rPr>
                    <w:t>浓度</w:t>
                  </w:r>
                  <w:r>
                    <w:rPr>
                      <w:rFonts w:hint="eastAsia"/>
                      <w:b/>
                      <w:bCs/>
                      <w:color w:val="auto"/>
                      <w:lang w:eastAsia="zh-CN"/>
                    </w:rPr>
                    <w:t>（</w:t>
                  </w:r>
                  <w:r>
                    <w:rPr>
                      <w:rFonts w:hint="default"/>
                      <w:b/>
                      <w:bCs/>
                      <w:color w:val="auto"/>
                      <w:lang w:val="en-US" w:eastAsia="zh-CN"/>
                    </w:rPr>
                    <w:t>mg/m</w:t>
                  </w:r>
                  <w:r>
                    <w:rPr>
                      <w:rFonts w:hint="default"/>
                      <w:b/>
                      <w:bCs/>
                      <w:color w:val="auto"/>
                      <w:vertAlign w:val="superscript"/>
                      <w:lang w:val="en-US" w:eastAsia="zh-CN"/>
                    </w:rPr>
                    <w:t>3</w:t>
                  </w:r>
                  <w:r>
                    <w:rPr>
                      <w:rFonts w:hint="eastAsia"/>
                      <w:b/>
                      <w:bCs/>
                      <w:color w:val="auto"/>
                      <w:lang w:eastAsia="zh-CN"/>
                    </w:rPr>
                    <w:t>）</w:t>
                  </w:r>
                </w:p>
              </w:tc>
              <w:tc>
                <w:tcPr>
                  <w:tcW w:w="1448" w:type="dxa"/>
                  <w:tcBorders>
                    <w:top w:val="single" w:color="auto" w:sz="12" w:space="0"/>
                    <w:left w:val="single" w:color="auto" w:sz="8" w:space="0"/>
                    <w:bottom w:val="single" w:color="auto" w:sz="8" w:space="0"/>
                    <w:right w:val="nil"/>
                  </w:tcBorders>
                  <w:shd w:val="clear" w:color="auto" w:fill="auto"/>
                  <w:vAlign w:val="center"/>
                </w:tcPr>
                <w:p w14:paraId="08A1ECBF">
                  <w:pPr>
                    <w:pStyle w:val="21"/>
                    <w:keepNext w:val="0"/>
                    <w:keepLines w:val="0"/>
                    <w:suppressLineNumbers w:val="0"/>
                    <w:bidi w:val="0"/>
                    <w:spacing w:before="0" w:beforeAutospacing="0" w:after="0" w:afterAutospacing="0"/>
                    <w:ind w:left="0" w:right="0"/>
                    <w:rPr>
                      <w:rFonts w:hint="default"/>
                      <w:b/>
                      <w:bCs/>
                      <w:color w:val="auto"/>
                    </w:rPr>
                  </w:pPr>
                  <w:r>
                    <w:rPr>
                      <w:rFonts w:hint="eastAsia"/>
                      <w:b/>
                      <w:bCs/>
                      <w:color w:val="auto"/>
                      <w:lang w:val="en-US" w:eastAsia="zh-CN"/>
                    </w:rPr>
                    <w:t>速率（</w:t>
                  </w:r>
                  <w:r>
                    <w:rPr>
                      <w:rFonts w:hint="default"/>
                      <w:b/>
                      <w:bCs/>
                      <w:color w:val="auto"/>
                      <w:lang w:val="en-US" w:eastAsia="zh-CN"/>
                    </w:rPr>
                    <w:t>kg/h</w:t>
                  </w:r>
                  <w:r>
                    <w:rPr>
                      <w:rFonts w:hint="eastAsia"/>
                      <w:b/>
                      <w:bCs/>
                      <w:color w:val="auto"/>
                      <w:lang w:val="en-US" w:eastAsia="zh-CN"/>
                    </w:rPr>
                    <w:t>）</w:t>
                  </w:r>
                </w:p>
              </w:tc>
            </w:tr>
            <w:tr w14:paraId="05EE4753">
              <w:tblPrEx>
                <w:tblBorders>
                  <w:top w:val="single" w:color="auto" w:sz="12" w:space="0"/>
                  <w:left w:val="none" w:color="auto" w:sz="6" w:space="0"/>
                  <w:bottom w:val="single" w:color="auto" w:sz="12" w:space="0"/>
                  <w:right w:val="none" w:color="auto" w:sz="6" w:space="0"/>
                  <w:insideH w:val="single" w:color="auto" w:sz="8" w:space="0"/>
                  <w:insideV w:val="single" w:color="auto" w:sz="8" w:space="0"/>
                </w:tblBorders>
                <w:tblCellMar>
                  <w:top w:w="0" w:type="dxa"/>
                  <w:left w:w="0" w:type="dxa"/>
                  <w:bottom w:w="0" w:type="dxa"/>
                  <w:right w:w="0" w:type="dxa"/>
                </w:tblCellMar>
              </w:tblPrEx>
              <w:trPr>
                <w:trHeight w:val="340" w:hRule="atLeast"/>
                <w:jc w:val="center"/>
              </w:trPr>
              <w:tc>
                <w:tcPr>
                  <w:tcW w:w="1093" w:type="dxa"/>
                  <w:tcBorders>
                    <w:top w:val="single" w:color="auto" w:sz="8" w:space="0"/>
                    <w:left w:val="nil"/>
                    <w:bottom w:val="single" w:color="auto" w:sz="12" w:space="0"/>
                    <w:right w:val="single" w:color="auto" w:sz="8" w:space="0"/>
                  </w:tcBorders>
                  <w:shd w:val="clear" w:color="auto" w:fill="auto"/>
                  <w:vAlign w:val="center"/>
                </w:tcPr>
                <w:p w14:paraId="1B8C01C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食堂做餐</w:t>
                  </w:r>
                </w:p>
              </w:tc>
              <w:tc>
                <w:tcPr>
                  <w:tcW w:w="1717" w:type="dxa"/>
                  <w:tcBorders>
                    <w:top w:val="single" w:color="auto" w:sz="8" w:space="0"/>
                    <w:left w:val="nil"/>
                    <w:bottom w:val="single" w:color="auto" w:sz="8" w:space="0"/>
                    <w:right w:val="single" w:color="auto" w:sz="8" w:space="0"/>
                  </w:tcBorders>
                  <w:shd w:val="clear" w:color="auto" w:fill="auto"/>
                  <w:vAlign w:val="center"/>
                </w:tcPr>
                <w:p w14:paraId="2A75292B">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油烟排气筒</w:t>
                  </w:r>
                </w:p>
              </w:tc>
              <w:tc>
                <w:tcPr>
                  <w:tcW w:w="1210" w:type="dxa"/>
                  <w:tcBorders>
                    <w:top w:val="single" w:color="auto" w:sz="8" w:space="0"/>
                    <w:left w:val="nil"/>
                    <w:bottom w:val="single" w:color="auto" w:sz="8" w:space="0"/>
                    <w:right w:val="single" w:color="auto" w:sz="8" w:space="0"/>
                  </w:tcBorders>
                  <w:shd w:val="clear" w:color="auto" w:fill="auto"/>
                  <w:vAlign w:val="center"/>
                </w:tcPr>
                <w:p w14:paraId="44588887">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食堂油烟</w:t>
                  </w:r>
                </w:p>
              </w:tc>
              <w:tc>
                <w:tcPr>
                  <w:tcW w:w="1756" w:type="dxa"/>
                  <w:tcBorders>
                    <w:top w:val="single" w:color="auto" w:sz="8" w:space="0"/>
                    <w:left w:val="nil"/>
                    <w:bottom w:val="single" w:color="auto" w:sz="8" w:space="0"/>
                    <w:right w:val="single" w:color="auto" w:sz="8" w:space="0"/>
                  </w:tcBorders>
                  <w:shd w:val="clear" w:color="auto" w:fill="auto"/>
                  <w:vAlign w:val="center"/>
                </w:tcPr>
                <w:p w14:paraId="2A987228">
                  <w:pPr>
                    <w:pStyle w:val="21"/>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8000</w:t>
                  </w:r>
                </w:p>
              </w:tc>
              <w:tc>
                <w:tcPr>
                  <w:tcW w:w="1687" w:type="dxa"/>
                  <w:tcBorders>
                    <w:top w:val="single" w:color="auto" w:sz="8" w:space="0"/>
                    <w:left w:val="nil"/>
                    <w:bottom w:val="single" w:color="auto" w:sz="8" w:space="0"/>
                    <w:right w:val="single" w:color="auto" w:sz="8" w:space="0"/>
                  </w:tcBorders>
                  <w:shd w:val="clear" w:color="auto" w:fill="auto"/>
                  <w:vAlign w:val="center"/>
                </w:tcPr>
                <w:p w14:paraId="1E0779AF">
                  <w:pPr>
                    <w:pStyle w:val="21"/>
                    <w:keepNext w:val="0"/>
                    <w:keepLines w:val="0"/>
                    <w:suppressLineNumbers w:val="0"/>
                    <w:bidi w:val="0"/>
                    <w:spacing w:before="0" w:beforeAutospacing="0" w:after="0" w:afterAutospacing="0"/>
                    <w:ind w:left="0" w:right="0"/>
                    <w:rPr>
                      <w:rFonts w:hint="default" w:eastAsia="宋体"/>
                      <w:color w:val="auto"/>
                      <w:lang w:val="en-US" w:eastAsia="zh-CN"/>
                    </w:rPr>
                  </w:pPr>
                  <w:r>
                    <w:rPr>
                      <w:rFonts w:hint="eastAsia"/>
                      <w:color w:val="auto"/>
                      <w:lang w:val="en-US" w:eastAsia="zh-CN"/>
                    </w:rPr>
                    <w:t>1.12</w:t>
                  </w:r>
                </w:p>
              </w:tc>
              <w:tc>
                <w:tcPr>
                  <w:tcW w:w="1500" w:type="dxa"/>
                  <w:tcBorders>
                    <w:top w:val="single" w:color="auto" w:sz="8" w:space="0"/>
                    <w:left w:val="nil"/>
                    <w:bottom w:val="single" w:color="auto" w:sz="8" w:space="0"/>
                    <w:right w:val="single" w:color="auto" w:sz="8" w:space="0"/>
                  </w:tcBorders>
                  <w:shd w:val="clear" w:color="auto" w:fill="auto"/>
                  <w:vAlign w:val="center"/>
                </w:tcPr>
                <w:p w14:paraId="52A13F83">
                  <w:pPr>
                    <w:pStyle w:val="21"/>
                    <w:keepNext w:val="0"/>
                    <w:keepLines w:val="0"/>
                    <w:suppressLineNumbers w:val="0"/>
                    <w:bidi w:val="0"/>
                    <w:spacing w:before="0" w:beforeAutospacing="0" w:after="0" w:afterAutospacing="0"/>
                    <w:ind w:left="0" w:right="0"/>
                    <w:rPr>
                      <w:rFonts w:hint="default" w:eastAsia="宋体"/>
                      <w:color w:val="auto"/>
                      <w:lang w:val="en-US" w:eastAsia="zh-CN"/>
                    </w:rPr>
                  </w:pPr>
                  <w:r>
                    <w:rPr>
                      <w:rFonts w:hint="eastAsia"/>
                      <w:color w:val="auto"/>
                      <w:lang w:val="en-US" w:eastAsia="zh-CN"/>
                    </w:rPr>
                    <w:t>0.009</w:t>
                  </w:r>
                </w:p>
              </w:tc>
              <w:tc>
                <w:tcPr>
                  <w:tcW w:w="1517" w:type="dxa"/>
                  <w:tcBorders>
                    <w:top w:val="single" w:color="auto" w:sz="8" w:space="0"/>
                    <w:left w:val="nil"/>
                    <w:bottom w:val="single" w:color="auto" w:sz="8" w:space="0"/>
                    <w:right w:val="single" w:color="auto" w:sz="8" w:space="0"/>
                  </w:tcBorders>
                  <w:shd w:val="clear" w:color="auto" w:fill="auto"/>
                  <w:vAlign w:val="center"/>
                </w:tcPr>
                <w:p w14:paraId="42B07537">
                  <w:pPr>
                    <w:pStyle w:val="21"/>
                    <w:keepNext w:val="0"/>
                    <w:keepLines w:val="0"/>
                    <w:suppressLineNumbers w:val="0"/>
                    <w:bidi w:val="0"/>
                    <w:spacing w:before="0" w:beforeAutospacing="0" w:after="0" w:afterAutospacing="0"/>
                    <w:ind w:left="0" w:right="0"/>
                    <w:rPr>
                      <w:rFonts w:hint="default" w:eastAsia="宋体"/>
                      <w:color w:val="auto"/>
                      <w:lang w:val="en-US" w:eastAsia="zh-CN"/>
                    </w:rPr>
                  </w:pPr>
                  <w:r>
                    <w:rPr>
                      <w:rFonts w:hint="eastAsia"/>
                      <w:color w:val="auto"/>
                      <w:lang w:val="en-US" w:eastAsia="zh-CN"/>
                    </w:rPr>
                    <w:t>0.011</w:t>
                  </w:r>
                </w:p>
              </w:tc>
              <w:tc>
                <w:tcPr>
                  <w:tcW w:w="1619" w:type="dxa"/>
                  <w:tcBorders>
                    <w:top w:val="single" w:color="auto" w:sz="8" w:space="0"/>
                    <w:left w:val="nil"/>
                    <w:bottom w:val="single" w:color="auto" w:sz="8" w:space="0"/>
                    <w:right w:val="nil"/>
                  </w:tcBorders>
                  <w:shd w:val="clear" w:color="auto" w:fill="auto"/>
                  <w:vAlign w:val="center"/>
                </w:tcPr>
                <w:p w14:paraId="65959849">
                  <w:pPr>
                    <w:pStyle w:val="21"/>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2</w:t>
                  </w:r>
                </w:p>
              </w:tc>
              <w:tc>
                <w:tcPr>
                  <w:tcW w:w="1448" w:type="dxa"/>
                  <w:tcBorders>
                    <w:top w:val="single" w:color="auto" w:sz="8" w:space="0"/>
                    <w:left w:val="single" w:color="auto" w:sz="8" w:space="0"/>
                    <w:bottom w:val="single" w:color="auto" w:sz="8" w:space="0"/>
                    <w:right w:val="nil"/>
                  </w:tcBorders>
                  <w:shd w:val="clear" w:color="auto" w:fill="auto"/>
                  <w:vAlign w:val="center"/>
                </w:tcPr>
                <w:p w14:paraId="42A2B28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r>
          </w:tbl>
          <w:p w14:paraId="28A7DD2B">
            <w:pPr>
              <w:pStyle w:val="23"/>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lang w:val="en-US" w:eastAsia="zh-CN"/>
              </w:rPr>
            </w:pPr>
          </w:p>
          <w:p w14:paraId="4353EBCE">
            <w:pPr>
              <w:pStyle w:val="23"/>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lang w:val="en-US" w:eastAsia="zh-CN"/>
              </w:rPr>
            </w:pPr>
          </w:p>
          <w:p w14:paraId="17DEBA67">
            <w:pPr>
              <w:pStyle w:val="23"/>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lang w:val="en-US" w:eastAsia="zh-CN"/>
              </w:rPr>
            </w:pPr>
          </w:p>
          <w:p w14:paraId="4D134799">
            <w:pPr>
              <w:pStyle w:val="23"/>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lang w:val="en-US" w:eastAsia="zh-CN"/>
              </w:rPr>
            </w:pPr>
          </w:p>
          <w:p w14:paraId="4AEB89C9">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eastAsia="zh-CN"/>
              </w:rPr>
            </w:pPr>
          </w:p>
        </w:tc>
      </w:tr>
    </w:tbl>
    <w:p w14:paraId="63FCCE55">
      <w:pPr>
        <w:rPr>
          <w:rFonts w:hint="eastAsia" w:ascii="Times New Roman" w:hAnsi="Times New Roman" w:eastAsia="宋体"/>
          <w:color w:val="auto"/>
          <w:sz w:val="30"/>
          <w:szCs w:val="30"/>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p>
    <w:p w14:paraId="103C5EBA">
      <w:pPr>
        <w:rPr>
          <w:rFonts w:hint="eastAsia" w:ascii="Times New Roman" w:hAnsi="Times New Roman" w:eastAsia="宋体"/>
          <w:color w:val="auto"/>
          <w:sz w:val="20"/>
          <w:szCs w:val="20"/>
          <w:highlight w:val="none"/>
        </w:rPr>
      </w:pPr>
    </w:p>
    <w:tbl>
      <w:tblPr>
        <w:tblStyle w:val="1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312"/>
        <w:gridCol w:w="8020"/>
      </w:tblGrid>
      <w:tr w14:paraId="5D3E83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312" w:type="dxa"/>
            <w:tcMar>
              <w:top w:w="16" w:type="dxa"/>
              <w:left w:w="16" w:type="dxa"/>
              <w:right w:w="16" w:type="dxa"/>
            </w:tcMar>
            <w:vAlign w:val="center"/>
          </w:tcPr>
          <w:p w14:paraId="7C216F32">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运营期环境影响和保护措施</w:t>
            </w:r>
          </w:p>
        </w:tc>
        <w:tc>
          <w:tcPr>
            <w:tcW w:w="8020" w:type="dxa"/>
            <w:vAlign w:val="center"/>
          </w:tcPr>
          <w:p w14:paraId="7BF14A6D">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eastAsia="zh-CN"/>
              </w:rPr>
              <w:t>根据上表可知，本项目建成后，排气筒DA00</w:t>
            </w:r>
            <w:r>
              <w:rPr>
                <w:rFonts w:hint="eastAsia"/>
                <w:color w:val="auto"/>
                <w:highlight w:val="none"/>
                <w:lang w:val="en-US" w:eastAsia="zh-CN"/>
              </w:rPr>
              <w:t>1</w:t>
            </w:r>
            <w:r>
              <w:rPr>
                <w:rFonts w:hint="eastAsia" w:ascii="Times New Roman" w:hAnsi="Times New Roman" w:eastAsia="宋体"/>
                <w:color w:val="auto"/>
                <w:highlight w:val="none"/>
                <w:lang w:val="en-US" w:eastAsia="zh-CN"/>
              </w:rPr>
              <w:t>中</w:t>
            </w:r>
            <w:r>
              <w:rPr>
                <w:rFonts w:hint="eastAsia"/>
                <w:color w:val="auto"/>
                <w:highlight w:val="none"/>
                <w:lang w:val="en-US" w:eastAsia="zh-CN"/>
              </w:rPr>
              <w:t>非甲烷总烃、乙醛</w:t>
            </w:r>
            <w:r>
              <w:rPr>
                <w:rFonts w:hint="eastAsia" w:ascii="Times New Roman" w:hAnsi="Times New Roman" w:eastAsia="宋体"/>
                <w:color w:val="auto"/>
                <w:highlight w:val="none"/>
                <w:lang w:val="en-US" w:eastAsia="zh-CN"/>
              </w:rPr>
              <w:t>排放浓度均</w:t>
            </w:r>
            <w:r>
              <w:rPr>
                <w:rFonts w:hint="eastAsia"/>
                <w:color w:val="auto"/>
                <w:highlight w:val="none"/>
                <w:lang w:val="en-US" w:eastAsia="zh-CN"/>
              </w:rPr>
              <w:t>满足</w:t>
            </w:r>
            <w:r>
              <w:rPr>
                <w:rFonts w:hint="default"/>
                <w:color w:val="auto"/>
                <w:highlight w:val="none"/>
              </w:rPr>
              <w:t>《</w:t>
            </w:r>
            <w:r>
              <w:rPr>
                <w:rFonts w:hint="eastAsia"/>
                <w:color w:val="auto"/>
                <w:highlight w:val="none"/>
                <w:lang w:val="en-US" w:eastAsia="zh-CN"/>
              </w:rPr>
              <w:t>合成树脂工业</w:t>
            </w:r>
            <w:r>
              <w:rPr>
                <w:rFonts w:hint="default"/>
                <w:color w:val="auto"/>
                <w:highlight w:val="none"/>
              </w:rPr>
              <w:t>污染物排放标准》（</w:t>
            </w:r>
            <w:r>
              <w:rPr>
                <w:rFonts w:hint="eastAsia"/>
                <w:color w:val="auto"/>
                <w:highlight w:val="none"/>
                <w:lang w:val="en-US" w:eastAsia="zh-CN"/>
              </w:rPr>
              <w:t>GB31572-2015</w:t>
            </w:r>
            <w:r>
              <w:rPr>
                <w:rFonts w:hint="default"/>
                <w:color w:val="auto"/>
                <w:highlight w:val="none"/>
              </w:rPr>
              <w:t>）</w:t>
            </w:r>
            <w:r>
              <w:rPr>
                <w:rFonts w:hint="eastAsia"/>
                <w:color w:val="auto"/>
                <w:highlight w:val="none"/>
                <w:lang w:val="en-US" w:eastAsia="zh-CN"/>
              </w:rPr>
              <w:t>表5特别排放限值，</w:t>
            </w:r>
            <w:r>
              <w:rPr>
                <w:rFonts w:hint="eastAsia" w:ascii="Times New Roman" w:hAnsi="Times New Roman" w:eastAsia="宋体"/>
                <w:color w:val="auto"/>
                <w:highlight w:val="none"/>
                <w:lang w:val="en-US" w:eastAsia="zh-CN"/>
              </w:rPr>
              <w:t>本项目有组织废气污染物可达标排放。</w:t>
            </w:r>
            <w:r>
              <w:rPr>
                <w:rFonts w:hint="eastAsia"/>
                <w:color w:val="auto"/>
                <w:highlight w:val="none"/>
                <w:lang w:val="en-US" w:eastAsia="zh-CN"/>
              </w:rPr>
              <w:t>依托厂区</w:t>
            </w:r>
            <w:r>
              <w:rPr>
                <w:rFonts w:hint="default" w:ascii="Times New Roman" w:hAnsi="Times New Roman" w:eastAsia="宋体"/>
                <w:color w:val="auto"/>
                <w:highlight w:val="none"/>
                <w:lang w:val="en-US" w:eastAsia="zh-CN"/>
              </w:rPr>
              <w:t>食堂油烟排放</w:t>
            </w:r>
            <w:r>
              <w:rPr>
                <w:rFonts w:hint="eastAsia"/>
                <w:color w:val="auto"/>
                <w:highlight w:val="none"/>
                <w:lang w:val="en-US" w:eastAsia="zh-CN"/>
              </w:rPr>
              <w:t>浓度</w:t>
            </w:r>
            <w:r>
              <w:rPr>
                <w:rFonts w:hint="default" w:ascii="Times New Roman" w:hAnsi="Times New Roman" w:eastAsia="宋体"/>
                <w:color w:val="auto"/>
                <w:highlight w:val="none"/>
                <w:lang w:val="en-US" w:eastAsia="zh-CN"/>
              </w:rPr>
              <w:t>满足《饮食业油烟排放标准（试行）》（GB18483-2001）要求</w:t>
            </w:r>
            <w:r>
              <w:rPr>
                <w:rFonts w:hint="eastAsia"/>
                <w:color w:val="auto"/>
                <w:highlight w:val="none"/>
                <w:lang w:val="en-US" w:eastAsia="zh-CN"/>
              </w:rPr>
              <w:t>。</w:t>
            </w:r>
          </w:p>
          <w:p w14:paraId="2CD68796">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eastAsia="zh-CN"/>
              </w:rPr>
            </w:pPr>
            <w:r>
              <w:rPr>
                <w:rFonts w:hint="default" w:ascii="Times New Roman" w:hAnsi="Times New Roman" w:eastAsia="宋体"/>
                <w:color w:val="auto"/>
                <w:highlight w:val="none"/>
                <w:lang w:val="en-US"/>
              </w:rPr>
              <w:t>本项目</w:t>
            </w:r>
            <w:r>
              <w:rPr>
                <w:rFonts w:hint="eastAsia"/>
                <w:color w:val="auto"/>
                <w:highlight w:val="none"/>
                <w:lang w:val="en-US" w:eastAsia="zh-CN"/>
              </w:rPr>
              <w:t>注塑、压盖、吹制成瓶、打码工序均在新增的西侧厂房内，</w:t>
            </w:r>
            <w:r>
              <w:rPr>
                <w:rFonts w:hint="eastAsia" w:ascii="Times New Roman" w:hAnsi="Times New Roman" w:eastAsia="宋体"/>
                <w:color w:val="auto"/>
                <w:highlight w:val="none"/>
                <w:lang w:val="en-US" w:eastAsia="zh-CN"/>
              </w:rPr>
              <w:t>以</w:t>
            </w:r>
            <w:r>
              <w:rPr>
                <w:rFonts w:hint="eastAsia"/>
                <w:color w:val="auto"/>
                <w:highlight w:val="none"/>
                <w:lang w:val="en-US" w:eastAsia="zh-CN"/>
              </w:rPr>
              <w:t>新增的西侧厂房</w:t>
            </w:r>
            <w:r>
              <w:rPr>
                <w:rFonts w:hint="eastAsia" w:ascii="Times New Roman" w:hAnsi="Times New Roman" w:eastAsia="宋体"/>
                <w:color w:val="auto"/>
                <w:highlight w:val="none"/>
                <w:lang w:val="en-US" w:eastAsia="zh-CN"/>
              </w:rPr>
              <w:t>作为</w:t>
            </w:r>
            <w:r>
              <w:rPr>
                <w:rFonts w:hint="eastAsia"/>
                <w:color w:val="auto"/>
                <w:highlight w:val="none"/>
                <w:lang w:val="en-US" w:eastAsia="zh-CN"/>
              </w:rPr>
              <w:t>无组织</w:t>
            </w:r>
            <w:r>
              <w:rPr>
                <w:rFonts w:hint="eastAsia" w:ascii="Times New Roman" w:hAnsi="Times New Roman" w:eastAsia="宋体"/>
                <w:color w:val="auto"/>
                <w:highlight w:val="none"/>
                <w:lang w:val="en-US" w:eastAsia="zh-CN"/>
              </w:rPr>
              <w:t>排放源，</w:t>
            </w:r>
            <w:r>
              <w:rPr>
                <w:rFonts w:hint="eastAsia"/>
                <w:color w:val="auto"/>
                <w:highlight w:val="none"/>
                <w:lang w:val="en-US" w:eastAsia="zh-CN"/>
              </w:rPr>
              <w:t>恶臭污染产生点在依托的</w:t>
            </w:r>
            <w:r>
              <w:rPr>
                <w:rFonts w:hint="eastAsia"/>
                <w:color w:val="auto"/>
                <w:lang w:val="en-US" w:eastAsia="zh-CN"/>
              </w:rPr>
              <w:t>南京娃哈哈饮料有限公司现有污水处理站，以污水处理站所在范围作为无组织排放源</w:t>
            </w:r>
            <w:r>
              <w:rPr>
                <w:rFonts w:hint="eastAsia"/>
                <w:color w:val="auto"/>
                <w:highlight w:val="none"/>
                <w:lang w:val="en-US" w:eastAsia="zh-CN"/>
              </w:rPr>
              <w:t>，本项目</w:t>
            </w:r>
            <w:r>
              <w:rPr>
                <w:rFonts w:hint="default" w:ascii="Times New Roman" w:hAnsi="Times New Roman" w:eastAsia="宋体"/>
                <w:color w:val="auto"/>
                <w:highlight w:val="none"/>
                <w:lang w:val="en-US"/>
              </w:rPr>
              <w:t>大气污染物无组织排放情况详见下表</w:t>
            </w:r>
            <w:r>
              <w:rPr>
                <w:rFonts w:hint="eastAsia" w:ascii="Times New Roman" w:hAnsi="Times New Roman" w:eastAsia="宋体"/>
                <w:color w:val="auto"/>
                <w:highlight w:val="none"/>
                <w:lang w:val="en-US" w:eastAsia="zh-CN"/>
              </w:rPr>
              <w:t>：</w:t>
            </w:r>
          </w:p>
          <w:p w14:paraId="5A946049">
            <w:pPr>
              <w:pStyle w:val="23"/>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lang w:val="en-US" w:eastAsia="zh-CN"/>
              </w:rPr>
            </w:pPr>
            <w:r>
              <w:rPr>
                <w:rFonts w:hint="default" w:ascii="Times New Roman" w:hAnsi="Times New Roman" w:eastAsia="宋体"/>
                <w:color w:val="auto"/>
                <w:highlight w:val="none"/>
                <w:lang w:val="en-US" w:eastAsia="zh-CN"/>
              </w:rPr>
              <w:t>表4-</w:t>
            </w:r>
            <w:r>
              <w:rPr>
                <w:rFonts w:hint="eastAsia"/>
                <w:color w:val="auto"/>
                <w:highlight w:val="none"/>
                <w:lang w:val="en-US" w:eastAsia="zh-CN"/>
              </w:rPr>
              <w:t>3</w:t>
            </w:r>
            <w:r>
              <w:rPr>
                <w:rFonts w:hint="default" w:ascii="Times New Roman" w:hAnsi="Times New Roman" w:eastAsia="宋体"/>
                <w:color w:val="auto"/>
                <w:highlight w:val="none"/>
                <w:lang w:val="en-US" w:eastAsia="zh-CN"/>
              </w:rPr>
              <w:t>本项目大气污染物无组织产排情况表</w:t>
            </w:r>
          </w:p>
          <w:tbl>
            <w:tblPr>
              <w:tblStyle w:val="16"/>
              <w:tblW w:w="4996" w:type="pct"/>
              <w:jc w:val="center"/>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665"/>
              <w:gridCol w:w="1433"/>
              <w:gridCol w:w="1107"/>
              <w:gridCol w:w="739"/>
              <w:gridCol w:w="669"/>
              <w:gridCol w:w="656"/>
              <w:gridCol w:w="723"/>
              <w:gridCol w:w="663"/>
              <w:gridCol w:w="647"/>
              <w:gridCol w:w="657"/>
            </w:tblGrid>
            <w:tr w14:paraId="7632BCA7">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0" w:type="dxa"/>
                  <w:bottom w:w="0" w:type="dxa"/>
                  <w:right w:w="0" w:type="dxa"/>
                </w:tblCellMar>
              </w:tblPrEx>
              <w:trPr>
                <w:trHeight w:val="329" w:hRule="atLeast"/>
                <w:jc w:val="center"/>
              </w:trPr>
              <w:tc>
                <w:tcPr>
                  <w:tcW w:w="417" w:type="pct"/>
                  <w:vMerge w:val="restart"/>
                  <w:tcBorders>
                    <w:top w:val="single" w:color="auto" w:sz="12" w:space="0"/>
                    <w:left w:val="nil"/>
                    <w:bottom w:val="single" w:color="auto" w:sz="4" w:space="0"/>
                    <w:right w:val="single" w:color="auto" w:sz="6" w:space="0"/>
                  </w:tcBorders>
                  <w:shd w:val="clear" w:color="auto" w:fill="auto"/>
                  <w:vAlign w:val="center"/>
                </w:tcPr>
                <w:p w14:paraId="416C3C9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面源名称</w:t>
                  </w:r>
                </w:p>
              </w:tc>
              <w:tc>
                <w:tcPr>
                  <w:tcW w:w="900" w:type="pct"/>
                  <w:vMerge w:val="restart"/>
                  <w:tcBorders>
                    <w:top w:val="single" w:color="auto" w:sz="12" w:space="0"/>
                    <w:left w:val="nil"/>
                    <w:bottom w:val="single" w:color="auto" w:sz="8" w:space="0"/>
                    <w:right w:val="single" w:color="auto" w:sz="6" w:space="0"/>
                  </w:tcBorders>
                  <w:shd w:val="clear" w:color="auto" w:fill="auto"/>
                  <w:vAlign w:val="center"/>
                </w:tcPr>
                <w:p w14:paraId="03DE404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产生工序</w:t>
                  </w:r>
                </w:p>
              </w:tc>
              <w:tc>
                <w:tcPr>
                  <w:tcW w:w="695" w:type="pct"/>
                  <w:vMerge w:val="restart"/>
                  <w:tcBorders>
                    <w:top w:val="single" w:color="auto" w:sz="12" w:space="0"/>
                    <w:left w:val="nil"/>
                    <w:bottom w:val="single" w:color="auto" w:sz="8" w:space="0"/>
                    <w:right w:val="single" w:color="auto" w:sz="6" w:space="0"/>
                  </w:tcBorders>
                  <w:shd w:val="clear" w:color="auto" w:fill="auto"/>
                  <w:vAlign w:val="center"/>
                </w:tcPr>
                <w:p w14:paraId="368FB96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污染物名称</w:t>
                  </w:r>
                </w:p>
              </w:tc>
              <w:tc>
                <w:tcPr>
                  <w:tcW w:w="884" w:type="pct"/>
                  <w:gridSpan w:val="2"/>
                  <w:tcBorders>
                    <w:top w:val="single" w:color="auto" w:sz="12" w:space="0"/>
                    <w:left w:val="nil"/>
                    <w:bottom w:val="single" w:color="auto" w:sz="8" w:space="0"/>
                    <w:right w:val="single" w:color="auto" w:sz="6" w:space="0"/>
                  </w:tcBorders>
                  <w:shd w:val="clear" w:color="auto" w:fill="auto"/>
                  <w:vAlign w:val="center"/>
                </w:tcPr>
                <w:p w14:paraId="6FBDDA8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产生情况</w:t>
                  </w:r>
                </w:p>
              </w:tc>
              <w:tc>
                <w:tcPr>
                  <w:tcW w:w="412" w:type="pct"/>
                  <w:vMerge w:val="restart"/>
                  <w:tcBorders>
                    <w:top w:val="single" w:color="auto" w:sz="12" w:space="0"/>
                    <w:left w:val="nil"/>
                    <w:bottom w:val="single" w:color="auto" w:sz="8" w:space="0"/>
                    <w:right w:val="single" w:color="auto" w:sz="6" w:space="0"/>
                  </w:tcBorders>
                  <w:shd w:val="clear" w:color="auto" w:fill="auto"/>
                  <w:vAlign w:val="center"/>
                </w:tcPr>
                <w:p w14:paraId="372ECC4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处理措施</w:t>
                  </w:r>
                </w:p>
              </w:tc>
              <w:tc>
                <w:tcPr>
                  <w:tcW w:w="870" w:type="pct"/>
                  <w:gridSpan w:val="2"/>
                  <w:tcBorders>
                    <w:top w:val="single" w:color="auto" w:sz="12" w:space="0"/>
                    <w:left w:val="nil"/>
                    <w:bottom w:val="nil"/>
                    <w:right w:val="single" w:color="auto" w:sz="6" w:space="0"/>
                  </w:tcBorders>
                  <w:shd w:val="clear" w:color="auto" w:fill="auto"/>
                  <w:vAlign w:val="center"/>
                </w:tcPr>
                <w:p w14:paraId="4C4C1B57">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排放情况</w:t>
                  </w:r>
                </w:p>
              </w:tc>
              <w:tc>
                <w:tcPr>
                  <w:tcW w:w="819" w:type="pct"/>
                  <w:gridSpan w:val="2"/>
                  <w:tcBorders>
                    <w:top w:val="single" w:color="auto" w:sz="12" w:space="0"/>
                    <w:left w:val="nil"/>
                    <w:bottom w:val="single" w:color="auto" w:sz="8" w:space="0"/>
                    <w:right w:val="nil"/>
                  </w:tcBorders>
                  <w:shd w:val="clear" w:color="auto" w:fill="auto"/>
                  <w:vAlign w:val="center"/>
                </w:tcPr>
                <w:p w14:paraId="7A2A02C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面源参数</w:t>
                  </w:r>
                </w:p>
              </w:tc>
            </w:tr>
            <w:tr w14:paraId="189BE129">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0" w:type="dxa"/>
                  <w:bottom w:w="0" w:type="dxa"/>
                  <w:right w:w="0" w:type="dxa"/>
                </w:tblCellMar>
              </w:tblPrEx>
              <w:trPr>
                <w:trHeight w:val="329" w:hRule="atLeast"/>
                <w:jc w:val="center"/>
              </w:trPr>
              <w:tc>
                <w:tcPr>
                  <w:tcW w:w="417" w:type="pct"/>
                  <w:vMerge w:val="continue"/>
                  <w:tcBorders>
                    <w:top w:val="single" w:color="auto" w:sz="4" w:space="0"/>
                    <w:left w:val="nil"/>
                    <w:bottom w:val="single" w:color="auto" w:sz="4" w:space="0"/>
                    <w:right w:val="single" w:color="auto" w:sz="6" w:space="0"/>
                  </w:tcBorders>
                  <w:shd w:val="clear" w:color="auto" w:fill="auto"/>
                  <w:vAlign w:val="center"/>
                </w:tcPr>
                <w:p w14:paraId="6CF119F7">
                  <w:pPr>
                    <w:keepNext w:val="0"/>
                    <w:keepLines w:val="0"/>
                    <w:pageBreakBefore w:val="0"/>
                    <w:suppressLineNumbers w:val="0"/>
                    <w:kinsoku/>
                    <w:wordWrap/>
                    <w:overflowPunct/>
                    <w:topLinePunct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auto"/>
                      <w:sz w:val="20"/>
                      <w:szCs w:val="20"/>
                      <w:highlight w:val="none"/>
                    </w:rPr>
                  </w:pPr>
                </w:p>
              </w:tc>
              <w:tc>
                <w:tcPr>
                  <w:tcW w:w="900" w:type="pct"/>
                  <w:vMerge w:val="continue"/>
                  <w:tcBorders>
                    <w:top w:val="single" w:color="auto" w:sz="12" w:space="0"/>
                    <w:left w:val="nil"/>
                    <w:bottom w:val="single" w:color="auto" w:sz="8" w:space="0"/>
                    <w:right w:val="single" w:color="auto" w:sz="6" w:space="0"/>
                  </w:tcBorders>
                  <w:shd w:val="clear" w:color="auto" w:fill="auto"/>
                  <w:vAlign w:val="center"/>
                </w:tcPr>
                <w:p w14:paraId="67A9D3C0">
                  <w:pPr>
                    <w:keepNext w:val="0"/>
                    <w:keepLines w:val="0"/>
                    <w:pageBreakBefore w:val="0"/>
                    <w:suppressLineNumbers w:val="0"/>
                    <w:kinsoku/>
                    <w:wordWrap/>
                    <w:overflowPunct/>
                    <w:topLinePunct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auto"/>
                      <w:sz w:val="20"/>
                      <w:szCs w:val="20"/>
                      <w:highlight w:val="none"/>
                    </w:rPr>
                  </w:pPr>
                </w:p>
              </w:tc>
              <w:tc>
                <w:tcPr>
                  <w:tcW w:w="695" w:type="pct"/>
                  <w:vMerge w:val="continue"/>
                  <w:tcBorders>
                    <w:top w:val="single" w:color="auto" w:sz="12" w:space="0"/>
                    <w:left w:val="nil"/>
                    <w:bottom w:val="single" w:color="auto" w:sz="8" w:space="0"/>
                    <w:right w:val="single" w:color="auto" w:sz="6" w:space="0"/>
                  </w:tcBorders>
                  <w:shd w:val="clear" w:color="auto" w:fill="auto"/>
                  <w:vAlign w:val="center"/>
                </w:tcPr>
                <w:p w14:paraId="7549690D">
                  <w:pPr>
                    <w:keepNext w:val="0"/>
                    <w:keepLines w:val="0"/>
                    <w:pageBreakBefore w:val="0"/>
                    <w:suppressLineNumbers w:val="0"/>
                    <w:kinsoku/>
                    <w:wordWrap/>
                    <w:overflowPunct/>
                    <w:topLinePunct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auto"/>
                      <w:sz w:val="20"/>
                      <w:szCs w:val="20"/>
                      <w:highlight w:val="none"/>
                    </w:rPr>
                  </w:pPr>
                </w:p>
              </w:tc>
              <w:tc>
                <w:tcPr>
                  <w:tcW w:w="464" w:type="pct"/>
                  <w:tcBorders>
                    <w:top w:val="single" w:color="auto" w:sz="8" w:space="0"/>
                    <w:left w:val="nil"/>
                    <w:bottom w:val="single" w:color="auto" w:sz="8" w:space="0"/>
                    <w:right w:val="single" w:color="auto" w:sz="6" w:space="0"/>
                  </w:tcBorders>
                  <w:shd w:val="clear" w:color="auto" w:fill="auto"/>
                  <w:vAlign w:val="center"/>
                </w:tcPr>
                <w:p w14:paraId="36A1C70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产生速率</w:t>
                  </w:r>
                  <w:r>
                    <w:rPr>
                      <w:rFonts w:hint="default" w:ascii="Times New Roman" w:hAnsi="Times New Roman" w:eastAsia="宋体" w:cs="Times New Roman"/>
                      <w:b/>
                      <w:bCs/>
                      <w:color w:val="auto"/>
                      <w:kern w:val="0"/>
                      <w:sz w:val="21"/>
                      <w:szCs w:val="21"/>
                      <w:highlight w:val="none"/>
                      <w:lang w:val="en-US" w:eastAsia="zh-CN" w:bidi="ar"/>
                    </w:rPr>
                    <w:t>kg/h</w:t>
                  </w:r>
                </w:p>
              </w:tc>
              <w:tc>
                <w:tcPr>
                  <w:tcW w:w="420" w:type="pct"/>
                  <w:tcBorders>
                    <w:top w:val="single" w:color="auto" w:sz="8" w:space="0"/>
                    <w:left w:val="nil"/>
                    <w:bottom w:val="single" w:color="auto" w:sz="8" w:space="0"/>
                    <w:right w:val="single" w:color="auto" w:sz="6" w:space="0"/>
                  </w:tcBorders>
                  <w:shd w:val="clear" w:color="auto" w:fill="auto"/>
                  <w:vAlign w:val="center"/>
                </w:tcPr>
                <w:p w14:paraId="6A822A7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产生量</w:t>
                  </w:r>
                  <w:r>
                    <w:rPr>
                      <w:rFonts w:hint="default" w:ascii="Times New Roman" w:hAnsi="Times New Roman" w:eastAsia="宋体" w:cs="Times New Roman"/>
                      <w:b/>
                      <w:bCs/>
                      <w:color w:val="auto"/>
                      <w:kern w:val="0"/>
                      <w:sz w:val="21"/>
                      <w:szCs w:val="21"/>
                      <w:highlight w:val="none"/>
                      <w:lang w:val="en-US" w:eastAsia="zh-CN" w:bidi="ar"/>
                    </w:rPr>
                    <w:t>t/a</w:t>
                  </w:r>
                </w:p>
              </w:tc>
              <w:tc>
                <w:tcPr>
                  <w:tcW w:w="412" w:type="pct"/>
                  <w:vMerge w:val="continue"/>
                  <w:tcBorders>
                    <w:top w:val="single" w:color="auto" w:sz="12" w:space="0"/>
                    <w:left w:val="nil"/>
                    <w:bottom w:val="single" w:color="auto" w:sz="8" w:space="0"/>
                    <w:right w:val="single" w:color="auto" w:sz="6" w:space="0"/>
                  </w:tcBorders>
                  <w:shd w:val="clear" w:color="auto" w:fill="auto"/>
                  <w:vAlign w:val="center"/>
                </w:tcPr>
                <w:p w14:paraId="6C46527F">
                  <w:pPr>
                    <w:keepNext w:val="0"/>
                    <w:keepLines w:val="0"/>
                    <w:pageBreakBefore w:val="0"/>
                    <w:suppressLineNumbers w:val="0"/>
                    <w:kinsoku/>
                    <w:wordWrap/>
                    <w:overflowPunct/>
                    <w:topLinePunct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auto"/>
                      <w:sz w:val="20"/>
                      <w:szCs w:val="20"/>
                      <w:highlight w:val="none"/>
                    </w:rPr>
                  </w:pPr>
                </w:p>
              </w:tc>
              <w:tc>
                <w:tcPr>
                  <w:tcW w:w="454" w:type="pct"/>
                  <w:tcBorders>
                    <w:top w:val="single" w:color="auto" w:sz="8" w:space="0"/>
                    <w:left w:val="nil"/>
                    <w:bottom w:val="single" w:color="auto" w:sz="8" w:space="0"/>
                    <w:right w:val="single" w:color="auto" w:sz="6" w:space="0"/>
                  </w:tcBorders>
                  <w:shd w:val="clear" w:color="auto" w:fill="auto"/>
                  <w:vAlign w:val="center"/>
                </w:tcPr>
                <w:p w14:paraId="324BB8B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排放速率</w:t>
                  </w:r>
                  <w:r>
                    <w:rPr>
                      <w:rFonts w:hint="default" w:ascii="Times New Roman" w:hAnsi="Times New Roman" w:eastAsia="宋体" w:cs="Times New Roman"/>
                      <w:b/>
                      <w:bCs/>
                      <w:color w:val="auto"/>
                      <w:kern w:val="0"/>
                      <w:sz w:val="21"/>
                      <w:szCs w:val="21"/>
                      <w:highlight w:val="none"/>
                      <w:lang w:val="en-US" w:eastAsia="zh-CN" w:bidi="ar"/>
                    </w:rPr>
                    <w:t>kg/h</w:t>
                  </w:r>
                </w:p>
              </w:tc>
              <w:tc>
                <w:tcPr>
                  <w:tcW w:w="416" w:type="pct"/>
                  <w:tcBorders>
                    <w:top w:val="single" w:color="auto" w:sz="8" w:space="0"/>
                    <w:left w:val="nil"/>
                    <w:bottom w:val="single" w:color="auto" w:sz="8" w:space="0"/>
                    <w:right w:val="single" w:color="auto" w:sz="6" w:space="0"/>
                  </w:tcBorders>
                  <w:shd w:val="clear" w:color="auto" w:fill="auto"/>
                  <w:vAlign w:val="center"/>
                </w:tcPr>
                <w:p w14:paraId="5D260DE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排放量</w:t>
                  </w:r>
                  <w:r>
                    <w:rPr>
                      <w:rFonts w:hint="default" w:ascii="Times New Roman" w:hAnsi="Times New Roman" w:eastAsia="宋体" w:cs="Times New Roman"/>
                      <w:b/>
                      <w:bCs/>
                      <w:color w:val="auto"/>
                      <w:kern w:val="0"/>
                      <w:sz w:val="21"/>
                      <w:szCs w:val="21"/>
                      <w:highlight w:val="none"/>
                      <w:lang w:val="en-US" w:eastAsia="zh-CN" w:bidi="ar"/>
                    </w:rPr>
                    <w:t>t/a</w:t>
                  </w:r>
                </w:p>
              </w:tc>
              <w:tc>
                <w:tcPr>
                  <w:tcW w:w="406" w:type="pct"/>
                  <w:tcBorders>
                    <w:top w:val="single" w:color="auto" w:sz="8" w:space="0"/>
                    <w:left w:val="nil"/>
                    <w:bottom w:val="single" w:color="auto" w:sz="4" w:space="0"/>
                    <w:right w:val="nil"/>
                  </w:tcBorders>
                  <w:shd w:val="clear" w:color="auto" w:fill="auto"/>
                  <w:vAlign w:val="center"/>
                </w:tcPr>
                <w:p w14:paraId="596152D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面源面积</w:t>
                  </w:r>
                  <w:r>
                    <w:rPr>
                      <w:rFonts w:hint="default" w:ascii="Times New Roman" w:hAnsi="Times New Roman" w:eastAsia="宋体" w:cs="Times New Roman"/>
                      <w:b/>
                      <w:bCs/>
                      <w:color w:val="auto"/>
                      <w:kern w:val="0"/>
                      <w:sz w:val="21"/>
                      <w:szCs w:val="21"/>
                      <w:highlight w:val="none"/>
                      <w:lang w:val="en-US" w:eastAsia="zh-CN" w:bidi="ar"/>
                    </w:rPr>
                    <w:t>m</w:t>
                  </w:r>
                  <w:r>
                    <w:rPr>
                      <w:rFonts w:hint="default" w:ascii="Times New Roman" w:hAnsi="Times New Roman" w:eastAsia="宋体" w:cs="Times New Roman"/>
                      <w:b/>
                      <w:bCs/>
                      <w:color w:val="auto"/>
                      <w:kern w:val="0"/>
                      <w:sz w:val="21"/>
                      <w:szCs w:val="21"/>
                      <w:highlight w:val="none"/>
                      <w:vertAlign w:val="superscript"/>
                      <w:lang w:val="en-US" w:eastAsia="zh-CN" w:bidi="ar"/>
                    </w:rPr>
                    <w:t>2</w:t>
                  </w:r>
                </w:p>
              </w:tc>
              <w:tc>
                <w:tcPr>
                  <w:tcW w:w="412" w:type="pct"/>
                  <w:tcBorders>
                    <w:top w:val="single" w:color="auto" w:sz="8" w:space="0"/>
                    <w:left w:val="single" w:color="auto" w:sz="6" w:space="0"/>
                    <w:bottom w:val="single" w:color="auto" w:sz="4" w:space="0"/>
                    <w:right w:val="nil"/>
                  </w:tcBorders>
                  <w:shd w:val="clear" w:color="auto" w:fill="auto"/>
                  <w:vAlign w:val="center"/>
                </w:tcPr>
                <w:p w14:paraId="100D321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宋体"/>
                      <w:b/>
                      <w:bCs/>
                      <w:color w:val="auto"/>
                      <w:kern w:val="0"/>
                      <w:sz w:val="21"/>
                      <w:szCs w:val="21"/>
                      <w:highlight w:val="none"/>
                      <w:lang w:val="en-US" w:eastAsia="zh-CN" w:bidi="ar"/>
                    </w:rPr>
                    <w:t>面源高度</w:t>
                  </w:r>
                  <w:r>
                    <w:rPr>
                      <w:rFonts w:hint="default" w:ascii="Times New Roman" w:hAnsi="Times New Roman" w:eastAsia="宋体" w:cs="Times New Roman"/>
                      <w:b/>
                      <w:bCs/>
                      <w:color w:val="auto"/>
                      <w:kern w:val="0"/>
                      <w:sz w:val="21"/>
                      <w:szCs w:val="21"/>
                      <w:highlight w:val="none"/>
                      <w:lang w:val="en-US" w:eastAsia="zh-CN" w:bidi="ar"/>
                    </w:rPr>
                    <w:t>m</w:t>
                  </w:r>
                </w:p>
              </w:tc>
            </w:tr>
            <w:tr w14:paraId="7E075945">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17" w:type="pct"/>
                  <w:vMerge w:val="restart"/>
                  <w:tcBorders>
                    <w:top w:val="single" w:color="auto" w:sz="4" w:space="0"/>
                    <w:left w:val="nil"/>
                    <w:right w:val="single" w:color="auto" w:sz="6" w:space="0"/>
                  </w:tcBorders>
                  <w:shd w:val="clear" w:color="auto" w:fill="auto"/>
                  <w:vAlign w:val="center"/>
                </w:tcPr>
                <w:p w14:paraId="4A890F07">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highlight w:val="none"/>
                    </w:rPr>
                  </w:pPr>
                  <w:r>
                    <w:rPr>
                      <w:rFonts w:hint="eastAsia" w:ascii="Times New Roman" w:hAnsi="Times New Roman" w:eastAsia="宋体" w:cs="宋体"/>
                      <w:b w:val="0"/>
                      <w:bCs w:val="0"/>
                      <w:color w:val="auto"/>
                      <w:kern w:val="0"/>
                      <w:sz w:val="21"/>
                      <w:szCs w:val="21"/>
                      <w:highlight w:val="none"/>
                      <w:lang w:val="en-US" w:eastAsia="zh-CN" w:bidi="ar"/>
                    </w:rPr>
                    <w:t>生产车间</w:t>
                  </w:r>
                </w:p>
              </w:tc>
              <w:tc>
                <w:tcPr>
                  <w:tcW w:w="900" w:type="pct"/>
                  <w:vMerge w:val="restart"/>
                  <w:tcBorders>
                    <w:top w:val="single" w:color="auto" w:sz="8" w:space="0"/>
                    <w:left w:val="nil"/>
                    <w:right w:val="single" w:color="auto" w:sz="6" w:space="0"/>
                  </w:tcBorders>
                  <w:shd w:val="clear" w:color="auto" w:fill="auto"/>
                  <w:vAlign w:val="center"/>
                </w:tcPr>
                <w:p w14:paraId="18D1F64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注塑</w:t>
                  </w:r>
                  <w:r>
                    <w:rPr>
                      <w:rFonts w:hint="eastAsia" w:cs="Times New Roman"/>
                      <w:color w:val="auto"/>
                      <w:kern w:val="0"/>
                      <w:sz w:val="21"/>
                      <w:szCs w:val="21"/>
                      <w:highlight w:val="none"/>
                      <w:lang w:eastAsia="zh-CN"/>
                    </w:rPr>
                    <w:t>、</w:t>
                  </w:r>
                  <w:r>
                    <w:rPr>
                      <w:rFonts w:hint="eastAsia" w:cs="Times New Roman"/>
                      <w:color w:val="auto"/>
                      <w:kern w:val="0"/>
                      <w:sz w:val="21"/>
                      <w:szCs w:val="21"/>
                      <w:highlight w:val="none"/>
                      <w:lang w:val="en-US" w:eastAsia="zh-CN"/>
                    </w:rPr>
                    <w:t>压盖、</w:t>
                  </w:r>
                  <w:r>
                    <w:rPr>
                      <w:rFonts w:hint="default" w:ascii="Times New Roman" w:hAnsi="Times New Roman" w:eastAsia="宋体" w:cs="Times New Roman"/>
                      <w:color w:val="auto"/>
                      <w:kern w:val="0"/>
                      <w:sz w:val="21"/>
                      <w:szCs w:val="21"/>
                      <w:highlight w:val="none"/>
                    </w:rPr>
                    <w:t>吹制成瓶</w:t>
                  </w:r>
                  <w:r>
                    <w:rPr>
                      <w:rFonts w:hint="eastAsia" w:cs="Times New Roman"/>
                      <w:color w:val="auto"/>
                      <w:kern w:val="0"/>
                      <w:sz w:val="21"/>
                      <w:szCs w:val="21"/>
                      <w:highlight w:val="none"/>
                      <w:lang w:eastAsia="zh-CN"/>
                    </w:rPr>
                    <w:t>、</w:t>
                  </w:r>
                  <w:r>
                    <w:rPr>
                      <w:rFonts w:hint="default" w:ascii="Times New Roman" w:hAnsi="Times New Roman" w:eastAsia="宋体" w:cs="Times New Roman"/>
                      <w:color w:val="auto"/>
                      <w:kern w:val="0"/>
                      <w:sz w:val="21"/>
                      <w:szCs w:val="21"/>
                      <w:highlight w:val="none"/>
                    </w:rPr>
                    <w:t>打码</w:t>
                  </w:r>
                </w:p>
              </w:tc>
              <w:tc>
                <w:tcPr>
                  <w:tcW w:w="695" w:type="pct"/>
                  <w:tcBorders>
                    <w:top w:val="single" w:color="auto" w:sz="8" w:space="0"/>
                    <w:left w:val="nil"/>
                    <w:bottom w:val="single" w:color="auto" w:sz="8" w:space="0"/>
                    <w:right w:val="single" w:color="auto" w:sz="6" w:space="0"/>
                  </w:tcBorders>
                  <w:shd w:val="clear" w:color="auto" w:fill="auto"/>
                  <w:vAlign w:val="center"/>
                </w:tcPr>
                <w:p w14:paraId="41BA2E90">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highlight w:val="none"/>
                    </w:rPr>
                  </w:pPr>
                  <w:r>
                    <w:rPr>
                      <w:rFonts w:hint="eastAsia" w:cs="宋体"/>
                      <w:color w:val="auto"/>
                      <w:kern w:val="0"/>
                      <w:sz w:val="21"/>
                      <w:szCs w:val="21"/>
                      <w:highlight w:val="none"/>
                      <w:lang w:val="en-US" w:eastAsia="zh-CN" w:bidi="ar"/>
                    </w:rPr>
                    <w:t>非甲烷总烃</w:t>
                  </w:r>
                </w:p>
              </w:tc>
              <w:tc>
                <w:tcPr>
                  <w:tcW w:w="464" w:type="pct"/>
                  <w:tcBorders>
                    <w:top w:val="single" w:color="auto" w:sz="8" w:space="0"/>
                    <w:left w:val="nil"/>
                    <w:bottom w:val="single" w:color="auto" w:sz="8" w:space="0"/>
                    <w:right w:val="single" w:color="auto" w:sz="6" w:space="0"/>
                  </w:tcBorders>
                  <w:shd w:val="clear" w:color="auto" w:fill="auto"/>
                  <w:vAlign w:val="center"/>
                </w:tcPr>
                <w:p w14:paraId="705657C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0.042</w:t>
                  </w:r>
                </w:p>
              </w:tc>
              <w:tc>
                <w:tcPr>
                  <w:tcW w:w="420" w:type="pct"/>
                  <w:tcBorders>
                    <w:top w:val="single" w:color="auto" w:sz="8" w:space="0"/>
                    <w:left w:val="nil"/>
                    <w:bottom w:val="single" w:color="auto" w:sz="8" w:space="0"/>
                    <w:right w:val="single" w:color="auto" w:sz="6" w:space="0"/>
                  </w:tcBorders>
                  <w:shd w:val="clear" w:color="auto" w:fill="auto"/>
                  <w:vAlign w:val="center"/>
                </w:tcPr>
                <w:p w14:paraId="436C505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0.303</w:t>
                  </w:r>
                </w:p>
              </w:tc>
              <w:tc>
                <w:tcPr>
                  <w:tcW w:w="412" w:type="pct"/>
                  <w:vMerge w:val="restart"/>
                  <w:tcBorders>
                    <w:top w:val="single" w:color="auto" w:sz="8" w:space="0"/>
                    <w:left w:val="nil"/>
                    <w:right w:val="single" w:color="auto" w:sz="6" w:space="0"/>
                  </w:tcBorders>
                  <w:shd w:val="clear" w:color="auto" w:fill="auto"/>
                  <w:vAlign w:val="center"/>
                </w:tcPr>
                <w:p w14:paraId="7B0D5AC1">
                  <w:pPr>
                    <w:pStyle w:val="21"/>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加强废气收集</w:t>
                  </w:r>
                </w:p>
              </w:tc>
              <w:tc>
                <w:tcPr>
                  <w:tcW w:w="454" w:type="pct"/>
                  <w:tcBorders>
                    <w:top w:val="single" w:color="auto" w:sz="8" w:space="0"/>
                    <w:left w:val="nil"/>
                    <w:bottom w:val="single" w:color="auto" w:sz="8" w:space="0"/>
                    <w:right w:val="single" w:color="auto" w:sz="6" w:space="0"/>
                  </w:tcBorders>
                  <w:shd w:val="clear" w:color="auto" w:fill="auto"/>
                  <w:vAlign w:val="center"/>
                </w:tcPr>
                <w:p w14:paraId="6A4B55A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0.042</w:t>
                  </w:r>
                </w:p>
              </w:tc>
              <w:tc>
                <w:tcPr>
                  <w:tcW w:w="416" w:type="pct"/>
                  <w:tcBorders>
                    <w:top w:val="single" w:color="auto" w:sz="8" w:space="0"/>
                    <w:left w:val="nil"/>
                    <w:bottom w:val="single" w:color="auto" w:sz="8" w:space="0"/>
                    <w:right w:val="single" w:color="auto" w:sz="6" w:space="0"/>
                  </w:tcBorders>
                  <w:shd w:val="clear" w:color="auto" w:fill="auto"/>
                  <w:vAlign w:val="center"/>
                </w:tcPr>
                <w:p w14:paraId="1FBF11AA">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0.303</w:t>
                  </w:r>
                </w:p>
              </w:tc>
              <w:tc>
                <w:tcPr>
                  <w:tcW w:w="406" w:type="pct"/>
                  <w:vMerge w:val="restart"/>
                  <w:tcBorders>
                    <w:top w:val="single" w:color="auto" w:sz="4" w:space="0"/>
                    <w:left w:val="nil"/>
                    <w:right w:val="nil"/>
                  </w:tcBorders>
                  <w:shd w:val="clear" w:color="auto" w:fill="auto"/>
                  <w:vAlign w:val="center"/>
                </w:tcPr>
                <w:p w14:paraId="74756E9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3528</w:t>
                  </w:r>
                </w:p>
              </w:tc>
              <w:tc>
                <w:tcPr>
                  <w:tcW w:w="412" w:type="pct"/>
                  <w:vMerge w:val="restart"/>
                  <w:tcBorders>
                    <w:top w:val="single" w:color="auto" w:sz="4" w:space="0"/>
                    <w:left w:val="single" w:color="auto" w:sz="6" w:space="0"/>
                    <w:right w:val="nil"/>
                  </w:tcBorders>
                  <w:shd w:val="clear" w:color="auto" w:fill="auto"/>
                  <w:vAlign w:val="center"/>
                </w:tcPr>
                <w:p w14:paraId="15C8F59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12</w:t>
                  </w:r>
                </w:p>
              </w:tc>
            </w:tr>
            <w:tr w14:paraId="518E3A64">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17" w:type="pct"/>
                  <w:vMerge w:val="continue"/>
                  <w:tcBorders>
                    <w:left w:val="nil"/>
                    <w:bottom w:val="single" w:color="auto" w:sz="4" w:space="0"/>
                    <w:right w:val="single" w:color="auto" w:sz="6" w:space="0"/>
                  </w:tcBorders>
                  <w:shd w:val="clear" w:color="auto" w:fill="auto"/>
                  <w:vAlign w:val="center"/>
                </w:tcPr>
                <w:p w14:paraId="21C97E8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宋体"/>
                      <w:b w:val="0"/>
                      <w:bCs w:val="0"/>
                      <w:color w:val="auto"/>
                      <w:kern w:val="0"/>
                      <w:sz w:val="21"/>
                      <w:szCs w:val="21"/>
                      <w:highlight w:val="none"/>
                      <w:lang w:val="en-US" w:eastAsia="zh-CN" w:bidi="ar"/>
                    </w:rPr>
                  </w:pPr>
                </w:p>
              </w:tc>
              <w:tc>
                <w:tcPr>
                  <w:tcW w:w="900" w:type="pct"/>
                  <w:vMerge w:val="continue"/>
                  <w:tcBorders>
                    <w:left w:val="nil"/>
                    <w:bottom w:val="single" w:color="auto" w:sz="8" w:space="0"/>
                    <w:right w:val="single" w:color="auto" w:sz="6" w:space="0"/>
                  </w:tcBorders>
                  <w:shd w:val="clear" w:color="auto" w:fill="auto"/>
                  <w:vAlign w:val="center"/>
                </w:tcPr>
                <w:p w14:paraId="12A5F1D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rPr>
                  </w:pPr>
                </w:p>
              </w:tc>
              <w:tc>
                <w:tcPr>
                  <w:tcW w:w="695" w:type="pct"/>
                  <w:tcBorders>
                    <w:top w:val="single" w:color="auto" w:sz="8" w:space="0"/>
                    <w:left w:val="nil"/>
                    <w:bottom w:val="single" w:color="auto" w:sz="8" w:space="0"/>
                    <w:right w:val="single" w:color="auto" w:sz="6" w:space="0"/>
                  </w:tcBorders>
                  <w:shd w:val="clear" w:color="auto" w:fill="auto"/>
                  <w:vAlign w:val="center"/>
                </w:tcPr>
                <w:p w14:paraId="50738594">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cs="宋体"/>
                      <w:color w:val="auto"/>
                      <w:kern w:val="0"/>
                      <w:sz w:val="21"/>
                      <w:szCs w:val="21"/>
                      <w:highlight w:val="none"/>
                      <w:lang w:val="en-US" w:eastAsia="zh-CN" w:bidi="ar"/>
                    </w:rPr>
                  </w:pPr>
                  <w:r>
                    <w:rPr>
                      <w:rFonts w:hint="eastAsia" w:cs="宋体"/>
                      <w:color w:val="auto"/>
                      <w:kern w:val="0"/>
                      <w:sz w:val="21"/>
                      <w:szCs w:val="21"/>
                      <w:highlight w:val="none"/>
                      <w:lang w:val="en-US" w:eastAsia="zh-CN" w:bidi="ar"/>
                    </w:rPr>
                    <w:t>乙醛</w:t>
                  </w:r>
                </w:p>
              </w:tc>
              <w:tc>
                <w:tcPr>
                  <w:tcW w:w="464" w:type="pct"/>
                  <w:tcBorders>
                    <w:top w:val="single" w:color="auto" w:sz="8" w:space="0"/>
                    <w:left w:val="nil"/>
                    <w:bottom w:val="single" w:color="auto" w:sz="8" w:space="0"/>
                    <w:right w:val="single" w:color="auto" w:sz="6" w:space="0"/>
                  </w:tcBorders>
                  <w:shd w:val="clear" w:color="auto" w:fill="auto"/>
                  <w:vAlign w:val="center"/>
                </w:tcPr>
                <w:p w14:paraId="7444690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0.002</w:t>
                  </w:r>
                </w:p>
              </w:tc>
              <w:tc>
                <w:tcPr>
                  <w:tcW w:w="420" w:type="pct"/>
                  <w:tcBorders>
                    <w:top w:val="single" w:color="auto" w:sz="8" w:space="0"/>
                    <w:left w:val="nil"/>
                    <w:bottom w:val="single" w:color="auto" w:sz="8" w:space="0"/>
                    <w:right w:val="single" w:color="auto" w:sz="6" w:space="0"/>
                  </w:tcBorders>
                  <w:shd w:val="clear" w:color="auto" w:fill="auto"/>
                  <w:vAlign w:val="center"/>
                </w:tcPr>
                <w:p w14:paraId="20A3976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0.0141</w:t>
                  </w:r>
                </w:p>
              </w:tc>
              <w:tc>
                <w:tcPr>
                  <w:tcW w:w="412" w:type="pct"/>
                  <w:vMerge w:val="continue"/>
                  <w:tcBorders>
                    <w:left w:val="nil"/>
                    <w:right w:val="single" w:color="auto" w:sz="6" w:space="0"/>
                  </w:tcBorders>
                  <w:shd w:val="clear" w:color="auto" w:fill="auto"/>
                  <w:vAlign w:val="center"/>
                </w:tcPr>
                <w:p w14:paraId="0F8C1399">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454" w:type="pct"/>
                  <w:tcBorders>
                    <w:top w:val="single" w:color="auto" w:sz="8" w:space="0"/>
                    <w:left w:val="nil"/>
                    <w:bottom w:val="single" w:color="auto" w:sz="8" w:space="0"/>
                    <w:right w:val="single" w:color="auto" w:sz="6" w:space="0"/>
                  </w:tcBorders>
                  <w:shd w:val="clear" w:color="auto" w:fill="auto"/>
                  <w:vAlign w:val="center"/>
                </w:tcPr>
                <w:p w14:paraId="0C95A91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0.002</w:t>
                  </w:r>
                </w:p>
              </w:tc>
              <w:tc>
                <w:tcPr>
                  <w:tcW w:w="416" w:type="pct"/>
                  <w:tcBorders>
                    <w:top w:val="single" w:color="auto" w:sz="8" w:space="0"/>
                    <w:left w:val="nil"/>
                    <w:bottom w:val="single" w:color="auto" w:sz="8" w:space="0"/>
                    <w:right w:val="single" w:color="auto" w:sz="6" w:space="0"/>
                  </w:tcBorders>
                  <w:shd w:val="clear" w:color="auto" w:fill="auto"/>
                  <w:vAlign w:val="center"/>
                </w:tcPr>
                <w:p w14:paraId="11F8812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0.0141</w:t>
                  </w:r>
                </w:p>
              </w:tc>
              <w:tc>
                <w:tcPr>
                  <w:tcW w:w="406" w:type="pct"/>
                  <w:vMerge w:val="continue"/>
                  <w:tcBorders>
                    <w:left w:val="nil"/>
                    <w:bottom w:val="single" w:color="auto" w:sz="4" w:space="0"/>
                    <w:right w:val="nil"/>
                  </w:tcBorders>
                  <w:shd w:val="clear" w:color="auto" w:fill="auto"/>
                  <w:vAlign w:val="center"/>
                </w:tcPr>
                <w:p w14:paraId="2FA76B4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kern w:val="0"/>
                      <w:sz w:val="21"/>
                      <w:szCs w:val="21"/>
                      <w:highlight w:val="none"/>
                      <w:lang w:val="en-US" w:eastAsia="zh-CN"/>
                    </w:rPr>
                  </w:pPr>
                </w:p>
              </w:tc>
              <w:tc>
                <w:tcPr>
                  <w:tcW w:w="412" w:type="pct"/>
                  <w:vMerge w:val="continue"/>
                  <w:tcBorders>
                    <w:left w:val="single" w:color="auto" w:sz="6" w:space="0"/>
                    <w:bottom w:val="single" w:color="auto" w:sz="4" w:space="0"/>
                    <w:right w:val="nil"/>
                  </w:tcBorders>
                  <w:shd w:val="clear" w:color="auto" w:fill="auto"/>
                  <w:vAlign w:val="center"/>
                </w:tcPr>
                <w:p w14:paraId="6845A9B0">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kern w:val="0"/>
                      <w:sz w:val="21"/>
                      <w:szCs w:val="21"/>
                      <w:highlight w:val="none"/>
                      <w:lang w:val="en-US" w:eastAsia="zh-CN"/>
                    </w:rPr>
                  </w:pPr>
                </w:p>
              </w:tc>
            </w:tr>
            <w:tr w14:paraId="5A1B968E">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0" w:type="dxa"/>
                  <w:bottom w:w="0" w:type="dxa"/>
                  <w:right w:w="0" w:type="dxa"/>
                </w:tblCellMar>
              </w:tblPrEx>
              <w:trPr>
                <w:trHeight w:val="90" w:hRule="atLeast"/>
                <w:jc w:val="center"/>
              </w:trPr>
              <w:tc>
                <w:tcPr>
                  <w:tcW w:w="417" w:type="pct"/>
                  <w:vMerge w:val="restart"/>
                  <w:tcBorders>
                    <w:left w:val="nil"/>
                    <w:right w:val="single" w:color="auto" w:sz="6" w:space="0"/>
                  </w:tcBorders>
                  <w:shd w:val="clear" w:color="auto" w:fill="auto"/>
                  <w:vAlign w:val="center"/>
                </w:tcPr>
                <w:p w14:paraId="1D4020D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宋体"/>
                      <w:b w:val="0"/>
                      <w:bCs w:val="0"/>
                      <w:color w:val="auto"/>
                      <w:kern w:val="0"/>
                      <w:sz w:val="21"/>
                      <w:szCs w:val="21"/>
                      <w:highlight w:val="none"/>
                      <w:lang w:val="en-US" w:eastAsia="zh-CN" w:bidi="ar"/>
                    </w:rPr>
                  </w:pPr>
                  <w:r>
                    <w:rPr>
                      <w:rFonts w:hint="eastAsia" w:ascii="Times New Roman" w:hAnsi="Times New Roman" w:eastAsia="宋体" w:cs="宋体"/>
                      <w:b w:val="0"/>
                      <w:bCs w:val="0"/>
                      <w:color w:val="auto"/>
                      <w:kern w:val="0"/>
                      <w:sz w:val="21"/>
                      <w:szCs w:val="21"/>
                      <w:highlight w:val="none"/>
                      <w:lang w:val="en-US" w:eastAsia="zh-CN" w:bidi="ar"/>
                    </w:rPr>
                    <w:t>污水处理站</w:t>
                  </w:r>
                </w:p>
              </w:tc>
              <w:tc>
                <w:tcPr>
                  <w:tcW w:w="900" w:type="pct"/>
                  <w:vMerge w:val="restart"/>
                  <w:tcBorders>
                    <w:left w:val="nil"/>
                    <w:right w:val="single" w:color="auto" w:sz="6" w:space="0"/>
                  </w:tcBorders>
                  <w:shd w:val="clear" w:color="auto" w:fill="auto"/>
                  <w:vAlign w:val="center"/>
                </w:tcPr>
                <w:p w14:paraId="399FFD2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污水处理</w:t>
                  </w:r>
                </w:p>
              </w:tc>
              <w:tc>
                <w:tcPr>
                  <w:tcW w:w="695" w:type="pct"/>
                  <w:tcBorders>
                    <w:top w:val="single" w:color="auto" w:sz="8" w:space="0"/>
                    <w:left w:val="nil"/>
                    <w:bottom w:val="single" w:color="auto" w:sz="8" w:space="0"/>
                    <w:right w:val="single" w:color="auto" w:sz="6" w:space="0"/>
                  </w:tcBorders>
                  <w:shd w:val="clear" w:color="auto" w:fill="auto"/>
                  <w:vAlign w:val="center"/>
                </w:tcPr>
                <w:p w14:paraId="50008DD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cs="宋体"/>
                      <w:color w:val="auto"/>
                      <w:kern w:val="0"/>
                      <w:sz w:val="21"/>
                      <w:szCs w:val="21"/>
                      <w:highlight w:val="none"/>
                      <w:lang w:val="en-US" w:eastAsia="zh-CN" w:bidi="ar"/>
                    </w:rPr>
                  </w:pPr>
                  <w:r>
                    <w:rPr>
                      <w:rFonts w:hint="eastAsia" w:cs="宋体"/>
                      <w:color w:val="auto"/>
                      <w:kern w:val="0"/>
                      <w:sz w:val="21"/>
                      <w:szCs w:val="21"/>
                      <w:highlight w:val="none"/>
                      <w:lang w:val="en-US" w:eastAsia="zh-CN" w:bidi="ar"/>
                    </w:rPr>
                    <w:t>氨</w:t>
                  </w:r>
                </w:p>
              </w:tc>
              <w:tc>
                <w:tcPr>
                  <w:tcW w:w="739" w:type="dxa"/>
                  <w:tcBorders>
                    <w:top w:val="single" w:color="auto" w:sz="8" w:space="0"/>
                    <w:left w:val="nil"/>
                    <w:bottom w:val="single" w:color="auto" w:sz="8" w:space="0"/>
                    <w:right w:val="single" w:color="auto" w:sz="6" w:space="0"/>
                  </w:tcBorders>
                  <w:shd w:val="clear" w:color="auto" w:fill="auto"/>
                  <w:vAlign w:val="center"/>
                </w:tcPr>
                <w:p w14:paraId="39C6274A">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0.0051</w:t>
                  </w:r>
                </w:p>
              </w:tc>
              <w:tc>
                <w:tcPr>
                  <w:tcW w:w="669" w:type="dxa"/>
                  <w:tcBorders>
                    <w:top w:val="single" w:color="auto" w:sz="8" w:space="0"/>
                    <w:left w:val="nil"/>
                    <w:bottom w:val="single" w:color="auto" w:sz="8" w:space="0"/>
                    <w:right w:val="single" w:color="auto" w:sz="6" w:space="0"/>
                  </w:tcBorders>
                  <w:shd w:val="clear" w:color="auto" w:fill="auto"/>
                  <w:vAlign w:val="center"/>
                </w:tcPr>
                <w:p w14:paraId="68B7698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0.037</w:t>
                  </w:r>
                </w:p>
              </w:tc>
              <w:tc>
                <w:tcPr>
                  <w:tcW w:w="412" w:type="pct"/>
                  <w:vMerge w:val="continue"/>
                  <w:tcBorders>
                    <w:left w:val="nil"/>
                    <w:right w:val="single" w:color="auto" w:sz="6" w:space="0"/>
                  </w:tcBorders>
                  <w:shd w:val="clear" w:color="auto" w:fill="auto"/>
                  <w:vAlign w:val="center"/>
                </w:tcPr>
                <w:p w14:paraId="7530D1EC">
                  <w:pPr>
                    <w:pStyle w:val="21"/>
                    <w:keepNext w:val="0"/>
                    <w:keepLines w:val="0"/>
                    <w:suppressLineNumbers w:val="0"/>
                    <w:bidi w:val="0"/>
                    <w:spacing w:before="0" w:beforeAutospacing="0" w:after="0" w:afterAutospacing="0"/>
                    <w:ind w:left="0" w:right="0"/>
                    <w:rPr>
                      <w:rFonts w:hint="eastAsia"/>
                      <w:color w:val="auto"/>
                      <w:lang w:val="en-US" w:eastAsia="zh-CN"/>
                    </w:rPr>
                  </w:pPr>
                </w:p>
              </w:tc>
              <w:tc>
                <w:tcPr>
                  <w:tcW w:w="723" w:type="dxa"/>
                  <w:tcBorders>
                    <w:top w:val="single" w:color="auto" w:sz="8" w:space="0"/>
                    <w:left w:val="nil"/>
                    <w:bottom w:val="single" w:color="auto" w:sz="8" w:space="0"/>
                    <w:right w:val="single" w:color="auto" w:sz="6" w:space="0"/>
                  </w:tcBorders>
                  <w:shd w:val="clear" w:color="auto" w:fill="auto"/>
                  <w:vAlign w:val="center"/>
                </w:tcPr>
                <w:p w14:paraId="361438F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0.0051</w:t>
                  </w:r>
                </w:p>
              </w:tc>
              <w:tc>
                <w:tcPr>
                  <w:tcW w:w="663" w:type="dxa"/>
                  <w:tcBorders>
                    <w:top w:val="single" w:color="auto" w:sz="8" w:space="0"/>
                    <w:left w:val="nil"/>
                    <w:bottom w:val="single" w:color="auto" w:sz="8" w:space="0"/>
                    <w:right w:val="single" w:color="auto" w:sz="6" w:space="0"/>
                  </w:tcBorders>
                  <w:shd w:val="clear" w:color="auto" w:fill="auto"/>
                  <w:vAlign w:val="center"/>
                </w:tcPr>
                <w:p w14:paraId="77C2CA00">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0.037</w:t>
                  </w:r>
                </w:p>
              </w:tc>
              <w:tc>
                <w:tcPr>
                  <w:tcW w:w="406" w:type="pct"/>
                  <w:vMerge w:val="restart"/>
                  <w:tcBorders>
                    <w:top w:val="single" w:color="auto" w:sz="4" w:space="0"/>
                    <w:left w:val="nil"/>
                    <w:right w:val="nil"/>
                  </w:tcBorders>
                  <w:shd w:val="clear" w:color="auto" w:fill="auto"/>
                  <w:vAlign w:val="center"/>
                </w:tcPr>
                <w:p w14:paraId="5E238E1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200</w:t>
                  </w:r>
                </w:p>
              </w:tc>
              <w:tc>
                <w:tcPr>
                  <w:tcW w:w="412" w:type="pct"/>
                  <w:vMerge w:val="restart"/>
                  <w:tcBorders>
                    <w:top w:val="single" w:color="auto" w:sz="4" w:space="0"/>
                    <w:left w:val="single" w:color="auto" w:sz="6" w:space="0"/>
                    <w:right w:val="nil"/>
                  </w:tcBorders>
                  <w:shd w:val="clear" w:color="auto" w:fill="auto"/>
                  <w:vAlign w:val="center"/>
                </w:tcPr>
                <w:p w14:paraId="360DA215">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4</w:t>
                  </w:r>
                </w:p>
              </w:tc>
            </w:tr>
            <w:tr w14:paraId="1FEF1AA9">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0" w:type="dxa"/>
                  <w:bottom w:w="0" w:type="dxa"/>
                  <w:right w:w="0" w:type="dxa"/>
                </w:tblCellMar>
              </w:tblPrEx>
              <w:trPr>
                <w:trHeight w:val="90" w:hRule="atLeast"/>
                <w:jc w:val="center"/>
              </w:trPr>
              <w:tc>
                <w:tcPr>
                  <w:tcW w:w="417" w:type="pct"/>
                  <w:vMerge w:val="continue"/>
                  <w:tcBorders>
                    <w:left w:val="nil"/>
                    <w:bottom w:val="single" w:color="auto" w:sz="4" w:space="0"/>
                    <w:right w:val="single" w:color="auto" w:sz="6" w:space="0"/>
                  </w:tcBorders>
                  <w:shd w:val="clear" w:color="auto" w:fill="auto"/>
                  <w:vAlign w:val="center"/>
                </w:tcPr>
                <w:p w14:paraId="01C2936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宋体"/>
                      <w:b w:val="0"/>
                      <w:bCs w:val="0"/>
                      <w:color w:val="auto"/>
                      <w:kern w:val="0"/>
                      <w:sz w:val="21"/>
                      <w:szCs w:val="21"/>
                      <w:highlight w:val="none"/>
                      <w:lang w:val="en-US" w:eastAsia="zh-CN" w:bidi="ar"/>
                    </w:rPr>
                  </w:pPr>
                </w:p>
              </w:tc>
              <w:tc>
                <w:tcPr>
                  <w:tcW w:w="900" w:type="pct"/>
                  <w:vMerge w:val="continue"/>
                  <w:tcBorders>
                    <w:left w:val="nil"/>
                    <w:bottom w:val="single" w:color="auto" w:sz="8" w:space="0"/>
                    <w:right w:val="single" w:color="auto" w:sz="6" w:space="0"/>
                  </w:tcBorders>
                  <w:shd w:val="clear" w:color="auto" w:fill="auto"/>
                  <w:vAlign w:val="center"/>
                </w:tcPr>
                <w:p w14:paraId="28035FA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rPr>
                  </w:pPr>
                </w:p>
              </w:tc>
              <w:tc>
                <w:tcPr>
                  <w:tcW w:w="695" w:type="pct"/>
                  <w:tcBorders>
                    <w:top w:val="single" w:color="auto" w:sz="8" w:space="0"/>
                    <w:left w:val="nil"/>
                    <w:bottom w:val="single" w:color="auto" w:sz="8" w:space="0"/>
                    <w:right w:val="single" w:color="auto" w:sz="6" w:space="0"/>
                  </w:tcBorders>
                  <w:shd w:val="clear" w:color="auto" w:fill="auto"/>
                  <w:vAlign w:val="center"/>
                </w:tcPr>
                <w:p w14:paraId="03524E6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cs="宋体"/>
                      <w:color w:val="auto"/>
                      <w:kern w:val="0"/>
                      <w:sz w:val="21"/>
                      <w:szCs w:val="21"/>
                      <w:highlight w:val="none"/>
                      <w:lang w:val="en-US" w:eastAsia="zh-CN" w:bidi="ar"/>
                    </w:rPr>
                  </w:pPr>
                  <w:r>
                    <w:rPr>
                      <w:rFonts w:hint="eastAsia" w:cs="宋体"/>
                      <w:color w:val="auto"/>
                      <w:kern w:val="0"/>
                      <w:sz w:val="21"/>
                      <w:szCs w:val="21"/>
                      <w:highlight w:val="none"/>
                      <w:lang w:val="en-US" w:eastAsia="zh-CN" w:bidi="ar"/>
                    </w:rPr>
                    <w:t>硫化氢</w:t>
                  </w:r>
                </w:p>
              </w:tc>
              <w:tc>
                <w:tcPr>
                  <w:tcW w:w="739" w:type="dxa"/>
                  <w:tcBorders>
                    <w:top w:val="single" w:color="auto" w:sz="8" w:space="0"/>
                    <w:left w:val="nil"/>
                    <w:bottom w:val="single" w:color="auto" w:sz="8" w:space="0"/>
                    <w:right w:val="single" w:color="auto" w:sz="6" w:space="0"/>
                  </w:tcBorders>
                  <w:shd w:val="clear" w:color="auto" w:fill="auto"/>
                  <w:vAlign w:val="center"/>
                </w:tcPr>
                <w:p w14:paraId="0496ECC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0.00014</w:t>
                  </w:r>
                </w:p>
              </w:tc>
              <w:tc>
                <w:tcPr>
                  <w:tcW w:w="669" w:type="dxa"/>
                  <w:tcBorders>
                    <w:top w:val="single" w:color="auto" w:sz="8" w:space="0"/>
                    <w:left w:val="nil"/>
                    <w:bottom w:val="single" w:color="auto" w:sz="8" w:space="0"/>
                    <w:right w:val="single" w:color="auto" w:sz="6" w:space="0"/>
                  </w:tcBorders>
                  <w:shd w:val="clear" w:color="auto" w:fill="auto"/>
                  <w:vAlign w:val="center"/>
                </w:tcPr>
                <w:p w14:paraId="0752120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0.001</w:t>
                  </w:r>
                </w:p>
              </w:tc>
              <w:tc>
                <w:tcPr>
                  <w:tcW w:w="412" w:type="pct"/>
                  <w:vMerge w:val="continue"/>
                  <w:tcBorders>
                    <w:left w:val="nil"/>
                    <w:bottom w:val="single" w:color="auto" w:sz="8" w:space="0"/>
                    <w:right w:val="single" w:color="auto" w:sz="6" w:space="0"/>
                  </w:tcBorders>
                  <w:shd w:val="clear" w:color="auto" w:fill="auto"/>
                  <w:vAlign w:val="center"/>
                </w:tcPr>
                <w:p w14:paraId="11D5C10F">
                  <w:pPr>
                    <w:pStyle w:val="21"/>
                    <w:keepNext w:val="0"/>
                    <w:keepLines w:val="0"/>
                    <w:suppressLineNumbers w:val="0"/>
                    <w:bidi w:val="0"/>
                    <w:spacing w:before="0" w:beforeAutospacing="0" w:after="0" w:afterAutospacing="0"/>
                    <w:ind w:left="0" w:right="0"/>
                    <w:rPr>
                      <w:rFonts w:hint="eastAsia"/>
                      <w:color w:val="auto"/>
                      <w:lang w:val="en-US" w:eastAsia="zh-CN"/>
                    </w:rPr>
                  </w:pPr>
                </w:p>
              </w:tc>
              <w:tc>
                <w:tcPr>
                  <w:tcW w:w="723" w:type="dxa"/>
                  <w:tcBorders>
                    <w:top w:val="single" w:color="auto" w:sz="8" w:space="0"/>
                    <w:left w:val="nil"/>
                    <w:bottom w:val="single" w:color="auto" w:sz="8" w:space="0"/>
                    <w:right w:val="single" w:color="auto" w:sz="6" w:space="0"/>
                  </w:tcBorders>
                  <w:shd w:val="clear" w:color="auto" w:fill="auto"/>
                  <w:vAlign w:val="center"/>
                </w:tcPr>
                <w:p w14:paraId="773BE410">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0.00014</w:t>
                  </w:r>
                </w:p>
              </w:tc>
              <w:tc>
                <w:tcPr>
                  <w:tcW w:w="663" w:type="dxa"/>
                  <w:tcBorders>
                    <w:top w:val="single" w:color="auto" w:sz="8" w:space="0"/>
                    <w:left w:val="nil"/>
                    <w:bottom w:val="single" w:color="auto" w:sz="8" w:space="0"/>
                    <w:right w:val="single" w:color="auto" w:sz="6" w:space="0"/>
                  </w:tcBorders>
                  <w:shd w:val="clear" w:color="auto" w:fill="auto"/>
                  <w:vAlign w:val="center"/>
                </w:tcPr>
                <w:p w14:paraId="4FBB24C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0.001</w:t>
                  </w:r>
                </w:p>
              </w:tc>
              <w:tc>
                <w:tcPr>
                  <w:tcW w:w="406" w:type="pct"/>
                  <w:vMerge w:val="continue"/>
                  <w:tcBorders>
                    <w:left w:val="nil"/>
                    <w:bottom w:val="single" w:color="auto" w:sz="4" w:space="0"/>
                    <w:right w:val="nil"/>
                  </w:tcBorders>
                  <w:shd w:val="clear" w:color="auto" w:fill="auto"/>
                  <w:vAlign w:val="center"/>
                </w:tcPr>
                <w:p w14:paraId="3BBA88C7">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kern w:val="0"/>
                      <w:sz w:val="21"/>
                      <w:szCs w:val="21"/>
                      <w:highlight w:val="none"/>
                      <w:lang w:val="en-US" w:eastAsia="zh-CN"/>
                    </w:rPr>
                  </w:pPr>
                </w:p>
              </w:tc>
              <w:tc>
                <w:tcPr>
                  <w:tcW w:w="412" w:type="pct"/>
                  <w:vMerge w:val="continue"/>
                  <w:tcBorders>
                    <w:left w:val="single" w:color="auto" w:sz="6" w:space="0"/>
                    <w:bottom w:val="single" w:color="auto" w:sz="4" w:space="0"/>
                    <w:right w:val="nil"/>
                  </w:tcBorders>
                  <w:shd w:val="clear" w:color="auto" w:fill="auto"/>
                  <w:vAlign w:val="center"/>
                </w:tcPr>
                <w:p w14:paraId="2D0B801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kern w:val="0"/>
                      <w:sz w:val="21"/>
                      <w:szCs w:val="21"/>
                      <w:highlight w:val="none"/>
                      <w:lang w:val="en-US" w:eastAsia="zh-CN"/>
                    </w:rPr>
                  </w:pPr>
                </w:p>
              </w:tc>
            </w:tr>
          </w:tbl>
          <w:p w14:paraId="739F40FF">
            <w:pPr>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（2）非正常工况源强分析</w:t>
            </w:r>
          </w:p>
          <w:p w14:paraId="12AD11CF">
            <w:pPr>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lang w:val="en-US" w:eastAsia="zh-CN"/>
              </w:rPr>
            </w:pPr>
            <w:r>
              <w:rPr>
                <w:rFonts w:hint="default" w:ascii="Times New Roman" w:hAnsi="Times New Roman" w:eastAsia="宋体"/>
                <w:color w:val="auto"/>
                <w:highlight w:val="none"/>
                <w:lang w:val="en-US"/>
              </w:rPr>
              <w:t>本项目非正常工况考虑为废气处理装置发生故障，废气处理效率降为</w:t>
            </w:r>
            <w:r>
              <w:rPr>
                <w:rFonts w:hint="eastAsia" w:ascii="Times New Roman" w:hAnsi="Times New Roman" w:eastAsia="宋体"/>
                <w:color w:val="auto"/>
                <w:highlight w:val="none"/>
                <w:lang w:val="en-US" w:eastAsia="zh-CN"/>
              </w:rPr>
              <w:t>0%时的排放情况</w:t>
            </w:r>
            <w:r>
              <w:rPr>
                <w:rFonts w:hint="default" w:ascii="Times New Roman" w:hAnsi="Times New Roman" w:eastAsia="宋体"/>
                <w:color w:val="auto"/>
                <w:highlight w:val="none"/>
                <w:lang w:val="en-US"/>
              </w:rPr>
              <w:t>，非正常排放参数见表</w:t>
            </w:r>
            <w:r>
              <w:rPr>
                <w:rFonts w:hint="eastAsia" w:ascii="Times New Roman" w:hAnsi="Times New Roman" w:eastAsia="宋体"/>
                <w:color w:val="auto"/>
                <w:highlight w:val="none"/>
                <w:lang w:val="en-US" w:eastAsia="zh-CN"/>
              </w:rPr>
              <w:t>：</w:t>
            </w:r>
          </w:p>
          <w:p w14:paraId="26F1998E">
            <w:pPr>
              <w:pStyle w:val="23"/>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lang w:val="en-US" w:eastAsia="zh-CN"/>
              </w:rPr>
            </w:pPr>
            <w:r>
              <w:rPr>
                <w:rFonts w:hint="default" w:ascii="Times New Roman" w:hAnsi="Times New Roman" w:eastAsia="宋体"/>
                <w:color w:val="auto"/>
                <w:highlight w:val="none"/>
                <w:lang w:val="en-US" w:eastAsia="zh-CN"/>
              </w:rPr>
              <w:t>表4-</w:t>
            </w:r>
            <w:r>
              <w:rPr>
                <w:rFonts w:hint="eastAsia"/>
                <w:color w:val="auto"/>
                <w:highlight w:val="none"/>
                <w:lang w:val="en-US" w:eastAsia="zh-CN"/>
              </w:rPr>
              <w:t>4</w:t>
            </w:r>
            <w:r>
              <w:rPr>
                <w:rFonts w:hint="default" w:ascii="Times New Roman" w:hAnsi="Times New Roman" w:eastAsia="宋体"/>
                <w:color w:val="auto"/>
                <w:highlight w:val="none"/>
                <w:lang w:val="en-US" w:eastAsia="zh-CN"/>
              </w:rPr>
              <w:t>非正常排放参数表</w:t>
            </w:r>
          </w:p>
          <w:tbl>
            <w:tblPr>
              <w:tblStyle w:val="16"/>
              <w:tblW w:w="4999"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972"/>
              <w:gridCol w:w="1278"/>
              <w:gridCol w:w="836"/>
              <w:gridCol w:w="1237"/>
              <w:gridCol w:w="863"/>
              <w:gridCol w:w="762"/>
              <w:gridCol w:w="2015"/>
            </w:tblGrid>
            <w:tr w14:paraId="06EEA69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972" w:type="dxa"/>
                  <w:vAlign w:val="center"/>
                </w:tcPr>
                <w:p w14:paraId="45873C54">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非正常排放源</w:t>
                  </w:r>
                </w:p>
              </w:tc>
              <w:tc>
                <w:tcPr>
                  <w:tcW w:w="1278" w:type="dxa"/>
                  <w:vAlign w:val="center"/>
                </w:tcPr>
                <w:p w14:paraId="3A094703">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非正常排放原因</w:t>
                  </w:r>
                </w:p>
              </w:tc>
              <w:tc>
                <w:tcPr>
                  <w:tcW w:w="836" w:type="dxa"/>
                  <w:vAlign w:val="center"/>
                </w:tcPr>
                <w:p w14:paraId="701E89FA">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污染物</w:t>
                  </w:r>
                </w:p>
              </w:tc>
              <w:tc>
                <w:tcPr>
                  <w:tcW w:w="1237" w:type="dxa"/>
                  <w:vAlign w:val="center"/>
                </w:tcPr>
                <w:p w14:paraId="5310481C">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非正常排放速率（kg/h）</w:t>
                  </w:r>
                </w:p>
              </w:tc>
              <w:tc>
                <w:tcPr>
                  <w:tcW w:w="863" w:type="dxa"/>
                  <w:vAlign w:val="center"/>
                </w:tcPr>
                <w:p w14:paraId="0243621A">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单次持续时间/h</w:t>
                  </w:r>
                </w:p>
              </w:tc>
              <w:tc>
                <w:tcPr>
                  <w:tcW w:w="762" w:type="dxa"/>
                  <w:vAlign w:val="center"/>
                </w:tcPr>
                <w:p w14:paraId="2819363B">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年发生频次/次</w:t>
                  </w:r>
                </w:p>
              </w:tc>
              <w:tc>
                <w:tcPr>
                  <w:tcW w:w="2015" w:type="dxa"/>
                  <w:vAlign w:val="center"/>
                </w:tcPr>
                <w:p w14:paraId="0429DE1C">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措施</w:t>
                  </w:r>
                </w:p>
              </w:tc>
            </w:tr>
            <w:tr w14:paraId="1054DDC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972" w:type="dxa"/>
                  <w:vMerge w:val="restart"/>
                  <w:vAlign w:val="center"/>
                </w:tcPr>
                <w:p w14:paraId="1419F120">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eastAsia="zh-CN"/>
                    </w:rPr>
                    <w:t>DA00</w:t>
                  </w:r>
                  <w:r>
                    <w:rPr>
                      <w:rFonts w:hint="eastAsia"/>
                      <w:color w:val="auto"/>
                      <w:highlight w:val="none"/>
                      <w:lang w:val="en-US" w:eastAsia="zh-CN"/>
                    </w:rPr>
                    <w:t>1</w:t>
                  </w:r>
                  <w:r>
                    <w:rPr>
                      <w:rFonts w:hint="eastAsia" w:ascii="Times New Roman" w:hAnsi="Times New Roman" w:eastAsia="宋体"/>
                      <w:color w:val="auto"/>
                      <w:highlight w:val="none"/>
                      <w:lang w:val="en-US" w:eastAsia="zh-CN"/>
                    </w:rPr>
                    <w:t>排气筒</w:t>
                  </w:r>
                </w:p>
              </w:tc>
              <w:tc>
                <w:tcPr>
                  <w:tcW w:w="1278" w:type="dxa"/>
                  <w:vMerge w:val="restart"/>
                  <w:vAlign w:val="center"/>
                </w:tcPr>
                <w:p w14:paraId="7205394E">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eastAsia="zh-CN"/>
                    </w:rPr>
                    <w:t>废气处理设施失效</w:t>
                  </w:r>
                </w:p>
              </w:tc>
              <w:tc>
                <w:tcPr>
                  <w:tcW w:w="836" w:type="dxa"/>
                  <w:vAlign w:val="center"/>
                </w:tcPr>
                <w:p w14:paraId="4509A8C9">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olor w:val="auto"/>
                      <w:highlight w:val="none"/>
                      <w:lang w:val="en-US" w:eastAsia="zh-CN"/>
                    </w:rPr>
                  </w:pPr>
                  <w:r>
                    <w:rPr>
                      <w:rFonts w:hint="eastAsia"/>
                      <w:color w:val="auto"/>
                      <w:highlight w:val="none"/>
                      <w:lang w:val="en-US" w:eastAsia="zh-CN"/>
                    </w:rPr>
                    <w:t>非甲烷总烃</w:t>
                  </w:r>
                </w:p>
              </w:tc>
              <w:tc>
                <w:tcPr>
                  <w:tcW w:w="1237" w:type="dxa"/>
                  <w:vAlign w:val="center"/>
                </w:tcPr>
                <w:p w14:paraId="3161F98C">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0.357</w:t>
                  </w:r>
                </w:p>
              </w:tc>
              <w:tc>
                <w:tcPr>
                  <w:tcW w:w="863" w:type="dxa"/>
                  <w:vMerge w:val="restart"/>
                  <w:vAlign w:val="center"/>
                </w:tcPr>
                <w:p w14:paraId="4EB5FD04">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olor w:val="auto"/>
                      <w:highlight w:val="none"/>
                    </w:rPr>
                  </w:pPr>
                  <w:r>
                    <w:rPr>
                      <w:rFonts w:hint="eastAsia" w:ascii="Times New Roman" w:hAnsi="Times New Roman" w:eastAsia="宋体"/>
                      <w:color w:val="auto"/>
                      <w:highlight w:val="none"/>
                    </w:rPr>
                    <w:t>0.5</w:t>
                  </w:r>
                </w:p>
              </w:tc>
              <w:tc>
                <w:tcPr>
                  <w:tcW w:w="762" w:type="dxa"/>
                  <w:vMerge w:val="restart"/>
                  <w:vAlign w:val="center"/>
                </w:tcPr>
                <w:p w14:paraId="58BA8B48">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olor w:val="auto"/>
                      <w:highlight w:val="none"/>
                      <w:lang w:eastAsia="zh-CN"/>
                    </w:rPr>
                  </w:pPr>
                  <w:r>
                    <w:rPr>
                      <w:rFonts w:hint="eastAsia"/>
                      <w:color w:val="auto"/>
                      <w:highlight w:val="none"/>
                      <w:lang w:val="en-US" w:eastAsia="zh-CN"/>
                    </w:rPr>
                    <w:t>1</w:t>
                  </w:r>
                </w:p>
              </w:tc>
              <w:tc>
                <w:tcPr>
                  <w:tcW w:w="2015" w:type="dxa"/>
                  <w:vMerge w:val="restart"/>
                  <w:vAlign w:val="center"/>
                </w:tcPr>
                <w:p w14:paraId="740D881A">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rPr>
                    <w:t>定期检查</w:t>
                  </w:r>
                  <w:r>
                    <w:rPr>
                      <w:rFonts w:hint="eastAsia" w:ascii="Times New Roman" w:hAnsi="Times New Roman" w:eastAsia="宋体"/>
                      <w:color w:val="auto"/>
                      <w:highlight w:val="none"/>
                      <w:lang w:val="en-US" w:eastAsia="zh-CN"/>
                    </w:rPr>
                    <w:t>废气收集处理设施</w:t>
                  </w:r>
                  <w:r>
                    <w:rPr>
                      <w:rFonts w:hint="eastAsia" w:ascii="Times New Roman" w:hAnsi="Times New Roman" w:eastAsia="宋体"/>
                      <w:color w:val="auto"/>
                      <w:highlight w:val="none"/>
                    </w:rPr>
                    <w:t>，</w:t>
                  </w:r>
                  <w:r>
                    <w:rPr>
                      <w:rFonts w:hint="default" w:ascii="Times New Roman" w:hAnsi="Times New Roman" w:eastAsia="宋体"/>
                      <w:color w:val="auto"/>
                      <w:highlight w:val="none"/>
                    </w:rPr>
                    <w:t>确保</w:t>
                  </w:r>
                  <w:r>
                    <w:rPr>
                      <w:rFonts w:hint="eastAsia" w:ascii="Times New Roman" w:hAnsi="Times New Roman" w:eastAsia="宋体"/>
                      <w:color w:val="auto"/>
                      <w:highlight w:val="none"/>
                      <w:lang w:val="en-US" w:eastAsia="zh-CN"/>
                    </w:rPr>
                    <w:t>废气</w:t>
                  </w:r>
                  <w:r>
                    <w:rPr>
                      <w:rFonts w:hint="default" w:ascii="Times New Roman" w:hAnsi="Times New Roman" w:eastAsia="宋体"/>
                      <w:color w:val="auto"/>
                      <w:highlight w:val="none"/>
                    </w:rPr>
                    <w:t>达标排放，</w:t>
                  </w:r>
                  <w:r>
                    <w:rPr>
                      <w:rFonts w:hint="eastAsia" w:ascii="Times New Roman" w:hAnsi="Times New Roman" w:eastAsia="宋体"/>
                      <w:color w:val="auto"/>
                      <w:highlight w:val="none"/>
                      <w:lang w:val="en-US" w:eastAsia="zh-CN"/>
                    </w:rPr>
                    <w:t>避免</w:t>
                  </w:r>
                  <w:r>
                    <w:rPr>
                      <w:rFonts w:hint="default" w:ascii="Times New Roman" w:hAnsi="Times New Roman" w:eastAsia="宋体"/>
                      <w:color w:val="auto"/>
                      <w:highlight w:val="none"/>
                    </w:rPr>
                    <w:t>非正常排放</w:t>
                  </w:r>
                  <w:r>
                    <w:rPr>
                      <w:rFonts w:hint="eastAsia" w:ascii="Times New Roman" w:hAnsi="Times New Roman" w:eastAsia="宋体"/>
                      <w:color w:val="auto"/>
                      <w:highlight w:val="none"/>
                      <w:lang w:val="en-US" w:eastAsia="zh-CN"/>
                    </w:rPr>
                    <w:t>情况发生</w:t>
                  </w:r>
                </w:p>
              </w:tc>
            </w:tr>
            <w:tr w14:paraId="279150B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972" w:type="dxa"/>
                  <w:vMerge w:val="continue"/>
                  <w:vAlign w:val="center"/>
                </w:tcPr>
                <w:p w14:paraId="4FCC7AC6">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olor w:val="auto"/>
                      <w:highlight w:val="none"/>
                      <w:lang w:val="en-US" w:eastAsia="zh-CN"/>
                    </w:rPr>
                  </w:pPr>
                </w:p>
              </w:tc>
              <w:tc>
                <w:tcPr>
                  <w:tcW w:w="1278" w:type="dxa"/>
                  <w:vMerge w:val="continue"/>
                  <w:vAlign w:val="center"/>
                </w:tcPr>
                <w:p w14:paraId="180583CE">
                  <w:pPr>
                    <w:pStyle w:val="21"/>
                    <w:keepNext w:val="0"/>
                    <w:keepLines w:val="0"/>
                    <w:suppressLineNumbers w:val="0"/>
                    <w:spacing w:before="0" w:beforeAutospacing="0" w:after="0" w:afterAutospacing="0"/>
                    <w:ind w:left="0" w:right="0" w:firstLine="0" w:firstLineChars="0"/>
                    <w:rPr>
                      <w:rFonts w:hint="eastAsia"/>
                      <w:color w:val="auto"/>
                      <w:highlight w:val="none"/>
                      <w:lang w:val="en-US" w:eastAsia="zh-CN"/>
                    </w:rPr>
                  </w:pPr>
                </w:p>
              </w:tc>
              <w:tc>
                <w:tcPr>
                  <w:tcW w:w="836" w:type="dxa"/>
                  <w:vAlign w:val="center"/>
                </w:tcPr>
                <w:p w14:paraId="0E80A80E">
                  <w:pPr>
                    <w:pStyle w:val="21"/>
                    <w:keepNext w:val="0"/>
                    <w:keepLines w:val="0"/>
                    <w:suppressLineNumbers w:val="0"/>
                    <w:spacing w:before="0" w:beforeAutospacing="0" w:after="0" w:afterAutospacing="0"/>
                    <w:ind w:left="0" w:right="0" w:firstLine="0" w:firstLineChars="0"/>
                    <w:rPr>
                      <w:rFonts w:hint="default"/>
                      <w:color w:val="auto"/>
                      <w:highlight w:val="none"/>
                      <w:lang w:val="en-US" w:eastAsia="zh-CN"/>
                    </w:rPr>
                  </w:pPr>
                  <w:r>
                    <w:rPr>
                      <w:rFonts w:hint="eastAsia"/>
                      <w:color w:val="auto"/>
                      <w:highlight w:val="none"/>
                      <w:lang w:val="en-US" w:eastAsia="zh-CN"/>
                    </w:rPr>
                    <w:t>乙醛</w:t>
                  </w:r>
                </w:p>
              </w:tc>
              <w:tc>
                <w:tcPr>
                  <w:tcW w:w="1237" w:type="dxa"/>
                  <w:vAlign w:val="center"/>
                </w:tcPr>
                <w:p w14:paraId="628C6A6B">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0.017</w:t>
                  </w:r>
                </w:p>
              </w:tc>
              <w:tc>
                <w:tcPr>
                  <w:tcW w:w="863" w:type="dxa"/>
                  <w:vMerge w:val="continue"/>
                  <w:vAlign w:val="center"/>
                </w:tcPr>
                <w:p w14:paraId="0F602877">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olor w:val="auto"/>
                      <w:highlight w:val="none"/>
                    </w:rPr>
                  </w:pPr>
                </w:p>
              </w:tc>
              <w:tc>
                <w:tcPr>
                  <w:tcW w:w="762" w:type="dxa"/>
                  <w:vMerge w:val="continue"/>
                  <w:vAlign w:val="center"/>
                </w:tcPr>
                <w:p w14:paraId="561E85AC">
                  <w:pPr>
                    <w:pStyle w:val="21"/>
                    <w:keepNext w:val="0"/>
                    <w:keepLines w:val="0"/>
                    <w:suppressLineNumbers w:val="0"/>
                    <w:spacing w:before="0" w:beforeAutospacing="0" w:after="0" w:afterAutospacing="0"/>
                    <w:ind w:left="0" w:right="0" w:firstLine="0" w:firstLineChars="0"/>
                    <w:rPr>
                      <w:rFonts w:hint="eastAsia"/>
                      <w:color w:val="auto"/>
                      <w:highlight w:val="none"/>
                      <w:lang w:val="en-US" w:eastAsia="zh-CN"/>
                    </w:rPr>
                  </w:pPr>
                </w:p>
              </w:tc>
              <w:tc>
                <w:tcPr>
                  <w:tcW w:w="2015" w:type="dxa"/>
                  <w:vMerge w:val="continue"/>
                  <w:vAlign w:val="center"/>
                </w:tcPr>
                <w:p w14:paraId="13286DE8">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olor w:val="auto"/>
                      <w:highlight w:val="none"/>
                    </w:rPr>
                  </w:pPr>
                </w:p>
              </w:tc>
            </w:tr>
          </w:tbl>
          <w:p w14:paraId="0ED8FE1A">
            <w:pPr>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（3）废气排放口基本情况</w:t>
            </w:r>
          </w:p>
          <w:p w14:paraId="0606EA4A">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本项目有组织排放口基本情况见下表：</w:t>
            </w:r>
          </w:p>
          <w:p w14:paraId="14107443">
            <w:pPr>
              <w:pStyle w:val="23"/>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lang w:val="en-US" w:eastAsia="zh-CN"/>
              </w:rPr>
            </w:pPr>
            <w:r>
              <w:rPr>
                <w:rFonts w:hint="default" w:ascii="Times New Roman" w:hAnsi="Times New Roman" w:eastAsia="宋体"/>
                <w:color w:val="auto"/>
                <w:highlight w:val="none"/>
                <w:lang w:val="en-US" w:eastAsia="zh-CN"/>
              </w:rPr>
              <w:t>表4-</w:t>
            </w:r>
            <w:r>
              <w:rPr>
                <w:rFonts w:hint="eastAsia"/>
                <w:color w:val="auto"/>
                <w:highlight w:val="none"/>
                <w:lang w:val="en-US" w:eastAsia="zh-CN"/>
              </w:rPr>
              <w:t>5</w:t>
            </w:r>
            <w:r>
              <w:rPr>
                <w:rFonts w:hint="default" w:ascii="Times New Roman" w:hAnsi="Times New Roman" w:eastAsia="宋体"/>
                <w:color w:val="auto"/>
                <w:highlight w:val="none"/>
                <w:lang w:val="en-US" w:eastAsia="zh-CN"/>
              </w:rPr>
              <w:t>建设项目</w:t>
            </w:r>
            <w:r>
              <w:rPr>
                <w:rFonts w:hint="eastAsia" w:ascii="Times New Roman" w:hAnsi="Times New Roman" w:eastAsia="宋体"/>
                <w:color w:val="auto"/>
                <w:highlight w:val="none"/>
                <w:lang w:val="en-US" w:eastAsia="zh-CN"/>
              </w:rPr>
              <w:t>废气</w:t>
            </w:r>
            <w:r>
              <w:rPr>
                <w:rFonts w:hint="default" w:ascii="Times New Roman" w:hAnsi="Times New Roman" w:eastAsia="宋体"/>
                <w:color w:val="auto"/>
                <w:highlight w:val="none"/>
                <w:lang w:val="en-US" w:eastAsia="zh-CN"/>
              </w:rPr>
              <w:t>有组织</w:t>
            </w:r>
            <w:r>
              <w:rPr>
                <w:rFonts w:hint="eastAsia" w:ascii="Times New Roman" w:hAnsi="Times New Roman" w:eastAsia="宋体"/>
                <w:color w:val="auto"/>
                <w:highlight w:val="none"/>
                <w:lang w:val="en-US" w:eastAsia="zh-CN"/>
              </w:rPr>
              <w:t>排放口基本情况</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1" w:type="dxa"/>
                <w:bottom w:w="0" w:type="dxa"/>
                <w:right w:w="51" w:type="dxa"/>
              </w:tblCellMar>
            </w:tblPr>
            <w:tblGrid>
              <w:gridCol w:w="452"/>
              <w:gridCol w:w="1143"/>
              <w:gridCol w:w="458"/>
              <w:gridCol w:w="483"/>
              <w:gridCol w:w="585"/>
              <w:gridCol w:w="635"/>
              <w:gridCol w:w="725"/>
              <w:gridCol w:w="1157"/>
              <w:gridCol w:w="2326"/>
            </w:tblGrid>
            <w:tr w14:paraId="14C7B1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101" w:hRule="atLeast"/>
                <w:jc w:val="center"/>
              </w:trPr>
              <w:tc>
                <w:tcPr>
                  <w:tcW w:w="283" w:type="pct"/>
                  <w:tcBorders>
                    <w:tl2br w:val="nil"/>
                    <w:tr2bl w:val="nil"/>
                  </w:tcBorders>
                  <w:tcMar>
                    <w:left w:w="0" w:type="dxa"/>
                    <w:right w:w="0" w:type="dxa"/>
                  </w:tcMar>
                  <w:vAlign w:val="center"/>
                </w:tcPr>
                <w:p w14:paraId="1801FC3A">
                  <w:pPr>
                    <w:pStyle w:val="21"/>
                    <w:keepNext w:val="0"/>
                    <w:keepLines w:val="0"/>
                    <w:suppressLineNumbers w:val="0"/>
                    <w:bidi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rPr>
                    <w:t>序号</w:t>
                  </w:r>
                </w:p>
              </w:tc>
              <w:tc>
                <w:tcPr>
                  <w:tcW w:w="717" w:type="pct"/>
                  <w:tcBorders>
                    <w:tl2br w:val="nil"/>
                    <w:tr2bl w:val="nil"/>
                  </w:tcBorders>
                  <w:shd w:val="clear" w:color="auto" w:fill="auto"/>
                  <w:tcMar>
                    <w:left w:w="0" w:type="dxa"/>
                    <w:right w:w="0" w:type="dxa"/>
                  </w:tcMar>
                  <w:vAlign w:val="center"/>
                </w:tcPr>
                <w:p w14:paraId="1B5940B1">
                  <w:pPr>
                    <w:pStyle w:val="21"/>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b/>
                      <w:bCs/>
                      <w:color w:val="auto"/>
                      <w:sz w:val="21"/>
                      <w:szCs w:val="24"/>
                      <w:highlight w:val="none"/>
                      <w:lang w:val="zh-CN" w:eastAsia="zh-CN" w:bidi="zh-CN"/>
                    </w:rPr>
                  </w:pPr>
                  <w:r>
                    <w:rPr>
                      <w:rFonts w:hint="eastAsia" w:ascii="Times New Roman" w:hAnsi="Times New Roman" w:eastAsia="宋体"/>
                      <w:b/>
                      <w:bCs/>
                      <w:color w:val="auto"/>
                      <w:highlight w:val="none"/>
                    </w:rPr>
                    <w:t>编号及名称</w:t>
                  </w:r>
                </w:p>
              </w:tc>
              <w:tc>
                <w:tcPr>
                  <w:tcW w:w="287" w:type="pct"/>
                  <w:tcBorders>
                    <w:tl2br w:val="nil"/>
                    <w:tr2bl w:val="nil"/>
                  </w:tcBorders>
                  <w:shd w:val="clear" w:color="auto" w:fill="auto"/>
                  <w:tcMar>
                    <w:left w:w="0" w:type="dxa"/>
                    <w:right w:w="0" w:type="dxa"/>
                  </w:tcMar>
                  <w:vAlign w:val="center"/>
                </w:tcPr>
                <w:p w14:paraId="15405A1A">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b/>
                      <w:bCs/>
                      <w:color w:val="auto"/>
                      <w:sz w:val="21"/>
                      <w:szCs w:val="24"/>
                      <w:highlight w:val="none"/>
                      <w:lang w:val="zh-CN" w:eastAsia="zh-CN" w:bidi="zh-CN"/>
                    </w:rPr>
                  </w:pPr>
                  <w:r>
                    <w:rPr>
                      <w:rFonts w:hint="eastAsia" w:ascii="Times New Roman" w:hAnsi="Times New Roman" w:eastAsia="宋体"/>
                      <w:b/>
                      <w:bCs/>
                      <w:color w:val="auto"/>
                      <w:highlight w:val="none"/>
                    </w:rPr>
                    <w:t>高度</w:t>
                  </w:r>
                </w:p>
              </w:tc>
              <w:tc>
                <w:tcPr>
                  <w:tcW w:w="303" w:type="pct"/>
                  <w:tcBorders>
                    <w:tl2br w:val="nil"/>
                    <w:tr2bl w:val="nil"/>
                  </w:tcBorders>
                  <w:shd w:val="clear" w:color="auto" w:fill="auto"/>
                  <w:tcMar>
                    <w:left w:w="0" w:type="dxa"/>
                    <w:right w:w="0" w:type="dxa"/>
                  </w:tcMar>
                  <w:vAlign w:val="center"/>
                </w:tcPr>
                <w:p w14:paraId="6720E690">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b/>
                      <w:bCs/>
                      <w:color w:val="auto"/>
                      <w:sz w:val="21"/>
                      <w:szCs w:val="24"/>
                      <w:highlight w:val="none"/>
                      <w:lang w:val="zh-CN" w:eastAsia="zh-CN" w:bidi="zh-CN"/>
                    </w:rPr>
                  </w:pPr>
                  <w:r>
                    <w:rPr>
                      <w:rFonts w:hint="eastAsia" w:ascii="Times New Roman" w:hAnsi="Times New Roman" w:eastAsia="宋体"/>
                      <w:b/>
                      <w:bCs/>
                      <w:color w:val="auto"/>
                      <w:highlight w:val="none"/>
                    </w:rPr>
                    <w:t>内径</w:t>
                  </w:r>
                </w:p>
              </w:tc>
              <w:tc>
                <w:tcPr>
                  <w:tcW w:w="367" w:type="pct"/>
                  <w:tcBorders>
                    <w:tl2br w:val="nil"/>
                    <w:tr2bl w:val="nil"/>
                  </w:tcBorders>
                  <w:shd w:val="clear" w:color="auto" w:fill="auto"/>
                  <w:vAlign w:val="center"/>
                </w:tcPr>
                <w:p w14:paraId="5904B830">
                  <w:pPr>
                    <w:pStyle w:val="21"/>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b/>
                      <w:bCs/>
                      <w:color w:val="auto"/>
                      <w:sz w:val="21"/>
                      <w:szCs w:val="24"/>
                      <w:highlight w:val="none"/>
                      <w:lang w:val="zh-CN" w:eastAsia="zh-CN" w:bidi="zh-CN"/>
                    </w:rPr>
                  </w:pPr>
                  <w:r>
                    <w:rPr>
                      <w:rFonts w:hint="eastAsia" w:ascii="Times New Roman" w:hAnsi="Times New Roman" w:eastAsia="宋体"/>
                      <w:b/>
                      <w:bCs/>
                      <w:color w:val="auto"/>
                      <w:highlight w:val="none"/>
                    </w:rPr>
                    <w:t>温度</w:t>
                  </w:r>
                </w:p>
              </w:tc>
              <w:tc>
                <w:tcPr>
                  <w:tcW w:w="398" w:type="pct"/>
                  <w:tcBorders>
                    <w:tl2br w:val="nil"/>
                    <w:tr2bl w:val="nil"/>
                  </w:tcBorders>
                  <w:shd w:val="clear" w:color="auto" w:fill="auto"/>
                  <w:tcMar>
                    <w:left w:w="0" w:type="dxa"/>
                    <w:right w:w="0" w:type="dxa"/>
                  </w:tcMar>
                  <w:vAlign w:val="center"/>
                </w:tcPr>
                <w:p w14:paraId="54904778">
                  <w:pPr>
                    <w:pStyle w:val="21"/>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b/>
                      <w:bCs/>
                      <w:color w:val="auto"/>
                      <w:sz w:val="21"/>
                      <w:szCs w:val="24"/>
                      <w:highlight w:val="none"/>
                      <w:lang w:val="zh-CN" w:eastAsia="zh-CN" w:bidi="zh-CN"/>
                    </w:rPr>
                  </w:pPr>
                  <w:r>
                    <w:rPr>
                      <w:rFonts w:hint="eastAsia" w:ascii="Times New Roman" w:hAnsi="Times New Roman" w:eastAsia="宋体"/>
                      <w:b/>
                      <w:bCs/>
                      <w:color w:val="auto"/>
                      <w:highlight w:val="none"/>
                      <w:lang w:val="en-US" w:eastAsia="zh-CN"/>
                    </w:rPr>
                    <w:t>风量</w:t>
                  </w:r>
                </w:p>
              </w:tc>
              <w:tc>
                <w:tcPr>
                  <w:tcW w:w="455" w:type="pct"/>
                  <w:tcBorders>
                    <w:tl2br w:val="nil"/>
                    <w:tr2bl w:val="nil"/>
                  </w:tcBorders>
                  <w:shd w:val="clear" w:color="auto" w:fill="auto"/>
                  <w:tcMar>
                    <w:left w:w="0" w:type="dxa"/>
                    <w:right w:w="0" w:type="dxa"/>
                  </w:tcMar>
                  <w:vAlign w:val="center"/>
                </w:tcPr>
                <w:p w14:paraId="2A71C8A8">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b/>
                      <w:bCs/>
                      <w:color w:val="auto"/>
                      <w:sz w:val="21"/>
                      <w:szCs w:val="24"/>
                      <w:highlight w:val="none"/>
                      <w:lang w:val="en-US" w:eastAsia="zh-CN" w:bidi="zh-CN"/>
                    </w:rPr>
                  </w:pPr>
                  <w:r>
                    <w:rPr>
                      <w:rFonts w:hint="eastAsia" w:ascii="Times New Roman" w:hAnsi="Times New Roman" w:eastAsia="宋体" w:cs="Times New Roman"/>
                      <w:b/>
                      <w:bCs/>
                      <w:color w:val="auto"/>
                      <w:sz w:val="21"/>
                      <w:szCs w:val="24"/>
                      <w:highlight w:val="none"/>
                      <w:lang w:val="en-US" w:eastAsia="zh-CN" w:bidi="zh-CN"/>
                    </w:rPr>
                    <w:t>流速</w:t>
                  </w:r>
                </w:p>
              </w:tc>
              <w:tc>
                <w:tcPr>
                  <w:tcW w:w="726" w:type="pct"/>
                  <w:tcBorders>
                    <w:tl2br w:val="nil"/>
                    <w:tr2bl w:val="nil"/>
                  </w:tcBorders>
                  <w:shd w:val="clear" w:color="auto" w:fill="auto"/>
                  <w:tcMar>
                    <w:left w:w="0" w:type="dxa"/>
                    <w:right w:w="0" w:type="dxa"/>
                  </w:tcMar>
                  <w:vAlign w:val="center"/>
                </w:tcPr>
                <w:p w14:paraId="20F5DDB0">
                  <w:pPr>
                    <w:pStyle w:val="21"/>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b/>
                      <w:bCs/>
                      <w:color w:val="auto"/>
                      <w:sz w:val="21"/>
                      <w:szCs w:val="24"/>
                      <w:highlight w:val="none"/>
                      <w:lang w:val="zh-CN" w:eastAsia="zh-CN" w:bidi="zh-CN"/>
                    </w:rPr>
                  </w:pPr>
                  <w:r>
                    <w:rPr>
                      <w:rFonts w:hint="eastAsia" w:ascii="Times New Roman" w:hAnsi="Times New Roman" w:eastAsia="宋体"/>
                      <w:b/>
                      <w:bCs/>
                      <w:color w:val="auto"/>
                      <w:highlight w:val="none"/>
                      <w:lang w:val="en-US" w:eastAsia="zh-CN"/>
                    </w:rPr>
                    <w:t>排放口</w:t>
                  </w:r>
                  <w:r>
                    <w:rPr>
                      <w:rFonts w:hint="eastAsia" w:ascii="Times New Roman" w:hAnsi="Times New Roman" w:eastAsia="宋体"/>
                      <w:b/>
                      <w:bCs/>
                      <w:color w:val="auto"/>
                      <w:highlight w:val="none"/>
                    </w:rPr>
                    <w:t>类型</w:t>
                  </w:r>
                </w:p>
              </w:tc>
              <w:tc>
                <w:tcPr>
                  <w:tcW w:w="1460" w:type="pct"/>
                  <w:tcBorders>
                    <w:tl2br w:val="nil"/>
                    <w:tr2bl w:val="nil"/>
                  </w:tcBorders>
                  <w:shd w:val="clear" w:color="auto" w:fill="auto"/>
                  <w:tcMar>
                    <w:left w:w="0" w:type="dxa"/>
                    <w:right w:w="0" w:type="dxa"/>
                  </w:tcMar>
                  <w:vAlign w:val="center"/>
                </w:tcPr>
                <w:p w14:paraId="72CB9665">
                  <w:pPr>
                    <w:pStyle w:val="21"/>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b/>
                      <w:bCs/>
                      <w:color w:val="auto"/>
                      <w:sz w:val="21"/>
                      <w:szCs w:val="24"/>
                      <w:highlight w:val="none"/>
                      <w:lang w:val="zh-CN" w:eastAsia="zh-CN" w:bidi="zh-CN"/>
                    </w:rPr>
                  </w:pPr>
                  <w:r>
                    <w:rPr>
                      <w:rFonts w:hint="eastAsia" w:ascii="Times New Roman" w:hAnsi="Times New Roman" w:eastAsia="宋体"/>
                      <w:b/>
                      <w:bCs/>
                      <w:color w:val="auto"/>
                      <w:highlight w:val="none"/>
                    </w:rPr>
                    <w:t>地理坐标</w:t>
                  </w:r>
                </w:p>
              </w:tc>
            </w:tr>
            <w:tr w14:paraId="4C23B2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283" w:type="pct"/>
                  <w:tcBorders>
                    <w:tl2br w:val="nil"/>
                    <w:tr2bl w:val="nil"/>
                  </w:tcBorders>
                  <w:tcMar>
                    <w:left w:w="0" w:type="dxa"/>
                    <w:right w:w="0" w:type="dxa"/>
                  </w:tcMar>
                  <w:vAlign w:val="center"/>
                </w:tcPr>
                <w:p w14:paraId="50255155">
                  <w:pPr>
                    <w:pStyle w:val="21"/>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1</w:t>
                  </w:r>
                </w:p>
              </w:tc>
              <w:tc>
                <w:tcPr>
                  <w:tcW w:w="717" w:type="pct"/>
                  <w:tcBorders>
                    <w:tl2br w:val="nil"/>
                    <w:tr2bl w:val="nil"/>
                  </w:tcBorders>
                  <w:shd w:val="clear" w:color="auto" w:fill="auto"/>
                  <w:tcMar>
                    <w:left w:w="0" w:type="dxa"/>
                    <w:right w:w="0" w:type="dxa"/>
                  </w:tcMar>
                  <w:vAlign w:val="center"/>
                </w:tcPr>
                <w:p w14:paraId="17B91E8D">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DA00</w:t>
                  </w:r>
                  <w:r>
                    <w:rPr>
                      <w:rFonts w:hint="eastAsia"/>
                      <w:color w:val="auto"/>
                      <w:highlight w:val="none"/>
                      <w:lang w:val="en-US" w:eastAsia="zh-CN"/>
                    </w:rPr>
                    <w:t>1</w:t>
                  </w:r>
                  <w:r>
                    <w:rPr>
                      <w:rFonts w:hint="eastAsia" w:ascii="Times New Roman" w:hAnsi="Times New Roman" w:eastAsia="宋体"/>
                      <w:color w:val="auto"/>
                      <w:highlight w:val="none"/>
                      <w:lang w:val="en-US" w:eastAsia="zh-CN"/>
                    </w:rPr>
                    <w:t>排气筒</w:t>
                  </w:r>
                </w:p>
              </w:tc>
              <w:tc>
                <w:tcPr>
                  <w:tcW w:w="287" w:type="pct"/>
                  <w:tcBorders>
                    <w:tl2br w:val="nil"/>
                    <w:tr2bl w:val="nil"/>
                  </w:tcBorders>
                  <w:shd w:val="clear" w:color="auto" w:fill="auto"/>
                  <w:tcMar>
                    <w:left w:w="0" w:type="dxa"/>
                    <w:right w:w="0" w:type="dxa"/>
                  </w:tcMar>
                  <w:vAlign w:val="center"/>
                </w:tcPr>
                <w:p w14:paraId="622DF60C">
                  <w:pPr>
                    <w:pStyle w:val="21"/>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15</w:t>
                  </w:r>
                  <w:r>
                    <w:rPr>
                      <w:rFonts w:hint="eastAsia"/>
                      <w:color w:val="auto"/>
                      <w:highlight w:val="none"/>
                      <w:lang w:val="en-US" w:eastAsia="zh-CN"/>
                    </w:rPr>
                    <w:t>m</w:t>
                  </w:r>
                </w:p>
              </w:tc>
              <w:tc>
                <w:tcPr>
                  <w:tcW w:w="303" w:type="pct"/>
                  <w:tcBorders>
                    <w:tl2br w:val="nil"/>
                    <w:tr2bl w:val="nil"/>
                  </w:tcBorders>
                  <w:shd w:val="clear" w:color="auto" w:fill="auto"/>
                  <w:tcMar>
                    <w:left w:w="0" w:type="dxa"/>
                    <w:right w:w="0" w:type="dxa"/>
                  </w:tcMar>
                  <w:vAlign w:val="center"/>
                </w:tcPr>
                <w:p w14:paraId="1E4FB5B4">
                  <w:pPr>
                    <w:pStyle w:val="21"/>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0.8m</w:t>
                  </w:r>
                </w:p>
              </w:tc>
              <w:tc>
                <w:tcPr>
                  <w:tcW w:w="367" w:type="pct"/>
                  <w:tcBorders>
                    <w:tl2br w:val="nil"/>
                    <w:tr2bl w:val="nil"/>
                  </w:tcBorders>
                  <w:shd w:val="clear" w:color="auto" w:fill="auto"/>
                  <w:vAlign w:val="center"/>
                </w:tcPr>
                <w:p w14:paraId="1E3BD8F9">
                  <w:pPr>
                    <w:pStyle w:val="21"/>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20</w:t>
                  </w:r>
                  <w:r>
                    <w:rPr>
                      <w:rFonts w:hint="eastAsia"/>
                      <w:color w:val="auto"/>
                      <w:highlight w:val="none"/>
                      <w:lang w:val="en-US" w:eastAsia="zh-CN"/>
                    </w:rPr>
                    <w:t>℃</w:t>
                  </w:r>
                </w:p>
              </w:tc>
              <w:tc>
                <w:tcPr>
                  <w:tcW w:w="398" w:type="pct"/>
                  <w:tcBorders>
                    <w:tl2br w:val="nil"/>
                    <w:tr2bl w:val="nil"/>
                  </w:tcBorders>
                  <w:shd w:val="clear" w:color="auto" w:fill="auto"/>
                  <w:tcMar>
                    <w:left w:w="0" w:type="dxa"/>
                    <w:right w:w="0" w:type="dxa"/>
                  </w:tcMar>
                  <w:vAlign w:val="center"/>
                </w:tcPr>
                <w:p w14:paraId="56A0C833">
                  <w:pPr>
                    <w:pStyle w:val="21"/>
                    <w:keepNext w:val="0"/>
                    <w:keepLines w:val="0"/>
                    <w:suppressLineNumbers w:val="0"/>
                    <w:bidi w:val="0"/>
                    <w:spacing w:before="0" w:beforeAutospacing="0" w:after="0" w:afterAutospacing="0"/>
                    <w:ind w:left="0" w:right="0"/>
                    <w:rPr>
                      <w:rFonts w:hint="default"/>
                      <w:color w:val="auto"/>
                      <w:highlight w:val="none"/>
                      <w:vertAlign w:val="superscript"/>
                      <w:lang w:val="en-US" w:eastAsia="zh-CN"/>
                    </w:rPr>
                  </w:pPr>
                  <w:r>
                    <w:rPr>
                      <w:rFonts w:hint="eastAsia"/>
                      <w:color w:val="auto"/>
                      <w:highlight w:val="none"/>
                      <w:lang w:val="en-US" w:eastAsia="zh-CN"/>
                    </w:rPr>
                    <w:t>5</w:t>
                  </w:r>
                  <w:r>
                    <w:rPr>
                      <w:rFonts w:hint="default"/>
                      <w:color w:val="auto"/>
                      <w:highlight w:val="none"/>
                      <w:lang w:val="en-US" w:eastAsia="zh-CN"/>
                    </w:rPr>
                    <w:t>000</w:t>
                  </w:r>
                  <w:r>
                    <w:rPr>
                      <w:rFonts w:hint="eastAsia"/>
                      <w:color w:val="auto"/>
                      <w:highlight w:val="none"/>
                      <w:lang w:val="en-US" w:eastAsia="zh-CN"/>
                    </w:rPr>
                    <w:t>m</w:t>
                  </w:r>
                  <w:r>
                    <w:rPr>
                      <w:rFonts w:hint="eastAsia"/>
                      <w:color w:val="auto"/>
                      <w:highlight w:val="none"/>
                      <w:vertAlign w:val="superscript"/>
                      <w:lang w:val="en-US" w:eastAsia="zh-CN"/>
                    </w:rPr>
                    <w:t>3</w:t>
                  </w:r>
                  <w:r>
                    <w:rPr>
                      <w:rFonts w:hint="eastAsia"/>
                      <w:color w:val="auto"/>
                      <w:highlight w:val="none"/>
                      <w:vertAlign w:val="baseline"/>
                      <w:lang w:val="en-US" w:eastAsia="zh-CN"/>
                    </w:rPr>
                    <w:t>/h</w:t>
                  </w:r>
                </w:p>
              </w:tc>
              <w:tc>
                <w:tcPr>
                  <w:tcW w:w="455" w:type="pct"/>
                  <w:tcBorders>
                    <w:tl2br w:val="nil"/>
                    <w:tr2bl w:val="nil"/>
                  </w:tcBorders>
                  <w:shd w:val="clear" w:color="auto" w:fill="auto"/>
                  <w:tcMar>
                    <w:left w:w="0" w:type="dxa"/>
                    <w:right w:w="0" w:type="dxa"/>
                  </w:tcMar>
                  <w:vAlign w:val="center"/>
                </w:tcPr>
                <w:p w14:paraId="7BD4080C">
                  <w:pPr>
                    <w:pStyle w:val="21"/>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13.8m/s</w:t>
                  </w:r>
                </w:p>
              </w:tc>
              <w:tc>
                <w:tcPr>
                  <w:tcW w:w="726" w:type="pct"/>
                  <w:tcBorders>
                    <w:tl2br w:val="nil"/>
                    <w:tr2bl w:val="nil"/>
                  </w:tcBorders>
                  <w:shd w:val="clear" w:color="auto" w:fill="auto"/>
                  <w:tcMar>
                    <w:left w:w="0" w:type="dxa"/>
                    <w:right w:w="0" w:type="dxa"/>
                  </w:tcMar>
                  <w:vAlign w:val="center"/>
                </w:tcPr>
                <w:p w14:paraId="175DF4E0">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一般排放口</w:t>
                  </w:r>
                </w:p>
              </w:tc>
              <w:tc>
                <w:tcPr>
                  <w:tcW w:w="1460" w:type="pct"/>
                  <w:tcBorders>
                    <w:tl2br w:val="nil"/>
                    <w:tr2bl w:val="nil"/>
                  </w:tcBorders>
                  <w:shd w:val="clear" w:color="auto" w:fill="auto"/>
                  <w:tcMar>
                    <w:left w:w="0" w:type="dxa"/>
                    <w:right w:w="0" w:type="dxa"/>
                  </w:tcMar>
                  <w:vAlign w:val="center"/>
                </w:tcPr>
                <w:p w14:paraId="278310B0">
                  <w:pPr>
                    <w:pStyle w:val="21"/>
                    <w:keepNext w:val="0"/>
                    <w:keepLines w:val="0"/>
                    <w:suppressLineNumbers w:val="0"/>
                    <w:bidi w:val="0"/>
                    <w:spacing w:before="0" w:beforeAutospacing="0" w:after="0" w:afterAutospacing="0"/>
                    <w:ind w:left="0" w:right="0" w:firstLine="0" w:firstLineChars="0"/>
                    <w:rPr>
                      <w:rFonts w:hint="eastAsia"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东经</w:t>
                  </w:r>
                  <w:r>
                    <w:rPr>
                      <w:rFonts w:hint="eastAsia" w:ascii="Times New Roman" w:hAnsi="Times New Roman" w:eastAsia="宋体" w:cs="Times New Roman"/>
                      <w:color w:val="auto"/>
                      <w:sz w:val="21"/>
                      <w:szCs w:val="24"/>
                      <w:highlight w:val="none"/>
                      <w:lang w:val="zh-CN" w:eastAsia="zh-CN" w:bidi="zh-CN"/>
                    </w:rPr>
                    <w:t>118°47′44.</w:t>
                  </w:r>
                  <w:r>
                    <w:rPr>
                      <w:rFonts w:hint="eastAsia" w:cs="Times New Roman"/>
                      <w:color w:val="auto"/>
                      <w:sz w:val="21"/>
                      <w:szCs w:val="24"/>
                      <w:highlight w:val="none"/>
                      <w:lang w:val="en-US" w:eastAsia="zh-CN" w:bidi="zh-CN"/>
                    </w:rPr>
                    <w:t>2″</w:t>
                  </w:r>
                </w:p>
                <w:p w14:paraId="1C6E4B81">
                  <w:pPr>
                    <w:pStyle w:val="21"/>
                    <w:keepNext w:val="0"/>
                    <w:keepLines w:val="0"/>
                    <w:suppressLineNumbers w:val="0"/>
                    <w:bidi w:val="0"/>
                    <w:spacing w:before="0" w:beforeAutospacing="0" w:after="0" w:afterAutospacing="0"/>
                    <w:ind w:left="0" w:right="0" w:firstLine="0" w:firstLineChars="0"/>
                    <w:rPr>
                      <w:rFonts w:hint="default"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北纬31°47′46.71″</w:t>
                  </w:r>
                </w:p>
              </w:tc>
            </w:tr>
          </w:tbl>
          <w:p w14:paraId="4EADBE52">
            <w:pPr>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（4）废气污染治理设施可行性分析</w:t>
            </w:r>
          </w:p>
          <w:p w14:paraId="11F14F6E">
            <w:pPr>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1）废气收集、处理、排放的方式</w:t>
            </w:r>
          </w:p>
          <w:p w14:paraId="47872B1F">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本项目营运期产生的废气主要为</w:t>
            </w:r>
            <w:r>
              <w:rPr>
                <w:rFonts w:hint="eastAsia"/>
                <w:color w:val="auto"/>
                <w:highlight w:val="none"/>
                <w:lang w:val="en-US" w:eastAsia="zh-CN"/>
              </w:rPr>
              <w:t>注塑、压盖过程中产生的注塑废气</w:t>
            </w:r>
            <w:r>
              <w:rPr>
                <w:rFonts w:hint="default" w:ascii="Times New Roman" w:hAnsi="Times New Roman" w:eastAsia="宋体"/>
                <w:color w:val="auto"/>
                <w:highlight w:val="none"/>
                <w:lang w:val="en-US"/>
              </w:rPr>
              <w:t>G1</w:t>
            </w:r>
            <w:r>
              <w:rPr>
                <w:rFonts w:hint="eastAsia"/>
                <w:color w:val="auto"/>
                <w:highlight w:val="none"/>
                <w:lang w:val="en-US" w:eastAsia="zh-CN"/>
              </w:rPr>
              <w:t>、压盖废气G2</w:t>
            </w:r>
            <w:r>
              <w:rPr>
                <w:rFonts w:hint="eastAsia" w:ascii="Times New Roman" w:hAnsi="Times New Roman" w:eastAsia="宋体"/>
                <w:color w:val="auto"/>
                <w:highlight w:val="none"/>
                <w:lang w:val="en-US" w:eastAsia="zh-CN"/>
              </w:rPr>
              <w:t>，</w:t>
            </w:r>
            <w:r>
              <w:rPr>
                <w:rFonts w:hint="eastAsia"/>
                <w:color w:val="auto"/>
                <w:highlight w:val="none"/>
                <w:lang w:val="en-US" w:eastAsia="zh-CN"/>
              </w:rPr>
              <w:t>吹制成瓶过程中产生的吹瓶废气</w:t>
            </w:r>
            <w:r>
              <w:rPr>
                <w:rFonts w:hint="default" w:ascii="Times New Roman" w:hAnsi="Times New Roman" w:eastAsia="宋体"/>
                <w:color w:val="auto"/>
                <w:highlight w:val="none"/>
                <w:lang w:val="en-US"/>
              </w:rPr>
              <w:t>G</w:t>
            </w:r>
            <w:r>
              <w:rPr>
                <w:rFonts w:hint="eastAsia"/>
                <w:color w:val="auto"/>
                <w:highlight w:val="none"/>
                <w:lang w:val="en-US" w:eastAsia="zh-CN"/>
              </w:rPr>
              <w:t>3</w:t>
            </w:r>
            <w:r>
              <w:rPr>
                <w:rFonts w:hint="eastAsia" w:ascii="Times New Roman" w:hAnsi="Times New Roman" w:eastAsia="宋体"/>
                <w:color w:val="auto"/>
                <w:highlight w:val="none"/>
                <w:lang w:val="en-US" w:eastAsia="zh-CN"/>
              </w:rPr>
              <w:t>，</w:t>
            </w:r>
            <w:r>
              <w:rPr>
                <w:rFonts w:hint="eastAsia"/>
                <w:color w:val="auto"/>
                <w:highlight w:val="none"/>
                <w:lang w:val="en-US" w:eastAsia="zh-CN"/>
              </w:rPr>
              <w:t>打码过程中产生的打码废气</w:t>
            </w:r>
            <w:r>
              <w:rPr>
                <w:rFonts w:hint="default" w:ascii="Times New Roman" w:hAnsi="Times New Roman" w:eastAsia="宋体"/>
                <w:color w:val="auto"/>
                <w:highlight w:val="none"/>
                <w:lang w:val="en-US"/>
              </w:rPr>
              <w:t>G</w:t>
            </w:r>
            <w:r>
              <w:rPr>
                <w:rFonts w:hint="eastAsia"/>
                <w:color w:val="auto"/>
                <w:highlight w:val="none"/>
                <w:lang w:val="en-US" w:eastAsia="zh-CN"/>
              </w:rPr>
              <w:t>4，设备清洗过程中产生的设备清洗废气G5</w:t>
            </w:r>
            <w:r>
              <w:rPr>
                <w:rFonts w:hint="eastAsia" w:ascii="Times New Roman" w:hAnsi="Times New Roman" w:eastAsia="宋体"/>
                <w:color w:val="auto"/>
                <w:highlight w:val="none"/>
                <w:lang w:val="en-US" w:eastAsia="zh-CN"/>
              </w:rPr>
              <w:t>，</w:t>
            </w:r>
            <w:r>
              <w:rPr>
                <w:rFonts w:hint="eastAsia"/>
                <w:color w:val="auto"/>
                <w:highlight w:val="none"/>
                <w:lang w:val="en-US" w:eastAsia="zh-CN"/>
              </w:rPr>
              <w:t>废水处理过程中产生的恶臭废气G6，危废贮存过程中产生的危废贮存废气G7，及食堂油烟G8</w:t>
            </w:r>
            <w:r>
              <w:rPr>
                <w:rFonts w:hint="eastAsia" w:ascii="Times New Roman" w:hAnsi="Times New Roman" w:eastAsia="宋体"/>
                <w:color w:val="auto"/>
                <w:highlight w:val="none"/>
                <w:lang w:val="en-US"/>
              </w:rPr>
              <w:t>。</w:t>
            </w:r>
          </w:p>
          <w:p w14:paraId="24CC9A1A">
            <w:pPr>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其中</w:t>
            </w:r>
            <w:r>
              <w:rPr>
                <w:rFonts w:hint="eastAsia"/>
                <w:color w:val="auto"/>
                <w:highlight w:val="none"/>
                <w:lang w:val="en-US" w:eastAsia="zh-CN"/>
              </w:rPr>
              <w:t>注塑废气、</w:t>
            </w:r>
            <w:r>
              <w:rPr>
                <w:rFonts w:hint="eastAsia" w:ascii="宋体" w:hAnsi="宋体" w:eastAsia="宋体"/>
                <w:color w:val="auto"/>
                <w:lang w:val="en-US" w:eastAsia="zh-CN"/>
              </w:rPr>
              <w:t>吹瓶废气</w:t>
            </w:r>
            <w:r>
              <w:rPr>
                <w:rFonts w:hint="eastAsia"/>
                <w:color w:val="auto"/>
                <w:highlight w:val="none"/>
                <w:lang w:val="en-US" w:eastAsia="zh-CN"/>
              </w:rPr>
              <w:t>集气罩，压盖废气密闭</w:t>
            </w:r>
            <w:r>
              <w:rPr>
                <w:rFonts w:hint="eastAsia" w:ascii="Times New Roman" w:hAnsi="Times New Roman" w:eastAsia="宋体"/>
                <w:color w:val="auto"/>
                <w:highlight w:val="none"/>
                <w:lang w:val="en-US" w:eastAsia="zh-CN"/>
              </w:rPr>
              <w:t>收集，</w:t>
            </w:r>
            <w:r>
              <w:rPr>
                <w:rFonts w:hint="eastAsia"/>
                <w:color w:val="auto"/>
                <w:highlight w:val="none"/>
                <w:lang w:val="en-US" w:eastAsia="zh-CN"/>
              </w:rPr>
              <w:t>然后</w:t>
            </w:r>
            <w:r>
              <w:rPr>
                <w:rFonts w:hint="eastAsia" w:ascii="Times New Roman" w:hAnsi="Times New Roman" w:eastAsia="宋体"/>
                <w:color w:val="auto"/>
                <w:highlight w:val="none"/>
                <w:lang w:val="en-US" w:eastAsia="zh-CN"/>
              </w:rPr>
              <w:t>经</w:t>
            </w:r>
            <w:r>
              <w:rPr>
                <w:rFonts w:hint="eastAsia"/>
                <w:color w:val="auto"/>
                <w:highlight w:val="none"/>
                <w:lang w:val="en-US" w:eastAsia="zh-CN"/>
              </w:rPr>
              <w:t>二级活性炭吸附</w:t>
            </w:r>
            <w:r>
              <w:rPr>
                <w:rFonts w:hint="eastAsia" w:ascii="Times New Roman" w:hAnsi="Times New Roman" w:eastAsia="宋体"/>
                <w:color w:val="auto"/>
                <w:highlight w:val="none"/>
                <w:lang w:val="en-US" w:eastAsia="zh-CN"/>
              </w:rPr>
              <w:t>处理后通过</w:t>
            </w:r>
            <w:r>
              <w:rPr>
                <w:rFonts w:hint="eastAsia"/>
                <w:color w:val="auto"/>
                <w:highlight w:val="none"/>
                <w:lang w:val="en-US" w:eastAsia="zh-CN"/>
              </w:rPr>
              <w:t>15</w:t>
            </w:r>
            <w:r>
              <w:rPr>
                <w:rFonts w:hint="eastAsia" w:ascii="Times New Roman" w:hAnsi="Times New Roman" w:eastAsia="宋体"/>
                <w:color w:val="auto"/>
                <w:highlight w:val="none"/>
                <w:lang w:val="en-US" w:eastAsia="zh-CN"/>
              </w:rPr>
              <w:t>米高排气筒DA00</w:t>
            </w:r>
            <w:r>
              <w:rPr>
                <w:rFonts w:hint="eastAsia"/>
                <w:color w:val="auto"/>
                <w:highlight w:val="none"/>
                <w:lang w:val="en-US" w:eastAsia="zh-CN"/>
              </w:rPr>
              <w:t>1</w:t>
            </w:r>
            <w:r>
              <w:rPr>
                <w:rFonts w:hint="eastAsia" w:ascii="Times New Roman" w:hAnsi="Times New Roman" w:eastAsia="宋体"/>
                <w:color w:val="auto"/>
                <w:highlight w:val="none"/>
                <w:lang w:val="en-US" w:eastAsia="zh-CN"/>
              </w:rPr>
              <w:t>排放</w:t>
            </w:r>
            <w:r>
              <w:rPr>
                <w:rFonts w:hint="eastAsia"/>
                <w:color w:val="auto"/>
                <w:highlight w:val="none"/>
                <w:lang w:val="en-US" w:eastAsia="zh-CN"/>
              </w:rPr>
              <w:t>，恶臭气体在南京娃哈哈饮料有限公司厂区污水处理站无组织排放</w:t>
            </w:r>
            <w:r>
              <w:rPr>
                <w:rFonts w:hint="eastAsia" w:ascii="Times New Roman" w:hAnsi="Times New Roman" w:eastAsia="宋体"/>
                <w:color w:val="auto"/>
                <w:highlight w:val="none"/>
                <w:lang w:val="en-US" w:eastAsia="zh-CN"/>
              </w:rPr>
              <w:t>。未被收集的</w:t>
            </w:r>
            <w:r>
              <w:rPr>
                <w:rFonts w:hint="eastAsia"/>
                <w:color w:val="auto"/>
                <w:highlight w:val="none"/>
                <w:lang w:val="en-US" w:eastAsia="zh-CN"/>
              </w:rPr>
              <w:t>非甲烷总烃</w:t>
            </w:r>
            <w:r>
              <w:rPr>
                <w:rFonts w:hint="eastAsia" w:ascii="Times New Roman" w:hAnsi="Times New Roman" w:eastAsia="宋体"/>
                <w:color w:val="auto"/>
                <w:highlight w:val="none"/>
                <w:lang w:val="en-US" w:eastAsia="zh-CN"/>
              </w:rPr>
              <w:t>、</w:t>
            </w:r>
            <w:r>
              <w:rPr>
                <w:rFonts w:hint="eastAsia" w:ascii="Times New Roman" w:hAnsi="Times New Roman" w:eastAsia="宋体"/>
                <w:color w:val="auto"/>
                <w:highlight w:val="none"/>
                <w:lang w:val="en-US"/>
              </w:rPr>
              <w:t>打码</w:t>
            </w:r>
            <w:r>
              <w:rPr>
                <w:rFonts w:hint="eastAsia"/>
                <w:color w:val="auto"/>
                <w:highlight w:val="none"/>
                <w:lang w:val="en-US" w:eastAsia="zh-CN"/>
              </w:rPr>
              <w:t>废气</w:t>
            </w:r>
            <w:r>
              <w:rPr>
                <w:rFonts w:hint="eastAsia" w:ascii="Times New Roman" w:hAnsi="Times New Roman" w:eastAsia="宋体"/>
                <w:color w:val="auto"/>
                <w:highlight w:val="none"/>
                <w:lang w:val="en-US" w:eastAsia="zh-CN"/>
              </w:rPr>
              <w:t>等无组织排放。</w:t>
            </w:r>
          </w:p>
          <w:p w14:paraId="0CF378C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auto"/>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object>
                <v:shape id="_x0000_i1027" o:spt="75" type="#_x0000_t75" style="height:166.55pt;width:398.1pt;" o:ole="t" filled="f" o:preferrelative="t" stroked="f" coordsize="21600,21600">
                  <v:path/>
                  <v:fill on="f" focussize="0,0"/>
                  <v:stroke on="f"/>
                  <v:imagedata r:id="rId22" o:title=""/>
                  <o:lock v:ext="edit" aspectratio="f"/>
                  <w10:wrap type="none"/>
                  <w10:anchorlock/>
                </v:shape>
                <o:OLEObject Type="Embed" ProgID="Visio.Drawing.15" ShapeID="_x0000_i1027" DrawAspect="Content" ObjectID="_1468075727" r:id="rId21">
                  <o:LockedField>false</o:LockedField>
                </o:OLEObject>
              </w:object>
            </w:r>
          </w:p>
          <w:p w14:paraId="5AAE478A">
            <w:pPr>
              <w:pStyle w:val="23"/>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图4-1废气走向流程图</w:t>
            </w:r>
          </w:p>
          <w:p w14:paraId="29AF4C84">
            <w:pPr>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2）废气处理措施可行性分析</w:t>
            </w:r>
          </w:p>
          <w:p w14:paraId="68C58CA7">
            <w:pPr>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①风量合理性分析</w:t>
            </w:r>
          </w:p>
          <w:p w14:paraId="4937D53B">
            <w:pPr>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A、压盖废气</w:t>
            </w:r>
          </w:p>
          <w:p w14:paraId="200F460D">
            <w:pPr>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vertAlign w:val="baseline"/>
                <w:lang w:val="en-US" w:eastAsia="zh-CN"/>
              </w:rPr>
            </w:pPr>
            <w:r>
              <w:rPr>
                <w:rFonts w:hint="eastAsia"/>
                <w:color w:val="auto"/>
                <w:highlight w:val="none"/>
                <w:lang w:val="en-US" w:eastAsia="zh-CN"/>
              </w:rPr>
              <w:t>本项目压盖机为密闭设备，根据建设单位提供资料，设备漏风面积小于0.2m</w:t>
            </w:r>
            <w:r>
              <w:rPr>
                <w:rFonts w:hint="eastAsia"/>
                <w:color w:val="auto"/>
                <w:highlight w:val="none"/>
                <w:vertAlign w:val="superscript"/>
                <w:lang w:val="en-US" w:eastAsia="zh-CN"/>
              </w:rPr>
              <w:t>2</w:t>
            </w:r>
            <w:r>
              <w:rPr>
                <w:rFonts w:hint="eastAsia"/>
                <w:color w:val="auto"/>
                <w:highlight w:val="none"/>
                <w:vertAlign w:val="baseline"/>
                <w:lang w:val="en-US" w:eastAsia="zh-CN"/>
              </w:rPr>
              <w:t>，本项目按0.2</w:t>
            </w:r>
            <w:r>
              <w:rPr>
                <w:rFonts w:hint="eastAsia"/>
                <w:color w:val="auto"/>
                <w:highlight w:val="none"/>
                <w:lang w:val="en-US" w:eastAsia="zh-CN"/>
              </w:rPr>
              <w:t>m</w:t>
            </w:r>
            <w:r>
              <w:rPr>
                <w:rFonts w:hint="eastAsia"/>
                <w:color w:val="auto"/>
                <w:highlight w:val="none"/>
                <w:vertAlign w:val="superscript"/>
                <w:lang w:val="en-US" w:eastAsia="zh-CN"/>
              </w:rPr>
              <w:t>2</w:t>
            </w:r>
            <w:r>
              <w:rPr>
                <w:rFonts w:hint="eastAsia"/>
                <w:color w:val="auto"/>
                <w:highlight w:val="none"/>
                <w:vertAlign w:val="baseline"/>
                <w:lang w:val="en-US" w:eastAsia="zh-CN"/>
              </w:rPr>
              <w:t>计算。</w:t>
            </w:r>
            <w:r>
              <w:rPr>
                <w:rFonts w:hint="default" w:ascii="Times New Roman" w:hAnsi="Times New Roman" w:eastAsia="宋体"/>
                <w:color w:val="auto"/>
                <w:highlight w:val="none"/>
                <w:lang w:val="en-US"/>
              </w:rPr>
              <w:t>根据《环境工程设计手册》，在较稳定的状态下，产生极低的扩散速度控制风速（m/s）在0.5～1m/s之间</w:t>
            </w:r>
            <w:r>
              <w:rPr>
                <w:rFonts w:hint="eastAsia" w:ascii="Times New Roman" w:hAnsi="Times New Roman" w:eastAsia="宋体"/>
                <w:color w:val="auto"/>
                <w:highlight w:val="none"/>
                <w:lang w:val="en-US" w:eastAsia="zh-CN"/>
              </w:rPr>
              <w:t>，</w:t>
            </w:r>
            <w:r>
              <w:rPr>
                <w:rFonts w:hint="eastAsia"/>
                <w:color w:val="auto"/>
                <w:highlight w:val="none"/>
                <w:lang w:val="en-US" w:eastAsia="zh-CN"/>
              </w:rPr>
              <w:t>本项目压盖废气</w:t>
            </w:r>
            <w:r>
              <w:rPr>
                <w:rFonts w:hint="eastAsia" w:ascii="Times New Roman" w:hAnsi="Times New Roman" w:eastAsia="宋体"/>
                <w:color w:val="auto"/>
                <w:highlight w:val="none"/>
                <w:vertAlign w:val="baseline"/>
                <w:lang w:val="en-US" w:eastAsia="zh-CN"/>
              </w:rPr>
              <w:t>设计收集风量</w:t>
            </w:r>
            <w:r>
              <w:rPr>
                <w:rFonts w:hint="eastAsia"/>
                <w:color w:val="auto"/>
                <w:highlight w:val="none"/>
                <w:vertAlign w:val="baseline"/>
                <w:lang w:val="en-US" w:eastAsia="zh-CN"/>
              </w:rPr>
              <w:t>1</w:t>
            </w:r>
            <w:r>
              <w:rPr>
                <w:rFonts w:hint="eastAsia" w:ascii="Times New Roman" w:hAnsi="Times New Roman" w:eastAsia="宋体"/>
                <w:color w:val="auto"/>
                <w:highlight w:val="none"/>
                <w:vertAlign w:val="baseline"/>
                <w:lang w:val="en-US" w:eastAsia="zh-CN"/>
              </w:rPr>
              <w:t>000m</w:t>
            </w:r>
            <w:r>
              <w:rPr>
                <w:rFonts w:hint="eastAsia" w:ascii="Times New Roman" w:hAnsi="Times New Roman" w:eastAsia="宋体"/>
                <w:color w:val="auto"/>
                <w:highlight w:val="none"/>
                <w:vertAlign w:val="superscript"/>
                <w:lang w:val="en-US" w:eastAsia="zh-CN"/>
              </w:rPr>
              <w:t>3</w:t>
            </w:r>
            <w:r>
              <w:rPr>
                <w:rFonts w:hint="eastAsia" w:ascii="Times New Roman" w:hAnsi="Times New Roman" w:eastAsia="宋体"/>
                <w:color w:val="auto"/>
                <w:highlight w:val="none"/>
                <w:vertAlign w:val="baseline"/>
                <w:lang w:val="en-US" w:eastAsia="zh-CN"/>
              </w:rPr>
              <w:t>/h，则废气收集控制风速为</w:t>
            </w:r>
            <w:r>
              <w:rPr>
                <w:rFonts w:hint="eastAsia"/>
                <w:color w:val="auto"/>
                <w:highlight w:val="none"/>
                <w:vertAlign w:val="baseline"/>
                <w:lang w:val="en-US" w:eastAsia="zh-CN"/>
              </w:rPr>
              <w:t>1</w:t>
            </w:r>
            <w:r>
              <w:rPr>
                <w:rFonts w:hint="eastAsia" w:ascii="Times New Roman" w:hAnsi="Times New Roman" w:eastAsia="宋体"/>
                <w:color w:val="auto"/>
                <w:highlight w:val="none"/>
                <w:vertAlign w:val="baseline"/>
                <w:lang w:val="en-US" w:eastAsia="zh-CN"/>
              </w:rPr>
              <w:t>000÷3600÷0.</w:t>
            </w:r>
            <w:r>
              <w:rPr>
                <w:rFonts w:hint="eastAsia"/>
                <w:color w:val="auto"/>
                <w:highlight w:val="none"/>
                <w:vertAlign w:val="baseline"/>
                <w:lang w:val="en-US" w:eastAsia="zh-CN"/>
              </w:rPr>
              <w:t>2</w:t>
            </w:r>
            <w:r>
              <w:rPr>
                <w:rFonts w:hint="eastAsia" w:ascii="Times New Roman" w:hAnsi="Times New Roman" w:eastAsia="宋体"/>
                <w:color w:val="auto"/>
                <w:highlight w:val="none"/>
                <w:vertAlign w:val="baseline"/>
                <w:lang w:val="en-US" w:eastAsia="zh-CN"/>
              </w:rPr>
              <w:t>≈</w:t>
            </w:r>
            <w:r>
              <w:rPr>
                <w:rFonts w:hint="eastAsia"/>
                <w:color w:val="auto"/>
                <w:highlight w:val="none"/>
                <w:vertAlign w:val="baseline"/>
                <w:lang w:val="en-US" w:eastAsia="zh-CN"/>
              </w:rPr>
              <w:t>1.4</w:t>
            </w:r>
            <w:r>
              <w:rPr>
                <w:rFonts w:hint="eastAsia" w:ascii="Times New Roman" w:hAnsi="Times New Roman" w:eastAsia="宋体"/>
                <w:color w:val="auto"/>
                <w:highlight w:val="none"/>
                <w:vertAlign w:val="baseline"/>
                <w:lang w:val="en-US" w:eastAsia="zh-CN"/>
              </w:rPr>
              <w:t>m/s，可满足废气收集要求。</w:t>
            </w:r>
          </w:p>
          <w:p w14:paraId="72B4B279">
            <w:pPr>
              <w:keepNext w:val="0"/>
              <w:keepLines w:val="0"/>
              <w:suppressLineNumbers w:val="0"/>
              <w:bidi w:val="0"/>
              <w:spacing w:before="0" w:beforeAutospacing="0" w:after="0" w:afterAutospacing="0"/>
              <w:ind w:left="0" w:right="0"/>
              <w:rPr>
                <w:rFonts w:hint="eastAsia"/>
                <w:color w:val="auto"/>
                <w:highlight w:val="none"/>
                <w:vertAlign w:val="baseline"/>
                <w:lang w:val="en-US" w:eastAsia="zh-CN"/>
              </w:rPr>
            </w:pPr>
            <w:r>
              <w:rPr>
                <w:rFonts w:hint="eastAsia"/>
                <w:color w:val="auto"/>
                <w:highlight w:val="none"/>
                <w:vertAlign w:val="baseline"/>
                <w:lang w:val="en-US" w:eastAsia="zh-CN"/>
              </w:rPr>
              <w:t>B、注塑废气、吹瓶废气</w:t>
            </w:r>
          </w:p>
          <w:p w14:paraId="6EEBCEC1">
            <w:pPr>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color w:val="auto"/>
                <w:highlight w:val="none"/>
                <w:vertAlign w:val="baseline"/>
                <w:lang w:val="en-US" w:eastAsia="zh-CN"/>
              </w:rPr>
              <w:t>本项目在瓶胚机和吹瓶机上方设置集气罩收集注塑废气和吹瓶废气，</w:t>
            </w:r>
            <w:r>
              <w:rPr>
                <w:rFonts w:hint="default" w:ascii="Times New Roman" w:hAnsi="Times New Roman" w:eastAsia="宋体"/>
                <w:color w:val="auto"/>
                <w:highlight w:val="none"/>
                <w:lang w:val="en-US"/>
              </w:rPr>
              <w:t>根据《环境工程设计手册》，</w:t>
            </w:r>
            <w:r>
              <w:rPr>
                <w:rFonts w:hint="eastAsia" w:ascii="Times New Roman" w:hAnsi="Times New Roman" w:eastAsia="宋体"/>
                <w:color w:val="auto"/>
                <w:highlight w:val="none"/>
                <w:lang w:val="en-US" w:eastAsia="zh-CN"/>
              </w:rPr>
              <w:t>上部伞形集气罩排气量按下式计算：</w:t>
            </w:r>
          </w:p>
          <w:p w14:paraId="3825CD8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olor w:val="auto"/>
                <w:highlight w:val="none"/>
                <w:lang w:val="en-US" w:eastAsia="zh-CN"/>
              </w:rPr>
            </w:pPr>
            <w:r>
              <w:rPr>
                <w:rFonts w:hint="default" w:ascii="Times New Roman" w:hAnsi="Times New Roman" w:eastAsia="宋体"/>
                <w:color w:val="auto"/>
                <w:position w:val="-10"/>
                <w:highlight w:val="none"/>
                <w:lang w:val="en-US" w:eastAsia="zh-CN"/>
              </w:rPr>
              <w:object>
                <v:shape id="_x0000_i1028" o:spt="75" type="#_x0000_t75" style="height:17pt;width:77pt;" o:ole="t" filled="f" o:preferrelative="t" stroked="f" coordsize="21600,21600">
                  <v:path/>
                  <v:fill on="f" focussize="0,0"/>
                  <v:stroke on="f"/>
                  <v:imagedata r:id="rId24" o:title=""/>
                  <o:lock v:ext="edit" aspectratio="t"/>
                  <w10:wrap type="none"/>
                  <w10:anchorlock/>
                </v:shape>
                <o:OLEObject Type="Embed" ProgID="Equation.KSEE3" ShapeID="_x0000_i1028" DrawAspect="Content" ObjectID="_1468075728" r:id="rId23">
                  <o:LockedField>false</o:LockedField>
                </o:OLEObject>
              </w:object>
            </w:r>
          </w:p>
          <w:p w14:paraId="573BAD9A">
            <w:pPr>
              <w:keepNext w:val="0"/>
              <w:keepLines w:val="0"/>
              <w:suppressLineNumbers w:val="0"/>
              <w:bidi w:val="0"/>
              <w:spacing w:before="0" w:beforeAutospacing="0" w:after="0" w:afterAutospacing="0"/>
              <w:ind w:left="0" w:right="0"/>
              <w:rPr>
                <w:rFonts w:hint="eastAsia"/>
                <w:color w:val="auto"/>
                <w:highlight w:val="none"/>
                <w:vertAlign w:val="baseline"/>
                <w:lang w:val="en-US" w:eastAsia="zh-CN"/>
              </w:rPr>
            </w:pPr>
            <w:r>
              <w:rPr>
                <w:rFonts w:hint="eastAsia"/>
                <w:color w:val="auto"/>
                <w:highlight w:val="none"/>
                <w:lang w:val="en-US" w:eastAsia="zh-CN"/>
              </w:rPr>
              <w:t>式中：Q——集气罩排气量，m</w:t>
            </w:r>
            <w:r>
              <w:rPr>
                <w:rFonts w:hint="eastAsia"/>
                <w:color w:val="auto"/>
                <w:highlight w:val="none"/>
                <w:vertAlign w:val="superscript"/>
                <w:lang w:val="en-US" w:eastAsia="zh-CN"/>
              </w:rPr>
              <w:t>3</w:t>
            </w:r>
            <w:r>
              <w:rPr>
                <w:rFonts w:hint="eastAsia"/>
                <w:color w:val="auto"/>
                <w:highlight w:val="none"/>
                <w:vertAlign w:val="baseline"/>
                <w:lang w:val="en-US" w:eastAsia="zh-CN"/>
              </w:rPr>
              <w:t>/s；</w:t>
            </w:r>
          </w:p>
          <w:p w14:paraId="24834B0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720" w:leftChars="300" w:right="0"/>
              <w:textAlignment w:val="auto"/>
              <w:rPr>
                <w:rFonts w:hint="eastAsia"/>
                <w:color w:val="auto"/>
                <w:highlight w:val="none"/>
                <w:vertAlign w:val="baseline"/>
                <w:lang w:val="en-US" w:eastAsia="zh-CN"/>
              </w:rPr>
            </w:pPr>
            <w:r>
              <w:rPr>
                <w:rFonts w:hint="eastAsia"/>
                <w:color w:val="auto"/>
                <w:highlight w:val="none"/>
                <w:vertAlign w:val="baseline"/>
                <w:lang w:val="en-US" w:eastAsia="zh-CN"/>
              </w:rPr>
              <w:t>W——罩口长度，m；</w:t>
            </w:r>
          </w:p>
          <w:p w14:paraId="5DF7679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720" w:leftChars="300" w:right="0"/>
              <w:textAlignment w:val="auto"/>
              <w:rPr>
                <w:rFonts w:hint="eastAsia"/>
                <w:color w:val="auto"/>
                <w:highlight w:val="none"/>
                <w:vertAlign w:val="baseline"/>
                <w:lang w:val="en-US" w:eastAsia="zh-CN"/>
              </w:rPr>
            </w:pPr>
            <w:r>
              <w:rPr>
                <w:rFonts w:hint="eastAsia"/>
                <w:color w:val="auto"/>
                <w:highlight w:val="none"/>
                <w:vertAlign w:val="baseline"/>
                <w:lang w:val="en-US" w:eastAsia="zh-CN"/>
              </w:rPr>
              <w:t>B——罩口宽度，m；</w:t>
            </w:r>
          </w:p>
          <w:p w14:paraId="7E8B6FB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720" w:leftChars="300" w:right="0"/>
              <w:textAlignment w:val="auto"/>
              <w:rPr>
                <w:rFonts w:hint="eastAsia"/>
                <w:color w:val="auto"/>
                <w:highlight w:val="none"/>
                <w:vertAlign w:val="baseline"/>
                <w:lang w:val="en-US" w:eastAsia="zh-CN"/>
              </w:rPr>
            </w:pPr>
            <w:r>
              <w:rPr>
                <w:rFonts w:hint="eastAsia"/>
                <w:color w:val="auto"/>
                <w:highlight w:val="none"/>
                <w:vertAlign w:val="baseline"/>
                <w:lang w:val="en-US" w:eastAsia="zh-CN"/>
              </w:rPr>
              <w:t>H——污染源至罩口距离，m；</w:t>
            </w:r>
          </w:p>
          <w:p w14:paraId="537D358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720" w:leftChars="300" w:right="0"/>
              <w:textAlignment w:val="auto"/>
              <w:rPr>
                <w:rFonts w:hint="default" w:ascii="Times New Roman" w:hAnsi="Times New Roman" w:eastAsia="宋体"/>
                <w:color w:val="auto"/>
                <w:highlight w:val="none"/>
                <w:lang w:val="en-US" w:eastAsia="zh-CN"/>
              </w:rPr>
            </w:pPr>
            <w:r>
              <w:rPr>
                <w:rFonts w:hint="eastAsia"/>
                <w:color w:val="auto"/>
                <w:highlight w:val="none"/>
                <w:vertAlign w:val="baseline"/>
                <w:lang w:val="en-US" w:eastAsia="zh-CN"/>
              </w:rPr>
              <w:t>V——控制风速，m/s，根据</w:t>
            </w:r>
            <w:r>
              <w:rPr>
                <w:rFonts w:hint="default" w:ascii="Times New Roman" w:hAnsi="Times New Roman" w:eastAsia="宋体"/>
                <w:color w:val="auto"/>
                <w:highlight w:val="none"/>
                <w:lang w:val="en-US"/>
              </w:rPr>
              <w:t>《环境工程设计手册》</w:t>
            </w:r>
            <w:r>
              <w:rPr>
                <w:rFonts w:hint="eastAsia" w:ascii="Times New Roman" w:hAnsi="Times New Roman" w:eastAsia="宋体"/>
                <w:color w:val="auto"/>
                <w:highlight w:val="none"/>
                <w:lang w:val="en-US" w:eastAsia="zh-CN"/>
              </w:rPr>
              <w:t>取0.25～2.5m/s，本项目按0.</w:t>
            </w:r>
            <w:r>
              <w:rPr>
                <w:rFonts w:hint="eastAsia"/>
                <w:color w:val="auto"/>
                <w:highlight w:val="none"/>
                <w:lang w:val="en-US" w:eastAsia="zh-CN"/>
              </w:rPr>
              <w:t>8</w:t>
            </w:r>
            <w:r>
              <w:rPr>
                <w:rFonts w:hint="eastAsia" w:ascii="Times New Roman" w:hAnsi="Times New Roman" w:eastAsia="宋体"/>
                <w:color w:val="auto"/>
                <w:highlight w:val="none"/>
                <w:lang w:val="en-US" w:eastAsia="zh-CN"/>
              </w:rPr>
              <w:t>m/s计算。</w:t>
            </w:r>
          </w:p>
          <w:p w14:paraId="5C45130A">
            <w:pPr>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本项目集气罩设置情况及排风罩排风量计算结果见下表：</w:t>
            </w:r>
          </w:p>
          <w:p w14:paraId="58CC3FCE">
            <w:pPr>
              <w:pStyle w:val="23"/>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ascii="Times New Roman" w:hAnsi="Times New Roman" w:eastAsia="宋体"/>
                <w:color w:val="auto"/>
                <w:highlight w:val="none"/>
                <w:lang w:val="en-US" w:eastAsia="zh-CN"/>
              </w:rPr>
              <w:t>表4-</w:t>
            </w:r>
            <w:r>
              <w:rPr>
                <w:rFonts w:hint="eastAsia"/>
                <w:color w:val="auto"/>
                <w:highlight w:val="none"/>
                <w:lang w:val="en-US" w:eastAsia="zh-CN"/>
              </w:rPr>
              <w:t>7</w:t>
            </w:r>
            <w:r>
              <w:rPr>
                <w:rFonts w:hint="default" w:ascii="Times New Roman" w:hAnsi="Times New Roman" w:eastAsia="宋体"/>
                <w:color w:val="auto"/>
                <w:highlight w:val="none"/>
                <w:lang w:val="en-US" w:eastAsia="zh-CN"/>
              </w:rPr>
              <w:t>建设项目</w:t>
            </w:r>
            <w:r>
              <w:rPr>
                <w:rFonts w:hint="eastAsia" w:ascii="Times New Roman" w:hAnsi="Times New Roman" w:eastAsia="宋体"/>
                <w:color w:val="auto"/>
                <w:highlight w:val="none"/>
                <w:lang w:val="en-US" w:eastAsia="zh-CN"/>
              </w:rPr>
              <w:t>集气罩排风量计算结果</w:t>
            </w:r>
            <w:r>
              <w:rPr>
                <w:rFonts w:hint="eastAsia"/>
                <w:color w:val="auto"/>
                <w:highlight w:val="none"/>
                <w:lang w:val="en-US" w:eastAsia="zh-CN"/>
              </w:rPr>
              <w:t>表</w:t>
            </w:r>
          </w:p>
          <w:tbl>
            <w:tblPr>
              <w:tblStyle w:val="16"/>
              <w:tblW w:w="7822" w:type="dxa"/>
              <w:jc w:val="center"/>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shd w:val="clear" w:color="auto" w:fill="auto"/>
              <w:tblLayout w:type="fixed"/>
              <w:tblCellMar>
                <w:top w:w="0" w:type="dxa"/>
                <w:left w:w="108" w:type="dxa"/>
                <w:bottom w:w="0" w:type="dxa"/>
                <w:right w:w="108" w:type="dxa"/>
              </w:tblCellMar>
            </w:tblPr>
            <w:tblGrid>
              <w:gridCol w:w="1650"/>
              <w:gridCol w:w="643"/>
              <w:gridCol w:w="1072"/>
              <w:gridCol w:w="835"/>
              <w:gridCol w:w="1350"/>
              <w:gridCol w:w="1179"/>
              <w:gridCol w:w="1093"/>
            </w:tblGrid>
            <w:tr w14:paraId="4B948924">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40" w:hRule="atLeast"/>
                <w:jc w:val="center"/>
              </w:trPr>
              <w:tc>
                <w:tcPr>
                  <w:tcW w:w="1650" w:type="dxa"/>
                  <w:vMerge w:val="restart"/>
                  <w:tcBorders>
                    <w:tl2br w:val="nil"/>
                    <w:tr2bl w:val="nil"/>
                  </w:tcBorders>
                  <w:shd w:val="clear" w:color="auto" w:fill="auto"/>
                  <w:vAlign w:val="center"/>
                </w:tcPr>
                <w:p w14:paraId="54450FEA">
                  <w:pPr>
                    <w:pStyle w:val="21"/>
                    <w:keepNext w:val="0"/>
                    <w:keepLines w:val="0"/>
                    <w:suppressLineNumbers w:val="0"/>
                    <w:bidi w:val="0"/>
                    <w:spacing w:before="0" w:beforeAutospacing="0" w:after="0" w:afterAutospacing="0"/>
                    <w:ind w:left="0" w:right="0"/>
                    <w:rPr>
                      <w:rFonts w:hint="eastAsia"/>
                      <w:b/>
                      <w:bCs/>
                      <w:color w:val="auto"/>
                      <w:highlight w:val="none"/>
                    </w:rPr>
                  </w:pPr>
                  <w:r>
                    <w:rPr>
                      <w:rFonts w:hint="eastAsia"/>
                      <w:b/>
                      <w:bCs/>
                      <w:color w:val="auto"/>
                      <w:highlight w:val="none"/>
                      <w:lang w:val="en-US" w:eastAsia="zh-CN"/>
                    </w:rPr>
                    <w:t>集气罩位置</w:t>
                  </w:r>
                </w:p>
              </w:tc>
              <w:tc>
                <w:tcPr>
                  <w:tcW w:w="643" w:type="dxa"/>
                  <w:vMerge w:val="restart"/>
                  <w:tcBorders>
                    <w:tl2br w:val="nil"/>
                    <w:tr2bl w:val="nil"/>
                  </w:tcBorders>
                  <w:shd w:val="clear" w:color="auto" w:fill="auto"/>
                  <w:vAlign w:val="center"/>
                </w:tcPr>
                <w:p w14:paraId="10F41E1C">
                  <w:pPr>
                    <w:pStyle w:val="21"/>
                    <w:keepNext w:val="0"/>
                    <w:keepLines w:val="0"/>
                    <w:suppressLineNumbers w:val="0"/>
                    <w:bidi w:val="0"/>
                    <w:spacing w:before="0" w:beforeAutospacing="0" w:after="0" w:afterAutospacing="0"/>
                    <w:ind w:left="0" w:right="0"/>
                    <w:rPr>
                      <w:rFonts w:hint="eastAsia"/>
                      <w:b/>
                      <w:bCs/>
                      <w:color w:val="auto"/>
                      <w:highlight w:val="none"/>
                    </w:rPr>
                  </w:pPr>
                  <w:r>
                    <w:rPr>
                      <w:rFonts w:hint="eastAsia"/>
                      <w:b/>
                      <w:bCs/>
                      <w:color w:val="auto"/>
                      <w:highlight w:val="none"/>
                      <w:lang w:val="en-US" w:eastAsia="zh-CN"/>
                    </w:rPr>
                    <w:t>数量</w:t>
                  </w:r>
                </w:p>
              </w:tc>
              <w:tc>
                <w:tcPr>
                  <w:tcW w:w="1907" w:type="dxa"/>
                  <w:gridSpan w:val="2"/>
                  <w:tcBorders>
                    <w:tl2br w:val="nil"/>
                    <w:tr2bl w:val="nil"/>
                  </w:tcBorders>
                  <w:shd w:val="clear" w:color="auto" w:fill="auto"/>
                  <w:vAlign w:val="center"/>
                </w:tcPr>
                <w:p w14:paraId="2D0147BB">
                  <w:pPr>
                    <w:pStyle w:val="21"/>
                    <w:keepNext w:val="0"/>
                    <w:keepLines w:val="0"/>
                    <w:suppressLineNumbers w:val="0"/>
                    <w:bidi w:val="0"/>
                    <w:spacing w:before="0" w:beforeAutospacing="0" w:after="0" w:afterAutospacing="0"/>
                    <w:ind w:left="0" w:right="0"/>
                    <w:rPr>
                      <w:rFonts w:hint="eastAsia"/>
                      <w:b/>
                      <w:bCs/>
                      <w:color w:val="auto"/>
                      <w:highlight w:val="none"/>
                    </w:rPr>
                  </w:pPr>
                  <w:r>
                    <w:rPr>
                      <w:rFonts w:hint="eastAsia"/>
                      <w:b/>
                      <w:bCs/>
                      <w:color w:val="auto"/>
                      <w:highlight w:val="none"/>
                      <w:lang w:val="en-US" w:eastAsia="zh-CN"/>
                    </w:rPr>
                    <w:t>集气罩尺寸（</w:t>
                  </w:r>
                  <w:r>
                    <w:rPr>
                      <w:rFonts w:hint="default"/>
                      <w:b/>
                      <w:bCs/>
                      <w:color w:val="auto"/>
                      <w:highlight w:val="none"/>
                      <w:lang w:val="en-US" w:eastAsia="zh-CN"/>
                    </w:rPr>
                    <w:t>m</w:t>
                  </w:r>
                  <w:r>
                    <w:rPr>
                      <w:rFonts w:hint="eastAsia"/>
                      <w:b/>
                      <w:bCs/>
                      <w:color w:val="auto"/>
                      <w:highlight w:val="none"/>
                      <w:lang w:val="en-US" w:eastAsia="zh-CN"/>
                    </w:rPr>
                    <w:t>）</w:t>
                  </w:r>
                </w:p>
              </w:tc>
              <w:tc>
                <w:tcPr>
                  <w:tcW w:w="1350" w:type="dxa"/>
                  <w:vMerge w:val="restart"/>
                  <w:tcBorders>
                    <w:tl2br w:val="nil"/>
                    <w:tr2bl w:val="nil"/>
                  </w:tcBorders>
                  <w:shd w:val="clear" w:color="auto" w:fill="auto"/>
                  <w:vAlign w:val="center"/>
                </w:tcPr>
                <w:p w14:paraId="26F9C209">
                  <w:pPr>
                    <w:pStyle w:val="21"/>
                    <w:keepNext w:val="0"/>
                    <w:keepLines w:val="0"/>
                    <w:suppressLineNumbers w:val="0"/>
                    <w:bidi w:val="0"/>
                    <w:spacing w:before="0" w:beforeAutospacing="0" w:after="0" w:afterAutospacing="0"/>
                    <w:ind w:left="0" w:right="0"/>
                    <w:rPr>
                      <w:rFonts w:hint="eastAsia"/>
                      <w:b/>
                      <w:bCs/>
                      <w:color w:val="auto"/>
                      <w:highlight w:val="none"/>
                    </w:rPr>
                  </w:pPr>
                  <w:r>
                    <w:rPr>
                      <w:rFonts w:hint="eastAsia"/>
                      <w:b/>
                      <w:bCs/>
                      <w:color w:val="auto"/>
                      <w:highlight w:val="none"/>
                      <w:lang w:val="en-US" w:eastAsia="zh-CN"/>
                    </w:rPr>
                    <w:t>罩口到控制点距离（</w:t>
                  </w:r>
                  <w:r>
                    <w:rPr>
                      <w:rFonts w:hint="default"/>
                      <w:b/>
                      <w:bCs/>
                      <w:color w:val="auto"/>
                      <w:highlight w:val="none"/>
                      <w:lang w:val="en-US" w:eastAsia="zh-CN"/>
                    </w:rPr>
                    <w:t>m</w:t>
                  </w:r>
                  <w:r>
                    <w:rPr>
                      <w:rFonts w:hint="eastAsia"/>
                      <w:b/>
                      <w:bCs/>
                      <w:color w:val="auto"/>
                      <w:highlight w:val="none"/>
                      <w:lang w:val="en-US" w:eastAsia="zh-CN"/>
                    </w:rPr>
                    <w:t>）</w:t>
                  </w:r>
                </w:p>
              </w:tc>
              <w:tc>
                <w:tcPr>
                  <w:tcW w:w="1179" w:type="dxa"/>
                  <w:vMerge w:val="restart"/>
                  <w:tcBorders>
                    <w:tl2br w:val="nil"/>
                    <w:tr2bl w:val="nil"/>
                  </w:tcBorders>
                  <w:shd w:val="clear" w:color="auto" w:fill="auto"/>
                  <w:vAlign w:val="center"/>
                </w:tcPr>
                <w:p w14:paraId="73F9709F">
                  <w:pPr>
                    <w:pStyle w:val="21"/>
                    <w:keepNext w:val="0"/>
                    <w:keepLines w:val="0"/>
                    <w:suppressLineNumbers w:val="0"/>
                    <w:bidi w:val="0"/>
                    <w:spacing w:before="0" w:beforeAutospacing="0" w:after="0" w:afterAutospacing="0"/>
                    <w:ind w:left="0" w:right="0"/>
                    <w:rPr>
                      <w:rFonts w:hint="eastAsia"/>
                      <w:b/>
                      <w:bCs/>
                      <w:color w:val="auto"/>
                      <w:highlight w:val="none"/>
                    </w:rPr>
                  </w:pPr>
                  <w:r>
                    <w:rPr>
                      <w:rFonts w:hint="eastAsia"/>
                      <w:b/>
                      <w:bCs/>
                      <w:color w:val="auto"/>
                      <w:highlight w:val="none"/>
                      <w:lang w:val="en-US" w:eastAsia="zh-CN"/>
                    </w:rPr>
                    <w:t>控制吸入速度（</w:t>
                  </w:r>
                  <w:r>
                    <w:rPr>
                      <w:rFonts w:hint="default"/>
                      <w:b/>
                      <w:bCs/>
                      <w:color w:val="auto"/>
                      <w:highlight w:val="none"/>
                      <w:lang w:val="en-US" w:eastAsia="zh-CN"/>
                    </w:rPr>
                    <w:t>m/s</w:t>
                  </w:r>
                  <w:r>
                    <w:rPr>
                      <w:rFonts w:hint="eastAsia"/>
                      <w:b/>
                      <w:bCs/>
                      <w:color w:val="auto"/>
                      <w:highlight w:val="none"/>
                      <w:lang w:val="en-US" w:eastAsia="zh-CN"/>
                    </w:rPr>
                    <w:t>）</w:t>
                  </w:r>
                </w:p>
              </w:tc>
              <w:tc>
                <w:tcPr>
                  <w:tcW w:w="1093" w:type="dxa"/>
                  <w:vMerge w:val="restart"/>
                  <w:tcBorders>
                    <w:tl2br w:val="nil"/>
                    <w:tr2bl w:val="nil"/>
                  </w:tcBorders>
                  <w:shd w:val="clear" w:color="auto" w:fill="auto"/>
                  <w:vAlign w:val="center"/>
                </w:tcPr>
                <w:p w14:paraId="6E6B3A8C">
                  <w:pPr>
                    <w:pStyle w:val="21"/>
                    <w:keepNext w:val="0"/>
                    <w:keepLines w:val="0"/>
                    <w:suppressLineNumbers w:val="0"/>
                    <w:bidi w:val="0"/>
                    <w:spacing w:before="0" w:beforeAutospacing="0" w:after="0" w:afterAutospacing="0"/>
                    <w:ind w:left="0" w:right="0"/>
                    <w:rPr>
                      <w:rFonts w:hint="eastAsia"/>
                      <w:b/>
                      <w:bCs/>
                      <w:color w:val="auto"/>
                      <w:highlight w:val="none"/>
                    </w:rPr>
                  </w:pPr>
                  <w:r>
                    <w:rPr>
                      <w:rFonts w:hint="eastAsia"/>
                      <w:b/>
                      <w:bCs/>
                      <w:color w:val="auto"/>
                      <w:highlight w:val="none"/>
                      <w:lang w:val="en-US" w:eastAsia="zh-CN"/>
                    </w:rPr>
                    <w:t>设计风量（</w:t>
                  </w:r>
                  <w:r>
                    <w:rPr>
                      <w:rFonts w:hint="default"/>
                      <w:b/>
                      <w:bCs/>
                      <w:color w:val="auto"/>
                      <w:highlight w:val="none"/>
                      <w:lang w:val="en-US" w:eastAsia="zh-CN"/>
                    </w:rPr>
                    <w:t>m</w:t>
                  </w:r>
                  <w:r>
                    <w:rPr>
                      <w:rFonts w:hint="default"/>
                      <w:b/>
                      <w:bCs/>
                      <w:color w:val="auto"/>
                      <w:highlight w:val="none"/>
                      <w:vertAlign w:val="superscript"/>
                      <w:lang w:val="en-US" w:eastAsia="zh-CN"/>
                    </w:rPr>
                    <w:t>3</w:t>
                  </w:r>
                  <w:r>
                    <w:rPr>
                      <w:rFonts w:hint="default"/>
                      <w:b/>
                      <w:bCs/>
                      <w:color w:val="auto"/>
                      <w:highlight w:val="none"/>
                      <w:lang w:val="en-US" w:eastAsia="zh-CN"/>
                    </w:rPr>
                    <w:t>/h</w:t>
                  </w:r>
                  <w:r>
                    <w:rPr>
                      <w:rFonts w:hint="eastAsia"/>
                      <w:b/>
                      <w:bCs/>
                      <w:color w:val="auto"/>
                      <w:highlight w:val="none"/>
                      <w:lang w:val="en-US" w:eastAsia="zh-CN"/>
                    </w:rPr>
                    <w:t>）</w:t>
                  </w:r>
                </w:p>
              </w:tc>
            </w:tr>
            <w:tr w14:paraId="7B2AD9A1">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40" w:hRule="atLeast"/>
                <w:jc w:val="center"/>
              </w:trPr>
              <w:tc>
                <w:tcPr>
                  <w:tcW w:w="1650" w:type="dxa"/>
                  <w:vMerge w:val="continue"/>
                  <w:tcBorders>
                    <w:tl2br w:val="nil"/>
                    <w:tr2bl w:val="nil"/>
                  </w:tcBorders>
                  <w:shd w:val="clear" w:color="auto" w:fill="auto"/>
                  <w:vAlign w:val="center"/>
                </w:tcPr>
                <w:p w14:paraId="2B1CA49A">
                  <w:pPr>
                    <w:pStyle w:val="21"/>
                    <w:keepNext w:val="0"/>
                    <w:keepLines w:val="0"/>
                    <w:suppressLineNumbers w:val="0"/>
                    <w:bidi w:val="0"/>
                    <w:spacing w:before="0" w:beforeAutospacing="0" w:after="0" w:afterAutospacing="0"/>
                    <w:ind w:left="0" w:right="0"/>
                    <w:rPr>
                      <w:rFonts w:hint="eastAsia"/>
                      <w:color w:val="auto"/>
                      <w:highlight w:val="none"/>
                    </w:rPr>
                  </w:pPr>
                </w:p>
              </w:tc>
              <w:tc>
                <w:tcPr>
                  <w:tcW w:w="643" w:type="dxa"/>
                  <w:vMerge w:val="continue"/>
                  <w:tcBorders>
                    <w:tl2br w:val="nil"/>
                    <w:tr2bl w:val="nil"/>
                  </w:tcBorders>
                  <w:shd w:val="clear" w:color="auto" w:fill="auto"/>
                  <w:vAlign w:val="center"/>
                </w:tcPr>
                <w:p w14:paraId="7AE9203E">
                  <w:pPr>
                    <w:pStyle w:val="21"/>
                    <w:keepNext w:val="0"/>
                    <w:keepLines w:val="0"/>
                    <w:suppressLineNumbers w:val="0"/>
                    <w:bidi w:val="0"/>
                    <w:spacing w:before="0" w:beforeAutospacing="0" w:after="0" w:afterAutospacing="0"/>
                    <w:ind w:left="0" w:right="0"/>
                    <w:rPr>
                      <w:rFonts w:hint="eastAsia"/>
                      <w:color w:val="auto"/>
                      <w:highlight w:val="none"/>
                    </w:rPr>
                  </w:pPr>
                </w:p>
              </w:tc>
              <w:tc>
                <w:tcPr>
                  <w:tcW w:w="1072" w:type="dxa"/>
                  <w:tcBorders>
                    <w:tl2br w:val="nil"/>
                    <w:tr2bl w:val="nil"/>
                  </w:tcBorders>
                  <w:shd w:val="clear" w:color="auto" w:fill="auto"/>
                  <w:vAlign w:val="center"/>
                </w:tcPr>
                <w:p w14:paraId="43452196">
                  <w:pPr>
                    <w:pStyle w:val="21"/>
                    <w:keepNext w:val="0"/>
                    <w:keepLines w:val="0"/>
                    <w:suppressLineNumbers w:val="0"/>
                    <w:bidi w:val="0"/>
                    <w:spacing w:before="0" w:beforeAutospacing="0" w:after="0" w:afterAutospacing="0"/>
                    <w:ind w:left="0" w:right="0"/>
                    <w:rPr>
                      <w:rFonts w:hint="eastAsia"/>
                      <w:b/>
                      <w:bCs/>
                      <w:color w:val="auto"/>
                      <w:highlight w:val="none"/>
                    </w:rPr>
                  </w:pPr>
                  <w:r>
                    <w:rPr>
                      <w:rFonts w:hint="eastAsia"/>
                      <w:b/>
                      <w:bCs/>
                      <w:color w:val="auto"/>
                      <w:highlight w:val="none"/>
                      <w:lang w:val="en-US" w:eastAsia="zh-CN"/>
                    </w:rPr>
                    <w:t>长</w:t>
                  </w:r>
                </w:p>
              </w:tc>
              <w:tc>
                <w:tcPr>
                  <w:tcW w:w="835" w:type="dxa"/>
                  <w:tcBorders>
                    <w:tl2br w:val="nil"/>
                    <w:tr2bl w:val="nil"/>
                  </w:tcBorders>
                  <w:shd w:val="clear" w:color="auto" w:fill="auto"/>
                  <w:vAlign w:val="center"/>
                </w:tcPr>
                <w:p w14:paraId="4FD4304A">
                  <w:pPr>
                    <w:pStyle w:val="21"/>
                    <w:keepNext w:val="0"/>
                    <w:keepLines w:val="0"/>
                    <w:suppressLineNumbers w:val="0"/>
                    <w:bidi w:val="0"/>
                    <w:spacing w:before="0" w:beforeAutospacing="0" w:after="0" w:afterAutospacing="0"/>
                    <w:ind w:left="0" w:right="0"/>
                    <w:rPr>
                      <w:rFonts w:hint="eastAsia"/>
                      <w:b/>
                      <w:bCs/>
                      <w:color w:val="auto"/>
                      <w:highlight w:val="none"/>
                    </w:rPr>
                  </w:pPr>
                  <w:r>
                    <w:rPr>
                      <w:rFonts w:hint="eastAsia"/>
                      <w:b/>
                      <w:bCs/>
                      <w:color w:val="auto"/>
                      <w:highlight w:val="none"/>
                      <w:lang w:val="en-US" w:eastAsia="zh-CN"/>
                    </w:rPr>
                    <w:t>宽</w:t>
                  </w:r>
                </w:p>
              </w:tc>
              <w:tc>
                <w:tcPr>
                  <w:tcW w:w="1350" w:type="dxa"/>
                  <w:vMerge w:val="continue"/>
                  <w:tcBorders>
                    <w:tl2br w:val="nil"/>
                    <w:tr2bl w:val="nil"/>
                  </w:tcBorders>
                  <w:shd w:val="clear" w:color="auto" w:fill="auto"/>
                  <w:vAlign w:val="center"/>
                </w:tcPr>
                <w:p w14:paraId="2B0F0779">
                  <w:pPr>
                    <w:pStyle w:val="21"/>
                    <w:keepNext w:val="0"/>
                    <w:keepLines w:val="0"/>
                    <w:suppressLineNumbers w:val="0"/>
                    <w:bidi w:val="0"/>
                    <w:spacing w:before="0" w:beforeAutospacing="0" w:after="0" w:afterAutospacing="0"/>
                    <w:ind w:left="0" w:right="0"/>
                    <w:rPr>
                      <w:rFonts w:hint="eastAsia"/>
                      <w:color w:val="auto"/>
                      <w:highlight w:val="none"/>
                    </w:rPr>
                  </w:pPr>
                </w:p>
              </w:tc>
              <w:tc>
                <w:tcPr>
                  <w:tcW w:w="1179" w:type="dxa"/>
                  <w:vMerge w:val="continue"/>
                  <w:tcBorders>
                    <w:tl2br w:val="nil"/>
                    <w:tr2bl w:val="nil"/>
                  </w:tcBorders>
                  <w:shd w:val="clear" w:color="auto" w:fill="auto"/>
                  <w:vAlign w:val="center"/>
                </w:tcPr>
                <w:p w14:paraId="2A6A3340">
                  <w:pPr>
                    <w:pStyle w:val="21"/>
                    <w:keepNext w:val="0"/>
                    <w:keepLines w:val="0"/>
                    <w:suppressLineNumbers w:val="0"/>
                    <w:bidi w:val="0"/>
                    <w:spacing w:before="0" w:beforeAutospacing="0" w:after="0" w:afterAutospacing="0"/>
                    <w:ind w:left="0" w:right="0"/>
                    <w:rPr>
                      <w:rFonts w:hint="eastAsia"/>
                      <w:color w:val="auto"/>
                      <w:highlight w:val="none"/>
                    </w:rPr>
                  </w:pPr>
                </w:p>
              </w:tc>
              <w:tc>
                <w:tcPr>
                  <w:tcW w:w="1093" w:type="dxa"/>
                  <w:vMerge w:val="continue"/>
                  <w:tcBorders>
                    <w:tl2br w:val="nil"/>
                    <w:tr2bl w:val="nil"/>
                  </w:tcBorders>
                  <w:shd w:val="clear" w:color="auto" w:fill="auto"/>
                  <w:vAlign w:val="center"/>
                </w:tcPr>
                <w:p w14:paraId="5F1978DF">
                  <w:pPr>
                    <w:pStyle w:val="21"/>
                    <w:keepNext w:val="0"/>
                    <w:keepLines w:val="0"/>
                    <w:suppressLineNumbers w:val="0"/>
                    <w:bidi w:val="0"/>
                    <w:spacing w:before="0" w:beforeAutospacing="0" w:after="0" w:afterAutospacing="0"/>
                    <w:ind w:left="0" w:right="0"/>
                    <w:rPr>
                      <w:rFonts w:hint="eastAsia"/>
                      <w:color w:val="auto"/>
                      <w:highlight w:val="none"/>
                    </w:rPr>
                  </w:pPr>
                </w:p>
              </w:tc>
            </w:tr>
            <w:tr w14:paraId="01CEED65">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40" w:hRule="atLeast"/>
                <w:jc w:val="center"/>
              </w:trPr>
              <w:tc>
                <w:tcPr>
                  <w:tcW w:w="1650" w:type="dxa"/>
                  <w:tcBorders>
                    <w:tl2br w:val="nil"/>
                    <w:tr2bl w:val="nil"/>
                  </w:tcBorders>
                  <w:shd w:val="clear" w:color="auto" w:fill="auto"/>
                  <w:vAlign w:val="center"/>
                </w:tcPr>
                <w:p w14:paraId="680A2BC3">
                  <w:pPr>
                    <w:pStyle w:val="21"/>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lang w:val="en-US" w:eastAsia="zh-CN"/>
                    </w:rPr>
                    <w:t>注塑机</w:t>
                  </w:r>
                </w:p>
              </w:tc>
              <w:tc>
                <w:tcPr>
                  <w:tcW w:w="643" w:type="dxa"/>
                  <w:tcBorders>
                    <w:tl2br w:val="nil"/>
                    <w:tr2bl w:val="nil"/>
                  </w:tcBorders>
                  <w:shd w:val="clear" w:color="auto" w:fill="auto"/>
                  <w:vAlign w:val="center"/>
                </w:tcPr>
                <w:p w14:paraId="0928D0B2">
                  <w:pPr>
                    <w:pStyle w:val="21"/>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1</w:t>
                  </w:r>
                </w:p>
              </w:tc>
              <w:tc>
                <w:tcPr>
                  <w:tcW w:w="1072" w:type="dxa"/>
                  <w:tcBorders>
                    <w:tl2br w:val="nil"/>
                    <w:tr2bl w:val="nil"/>
                  </w:tcBorders>
                  <w:shd w:val="clear" w:color="auto" w:fill="auto"/>
                  <w:vAlign w:val="center"/>
                </w:tcPr>
                <w:p w14:paraId="06F6E23F">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0.5</w:t>
                  </w:r>
                </w:p>
              </w:tc>
              <w:tc>
                <w:tcPr>
                  <w:tcW w:w="835" w:type="dxa"/>
                  <w:tcBorders>
                    <w:tl2br w:val="nil"/>
                    <w:tr2bl w:val="nil"/>
                  </w:tcBorders>
                  <w:shd w:val="clear" w:color="auto" w:fill="auto"/>
                  <w:vAlign w:val="center"/>
                </w:tcPr>
                <w:p w14:paraId="3D1D9F7D">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0.5</w:t>
                  </w:r>
                </w:p>
              </w:tc>
              <w:tc>
                <w:tcPr>
                  <w:tcW w:w="1350" w:type="dxa"/>
                  <w:tcBorders>
                    <w:tl2br w:val="nil"/>
                    <w:tr2bl w:val="nil"/>
                  </w:tcBorders>
                  <w:shd w:val="clear" w:color="auto" w:fill="auto"/>
                  <w:vAlign w:val="center"/>
                </w:tcPr>
                <w:p w14:paraId="17451A81">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0.25</w:t>
                  </w:r>
                </w:p>
              </w:tc>
              <w:tc>
                <w:tcPr>
                  <w:tcW w:w="1179" w:type="dxa"/>
                  <w:tcBorders>
                    <w:tl2br w:val="nil"/>
                    <w:tr2bl w:val="nil"/>
                  </w:tcBorders>
                  <w:shd w:val="clear" w:color="auto" w:fill="auto"/>
                  <w:vAlign w:val="center"/>
                </w:tcPr>
                <w:p w14:paraId="7D9EE10D">
                  <w:pPr>
                    <w:pStyle w:val="21"/>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0.8</w:t>
                  </w:r>
                </w:p>
              </w:tc>
              <w:tc>
                <w:tcPr>
                  <w:tcW w:w="1093" w:type="dxa"/>
                  <w:tcBorders>
                    <w:tl2br w:val="nil"/>
                    <w:tr2bl w:val="nil"/>
                  </w:tcBorders>
                  <w:shd w:val="clear" w:color="auto" w:fill="auto"/>
                  <w:vAlign w:val="center"/>
                </w:tcPr>
                <w:p w14:paraId="0C39BE3F">
                  <w:pPr>
                    <w:pStyle w:val="21"/>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720</w:t>
                  </w:r>
                </w:p>
              </w:tc>
            </w:tr>
            <w:tr w14:paraId="391D22E1">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40" w:hRule="atLeast"/>
                <w:jc w:val="center"/>
              </w:trPr>
              <w:tc>
                <w:tcPr>
                  <w:tcW w:w="1650" w:type="dxa"/>
                  <w:tcBorders>
                    <w:tl2br w:val="nil"/>
                    <w:tr2bl w:val="nil"/>
                  </w:tcBorders>
                  <w:shd w:val="clear" w:color="auto" w:fill="auto"/>
                  <w:vAlign w:val="center"/>
                </w:tcPr>
                <w:p w14:paraId="235A8780">
                  <w:pPr>
                    <w:pStyle w:val="21"/>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lang w:val="en-US" w:eastAsia="zh-CN"/>
                    </w:rPr>
                    <w:t>吹瓶机</w:t>
                  </w:r>
                </w:p>
              </w:tc>
              <w:tc>
                <w:tcPr>
                  <w:tcW w:w="643" w:type="dxa"/>
                  <w:tcBorders>
                    <w:tl2br w:val="nil"/>
                    <w:tr2bl w:val="nil"/>
                  </w:tcBorders>
                  <w:shd w:val="clear" w:color="auto" w:fill="auto"/>
                  <w:vAlign w:val="center"/>
                </w:tcPr>
                <w:p w14:paraId="4578E5D5">
                  <w:pPr>
                    <w:pStyle w:val="21"/>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1</w:t>
                  </w:r>
                </w:p>
              </w:tc>
              <w:tc>
                <w:tcPr>
                  <w:tcW w:w="1072" w:type="dxa"/>
                  <w:tcBorders>
                    <w:tl2br w:val="nil"/>
                    <w:tr2bl w:val="nil"/>
                  </w:tcBorders>
                  <w:shd w:val="clear" w:color="auto" w:fill="auto"/>
                  <w:vAlign w:val="center"/>
                </w:tcPr>
                <w:p w14:paraId="7D65BE5D">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5.65</w:t>
                  </w:r>
                </w:p>
              </w:tc>
              <w:tc>
                <w:tcPr>
                  <w:tcW w:w="835" w:type="dxa"/>
                  <w:tcBorders>
                    <w:tl2br w:val="nil"/>
                    <w:tr2bl w:val="nil"/>
                  </w:tcBorders>
                  <w:shd w:val="clear" w:color="auto" w:fill="auto"/>
                  <w:vAlign w:val="center"/>
                </w:tcPr>
                <w:p w14:paraId="50D161EA">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1.7</w:t>
                  </w:r>
                </w:p>
              </w:tc>
              <w:tc>
                <w:tcPr>
                  <w:tcW w:w="1350" w:type="dxa"/>
                  <w:tcBorders>
                    <w:tl2br w:val="nil"/>
                    <w:tr2bl w:val="nil"/>
                  </w:tcBorders>
                  <w:shd w:val="clear" w:color="auto" w:fill="auto"/>
                  <w:vAlign w:val="center"/>
                </w:tcPr>
                <w:p w14:paraId="0C91FE69">
                  <w:pPr>
                    <w:pStyle w:val="21"/>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1</w:t>
                  </w:r>
                </w:p>
              </w:tc>
              <w:tc>
                <w:tcPr>
                  <w:tcW w:w="1179" w:type="dxa"/>
                  <w:tcBorders>
                    <w:tl2br w:val="nil"/>
                    <w:tr2bl w:val="nil"/>
                  </w:tcBorders>
                  <w:shd w:val="clear" w:color="auto" w:fill="auto"/>
                  <w:vAlign w:val="center"/>
                </w:tcPr>
                <w:p w14:paraId="522BBC04">
                  <w:pPr>
                    <w:pStyle w:val="21"/>
                    <w:keepNext w:val="0"/>
                    <w:keepLines w:val="0"/>
                    <w:suppressLineNumbers w:val="0"/>
                    <w:bidi w:val="0"/>
                    <w:spacing w:before="0" w:beforeAutospacing="0" w:after="0" w:afterAutospacing="0"/>
                    <w:ind w:left="0" w:right="0"/>
                    <w:rPr>
                      <w:rFonts w:hint="default" w:eastAsia="宋体"/>
                      <w:color w:val="auto"/>
                      <w:lang w:val="en-US" w:eastAsia="zh-CN"/>
                    </w:rPr>
                  </w:pPr>
                  <w:r>
                    <w:rPr>
                      <w:rFonts w:hint="eastAsia"/>
                      <w:color w:val="auto"/>
                      <w:lang w:val="en-US" w:eastAsia="zh-CN"/>
                    </w:rPr>
                    <w:t>0.8</w:t>
                  </w:r>
                </w:p>
              </w:tc>
              <w:tc>
                <w:tcPr>
                  <w:tcW w:w="1093" w:type="dxa"/>
                  <w:tcBorders>
                    <w:tl2br w:val="nil"/>
                    <w:tr2bl w:val="nil"/>
                  </w:tcBorders>
                  <w:shd w:val="clear" w:color="auto" w:fill="auto"/>
                  <w:vAlign w:val="center"/>
                </w:tcPr>
                <w:p w14:paraId="20778B4C">
                  <w:pPr>
                    <w:pStyle w:val="21"/>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21168</w:t>
                  </w:r>
                </w:p>
              </w:tc>
            </w:tr>
          </w:tbl>
          <w:p w14:paraId="4BE4BABA">
            <w:pPr>
              <w:keepNext w:val="0"/>
              <w:keepLines w:val="0"/>
              <w:suppressLineNumbers w:val="0"/>
              <w:bidi w:val="0"/>
              <w:spacing w:before="0" w:beforeAutospacing="0" w:after="0" w:afterAutospacing="0"/>
              <w:ind w:left="0" w:right="0"/>
              <w:rPr>
                <w:rFonts w:hint="eastAsia"/>
                <w:color w:val="auto"/>
                <w:highlight w:val="none"/>
                <w:vertAlign w:val="baseline"/>
                <w:lang w:val="en-US" w:eastAsia="zh-CN"/>
              </w:rPr>
            </w:pPr>
            <w:r>
              <w:rPr>
                <w:rFonts w:hint="eastAsia"/>
                <w:color w:val="auto"/>
                <w:highlight w:val="none"/>
                <w:vertAlign w:val="baseline"/>
                <w:lang w:val="en-US" w:eastAsia="zh-CN"/>
              </w:rPr>
              <w:t>综上，本项目</w:t>
            </w:r>
            <w:r>
              <w:rPr>
                <w:rFonts w:hint="eastAsia"/>
                <w:color w:val="auto"/>
                <w:highlight w:val="none"/>
                <w:lang w:val="en-US" w:eastAsia="zh-CN"/>
              </w:rPr>
              <w:t>注塑废气设计收集风量为1000m</w:t>
            </w:r>
            <w:r>
              <w:rPr>
                <w:rFonts w:hint="eastAsia"/>
                <w:color w:val="auto"/>
                <w:highlight w:val="none"/>
                <w:vertAlign w:val="superscript"/>
                <w:lang w:val="en-US" w:eastAsia="zh-CN"/>
              </w:rPr>
              <w:t>3</w:t>
            </w:r>
            <w:r>
              <w:rPr>
                <w:rFonts w:hint="eastAsia"/>
                <w:color w:val="auto"/>
                <w:highlight w:val="none"/>
                <w:vertAlign w:val="baseline"/>
                <w:lang w:val="en-US" w:eastAsia="zh-CN"/>
              </w:rPr>
              <w:t>/h，吹瓶废气设计收集风量23000</w:t>
            </w:r>
            <w:r>
              <w:rPr>
                <w:rFonts w:hint="eastAsia"/>
                <w:color w:val="auto"/>
                <w:highlight w:val="none"/>
                <w:lang w:val="en-US" w:eastAsia="zh-CN"/>
              </w:rPr>
              <w:t>m</w:t>
            </w:r>
            <w:r>
              <w:rPr>
                <w:rFonts w:hint="eastAsia"/>
                <w:color w:val="auto"/>
                <w:highlight w:val="none"/>
                <w:vertAlign w:val="superscript"/>
                <w:lang w:val="en-US" w:eastAsia="zh-CN"/>
              </w:rPr>
              <w:t>3</w:t>
            </w:r>
            <w:r>
              <w:rPr>
                <w:rFonts w:hint="eastAsia"/>
                <w:color w:val="auto"/>
                <w:highlight w:val="none"/>
                <w:vertAlign w:val="baseline"/>
                <w:lang w:val="en-US" w:eastAsia="zh-CN"/>
              </w:rPr>
              <w:t>/h，压盖废气设计收集风量1000</w:t>
            </w:r>
            <w:r>
              <w:rPr>
                <w:rFonts w:hint="eastAsia"/>
                <w:color w:val="auto"/>
                <w:highlight w:val="none"/>
                <w:lang w:val="en-US" w:eastAsia="zh-CN"/>
              </w:rPr>
              <w:t>m</w:t>
            </w:r>
            <w:r>
              <w:rPr>
                <w:rFonts w:hint="eastAsia"/>
                <w:color w:val="auto"/>
                <w:highlight w:val="none"/>
                <w:vertAlign w:val="superscript"/>
                <w:lang w:val="en-US" w:eastAsia="zh-CN"/>
              </w:rPr>
              <w:t>3</w:t>
            </w:r>
            <w:r>
              <w:rPr>
                <w:rFonts w:hint="eastAsia"/>
                <w:color w:val="auto"/>
                <w:highlight w:val="none"/>
                <w:vertAlign w:val="baseline"/>
                <w:lang w:val="en-US" w:eastAsia="zh-CN"/>
              </w:rPr>
              <w:t>/h，总风量25000m</w:t>
            </w:r>
            <w:r>
              <w:rPr>
                <w:rFonts w:hint="eastAsia"/>
                <w:color w:val="auto"/>
                <w:highlight w:val="none"/>
                <w:vertAlign w:val="superscript"/>
                <w:lang w:val="en-US" w:eastAsia="zh-CN"/>
              </w:rPr>
              <w:t>3</w:t>
            </w:r>
            <w:r>
              <w:rPr>
                <w:rFonts w:hint="eastAsia"/>
                <w:color w:val="auto"/>
                <w:highlight w:val="none"/>
                <w:vertAlign w:val="baseline"/>
                <w:lang w:val="en-US" w:eastAsia="zh-CN"/>
              </w:rPr>
              <w:t>/h，可满足项目废气收集要求。</w:t>
            </w:r>
          </w:p>
          <w:p w14:paraId="7784E4AD">
            <w:pPr>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vertAlign w:val="baseline"/>
                <w:lang w:val="en-US" w:eastAsia="zh-CN"/>
              </w:rPr>
            </w:pPr>
            <w:r>
              <w:rPr>
                <w:rFonts w:hint="eastAsia" w:ascii="Times New Roman" w:hAnsi="Times New Roman" w:eastAsia="宋体"/>
                <w:color w:val="auto"/>
                <w:highlight w:val="none"/>
                <w:vertAlign w:val="baseline"/>
                <w:lang w:val="en-US" w:eastAsia="zh-CN"/>
              </w:rPr>
              <w:t>②废气处理措施可行性分析</w:t>
            </w:r>
          </w:p>
          <w:p w14:paraId="04596022">
            <w:pPr>
              <w:keepNext w:val="0"/>
              <w:keepLines w:val="0"/>
              <w:suppressLineNumbers w:val="0"/>
              <w:spacing w:before="0" w:beforeAutospacing="0" w:after="0" w:afterAutospacing="0"/>
              <w:ind w:left="0" w:right="0"/>
              <w:rPr>
                <w:rFonts w:hint="eastAsia"/>
                <w:color w:val="auto"/>
                <w:lang w:val="en-US" w:eastAsia="zh-CN"/>
              </w:rPr>
            </w:pPr>
            <w:r>
              <w:rPr>
                <w:rFonts w:hint="eastAsia"/>
                <w:color w:val="auto"/>
                <w:lang w:val="en-US" w:eastAsia="zh-CN"/>
              </w:rPr>
              <w:t>A、活性炭吸附原理</w:t>
            </w:r>
          </w:p>
          <w:p w14:paraId="3EE2B504">
            <w:pPr>
              <w:keepNext w:val="0"/>
              <w:keepLines w:val="0"/>
              <w:suppressLineNumbers w:val="0"/>
              <w:spacing w:before="0" w:beforeAutospacing="0" w:after="0" w:afterAutospacing="0"/>
              <w:ind w:left="0" w:right="0" w:firstLine="480"/>
              <w:rPr>
                <w:rFonts w:hint="default"/>
                <w:color w:val="auto"/>
                <w:lang w:val="en-US"/>
              </w:rPr>
            </w:pPr>
            <w:r>
              <w:rPr>
                <w:rFonts w:hint="default"/>
                <w:color w:val="auto"/>
                <w:lang w:val="en-US"/>
              </w:rPr>
              <w:t>活性炭对苯、醇、酮、酯、醚、烷、醛、酚、汽油类等有机溶剂有良好的吸附回收作用，活性炭是一种非常优良的吸附剂，是以含碳量较高的物质如木材、煤、果壳、骨、石油残渣等，通过物理和化学方法对原料进行破碎、过筛、催化剂活化、漂洗、烘干和筛选等一系列工序加工制造而成。其中以椰子壳为最常用的原料，在同等条件下，椰壳的活性质量及其他特性是最好的，因其有最大的比表面。正是活性炭具有很大的比表面积，而且炭粒中还有更细小的孔——毛细管。这种毛细管具有很强的吸附能力，所以能与气体（杂质）充分接触，当这些气体（杂质）碰到毛细管就被吸附，起净化作用。</w:t>
            </w:r>
          </w:p>
          <w:p w14:paraId="32B907F0">
            <w:pPr>
              <w:keepNext w:val="0"/>
              <w:keepLines w:val="0"/>
              <w:suppressLineNumbers w:val="0"/>
              <w:bidi w:val="0"/>
              <w:spacing w:before="0" w:beforeAutospacing="0" w:after="0" w:afterAutospacing="0"/>
              <w:ind w:left="0" w:right="0"/>
              <w:rPr>
                <w:rFonts w:hint="default"/>
                <w:color w:val="auto"/>
                <w:lang w:val="en-US"/>
              </w:rPr>
            </w:pPr>
            <w:r>
              <w:rPr>
                <w:rFonts w:hint="eastAsia"/>
                <w:color w:val="auto"/>
                <w:highlight w:val="none"/>
                <w:vertAlign w:val="baseline"/>
                <w:lang w:val="en-US" w:eastAsia="zh-CN"/>
              </w:rPr>
              <w:t>B、</w:t>
            </w:r>
            <w:r>
              <w:rPr>
                <w:rFonts w:hint="default"/>
                <w:color w:val="auto"/>
                <w:lang w:val="en-US"/>
              </w:rPr>
              <w:t>活性炭吸附设计参数</w:t>
            </w:r>
          </w:p>
          <w:p w14:paraId="27EA4C74">
            <w:pPr>
              <w:keepNext w:val="0"/>
              <w:keepLines w:val="0"/>
              <w:suppressLineNumbers w:val="0"/>
              <w:bidi w:val="0"/>
              <w:spacing w:before="0" w:beforeAutospacing="0" w:after="0" w:afterAutospacing="0"/>
              <w:ind w:left="0" w:right="0"/>
              <w:rPr>
                <w:rFonts w:hint="default" w:eastAsia="宋体"/>
                <w:color w:val="auto"/>
                <w:lang w:val="en-US" w:eastAsia="zh-CN"/>
              </w:rPr>
            </w:pPr>
            <w:r>
              <w:rPr>
                <w:rFonts w:hint="eastAsia"/>
                <w:color w:val="auto"/>
                <w:lang w:val="en-US" w:eastAsia="zh-CN"/>
              </w:rPr>
              <w:t>本项目活性炭吸附设施参数及与苏环办〔2022〕218号文件相符性分析见下表：</w:t>
            </w:r>
          </w:p>
          <w:p w14:paraId="1543C37D">
            <w:pPr>
              <w:pStyle w:val="23"/>
              <w:keepNext w:val="0"/>
              <w:keepLines w:val="0"/>
              <w:suppressLineNumbers w:val="0"/>
              <w:spacing w:before="0" w:beforeAutospacing="0" w:after="0" w:afterAutospacing="0"/>
              <w:ind w:left="0" w:right="0"/>
              <w:rPr>
                <w:rFonts w:hint="default"/>
                <w:color w:val="auto"/>
              </w:rPr>
            </w:pPr>
            <w:r>
              <w:rPr>
                <w:color w:val="auto"/>
              </w:rPr>
              <w:t>表4-6活性炭吸附参数表与苏环办〔2022〕218号文件相符性分析</w:t>
            </w:r>
          </w:p>
          <w:tbl>
            <w:tblPr>
              <w:tblStyle w:val="16"/>
              <w:tblW w:w="5000" w:type="pct"/>
              <w:jc w:val="center"/>
              <w:tblLayout w:type="fixed"/>
              <w:tblCellMar>
                <w:top w:w="0" w:type="dxa"/>
                <w:left w:w="0" w:type="dxa"/>
                <w:bottom w:w="0" w:type="dxa"/>
                <w:right w:w="0" w:type="dxa"/>
              </w:tblCellMar>
            </w:tblPr>
            <w:tblGrid>
              <w:gridCol w:w="497"/>
              <w:gridCol w:w="461"/>
              <w:gridCol w:w="1739"/>
              <w:gridCol w:w="1815"/>
              <w:gridCol w:w="2781"/>
              <w:gridCol w:w="671"/>
            </w:tblGrid>
            <w:tr w14:paraId="0D6C928D">
              <w:tblPrEx>
                <w:tblCellMar>
                  <w:top w:w="0" w:type="dxa"/>
                  <w:left w:w="0" w:type="dxa"/>
                  <w:bottom w:w="0" w:type="dxa"/>
                  <w:right w:w="0" w:type="dxa"/>
                </w:tblCellMar>
              </w:tblPrEx>
              <w:trPr>
                <w:trHeight w:val="340" w:hRule="atLeast"/>
                <w:jc w:val="center"/>
              </w:trPr>
              <w:tc>
                <w:tcPr>
                  <w:tcW w:w="497" w:type="dxa"/>
                  <w:tcBorders>
                    <w:top w:val="single" w:color="000000" w:sz="12" w:space="0"/>
                    <w:left w:val="nil"/>
                    <w:bottom w:val="single" w:color="000000" w:sz="8" w:space="0"/>
                    <w:right w:val="single" w:color="000000" w:sz="8" w:space="0"/>
                  </w:tcBorders>
                  <w:shd w:val="clear" w:color="auto" w:fill="auto"/>
                  <w:vAlign w:val="center"/>
                </w:tcPr>
                <w:p w14:paraId="4D666821">
                  <w:pPr>
                    <w:pStyle w:val="21"/>
                    <w:keepNext w:val="0"/>
                    <w:keepLines w:val="0"/>
                    <w:suppressLineNumbers w:val="0"/>
                    <w:spacing w:before="0" w:beforeAutospacing="0" w:after="0" w:afterAutospacing="0"/>
                    <w:ind w:left="0" w:right="0"/>
                    <w:rPr>
                      <w:rFonts w:hint="default"/>
                      <w:b/>
                      <w:bCs/>
                      <w:color w:val="auto"/>
                    </w:rPr>
                  </w:pPr>
                  <w:r>
                    <w:rPr>
                      <w:rFonts w:hint="eastAsia"/>
                      <w:b/>
                      <w:bCs/>
                      <w:color w:val="auto"/>
                      <w:lang w:val="en-US"/>
                    </w:rPr>
                    <w:t>序号</w:t>
                  </w:r>
                </w:p>
              </w:tc>
              <w:tc>
                <w:tcPr>
                  <w:tcW w:w="2200" w:type="dxa"/>
                  <w:gridSpan w:val="2"/>
                  <w:tcBorders>
                    <w:top w:val="single" w:color="000000" w:sz="12" w:space="0"/>
                    <w:left w:val="single" w:color="000000" w:sz="8" w:space="0"/>
                    <w:bottom w:val="single" w:color="000000" w:sz="8" w:space="0"/>
                    <w:right w:val="single" w:color="000000" w:sz="8" w:space="0"/>
                  </w:tcBorders>
                  <w:shd w:val="clear" w:color="auto" w:fill="auto"/>
                  <w:vAlign w:val="center"/>
                </w:tcPr>
                <w:p w14:paraId="4532D410">
                  <w:pPr>
                    <w:pStyle w:val="21"/>
                    <w:keepNext w:val="0"/>
                    <w:keepLines w:val="0"/>
                    <w:suppressLineNumbers w:val="0"/>
                    <w:spacing w:before="0" w:beforeAutospacing="0" w:after="0" w:afterAutospacing="0"/>
                    <w:ind w:left="0" w:right="0"/>
                    <w:rPr>
                      <w:rFonts w:hint="default"/>
                      <w:b/>
                      <w:bCs/>
                      <w:color w:val="auto"/>
                    </w:rPr>
                  </w:pPr>
                  <w:r>
                    <w:rPr>
                      <w:rFonts w:hint="eastAsia"/>
                      <w:b/>
                      <w:bCs/>
                      <w:color w:val="auto"/>
                      <w:lang w:val="en-US"/>
                    </w:rPr>
                    <w:t>参数</w:t>
                  </w:r>
                </w:p>
              </w:tc>
              <w:tc>
                <w:tcPr>
                  <w:tcW w:w="1815" w:type="dxa"/>
                  <w:tcBorders>
                    <w:top w:val="single" w:color="000000" w:sz="12" w:space="0"/>
                    <w:left w:val="single" w:color="000000" w:sz="8" w:space="0"/>
                    <w:bottom w:val="single" w:color="000000" w:sz="8" w:space="0"/>
                    <w:right w:val="single" w:color="000000" w:sz="8" w:space="0"/>
                  </w:tcBorders>
                  <w:shd w:val="clear" w:color="auto" w:fill="auto"/>
                  <w:vAlign w:val="center"/>
                </w:tcPr>
                <w:p w14:paraId="3A8B56EB">
                  <w:pPr>
                    <w:pStyle w:val="21"/>
                    <w:keepNext w:val="0"/>
                    <w:keepLines w:val="0"/>
                    <w:suppressLineNumbers w:val="0"/>
                    <w:spacing w:before="0" w:beforeAutospacing="0" w:after="0" w:afterAutospacing="0"/>
                    <w:ind w:left="0" w:right="0"/>
                    <w:rPr>
                      <w:rFonts w:hint="default"/>
                      <w:b/>
                      <w:bCs/>
                      <w:color w:val="auto"/>
                    </w:rPr>
                  </w:pPr>
                  <w:r>
                    <w:rPr>
                      <w:rFonts w:hint="eastAsia"/>
                      <w:b/>
                      <w:bCs/>
                      <w:color w:val="auto"/>
                      <w:lang w:val="en-US"/>
                    </w:rPr>
                    <w:t>参数</w:t>
                  </w:r>
                </w:p>
              </w:tc>
              <w:tc>
                <w:tcPr>
                  <w:tcW w:w="2781" w:type="dxa"/>
                  <w:tcBorders>
                    <w:top w:val="single" w:color="000000" w:sz="12" w:space="0"/>
                    <w:left w:val="single" w:color="000000" w:sz="8" w:space="0"/>
                    <w:bottom w:val="single" w:color="000000" w:sz="8" w:space="0"/>
                    <w:right w:val="single" w:color="000000" w:sz="8" w:space="0"/>
                  </w:tcBorders>
                  <w:shd w:val="clear" w:color="auto" w:fill="auto"/>
                  <w:vAlign w:val="center"/>
                </w:tcPr>
                <w:p w14:paraId="771DB29D">
                  <w:pPr>
                    <w:pStyle w:val="21"/>
                    <w:keepNext w:val="0"/>
                    <w:keepLines w:val="0"/>
                    <w:suppressLineNumbers w:val="0"/>
                    <w:spacing w:before="0" w:beforeAutospacing="0" w:after="0" w:afterAutospacing="0"/>
                    <w:ind w:left="0" w:right="0"/>
                    <w:rPr>
                      <w:rFonts w:hint="default"/>
                      <w:b/>
                      <w:bCs/>
                      <w:color w:val="auto"/>
                    </w:rPr>
                  </w:pPr>
                  <w:r>
                    <w:rPr>
                      <w:rFonts w:hint="eastAsia"/>
                      <w:b/>
                      <w:bCs/>
                      <w:color w:val="auto"/>
                      <w:lang w:val="en-US"/>
                    </w:rPr>
                    <w:t>苏环办〔</w:t>
                  </w:r>
                  <w:r>
                    <w:rPr>
                      <w:rFonts w:hint="default"/>
                      <w:b/>
                      <w:bCs/>
                      <w:color w:val="auto"/>
                      <w:lang w:val="en-US"/>
                    </w:rPr>
                    <w:t>2022</w:t>
                  </w:r>
                  <w:r>
                    <w:rPr>
                      <w:rFonts w:hint="eastAsia"/>
                      <w:b/>
                      <w:bCs/>
                      <w:color w:val="auto"/>
                      <w:lang w:val="en-US"/>
                    </w:rPr>
                    <w:t>〕</w:t>
                  </w:r>
                  <w:r>
                    <w:rPr>
                      <w:rFonts w:hint="default"/>
                      <w:b/>
                      <w:bCs/>
                      <w:color w:val="auto"/>
                      <w:lang w:val="en-US"/>
                    </w:rPr>
                    <w:t>218</w:t>
                  </w:r>
                  <w:r>
                    <w:rPr>
                      <w:rFonts w:hint="eastAsia"/>
                      <w:b/>
                      <w:bCs/>
                      <w:color w:val="auto"/>
                      <w:lang w:val="en-US"/>
                    </w:rPr>
                    <w:t>号文件要求</w:t>
                  </w:r>
                </w:p>
              </w:tc>
              <w:tc>
                <w:tcPr>
                  <w:tcW w:w="671" w:type="dxa"/>
                  <w:tcBorders>
                    <w:top w:val="single" w:color="000000" w:sz="12" w:space="0"/>
                    <w:left w:val="single" w:color="000000" w:sz="8" w:space="0"/>
                    <w:bottom w:val="single" w:color="000000" w:sz="8" w:space="0"/>
                    <w:right w:val="nil"/>
                  </w:tcBorders>
                  <w:shd w:val="clear" w:color="auto" w:fill="auto"/>
                  <w:vAlign w:val="center"/>
                </w:tcPr>
                <w:p w14:paraId="206F7E74">
                  <w:pPr>
                    <w:pStyle w:val="21"/>
                    <w:keepNext w:val="0"/>
                    <w:keepLines w:val="0"/>
                    <w:suppressLineNumbers w:val="0"/>
                    <w:spacing w:before="0" w:beforeAutospacing="0" w:after="0" w:afterAutospacing="0"/>
                    <w:ind w:left="0" w:right="0"/>
                    <w:rPr>
                      <w:rFonts w:hint="default"/>
                      <w:b/>
                      <w:bCs/>
                      <w:color w:val="auto"/>
                    </w:rPr>
                  </w:pPr>
                  <w:r>
                    <w:rPr>
                      <w:rFonts w:hint="eastAsia"/>
                      <w:b/>
                      <w:bCs/>
                      <w:color w:val="auto"/>
                      <w:lang w:val="en-US"/>
                    </w:rPr>
                    <w:t>相符性</w:t>
                  </w:r>
                </w:p>
              </w:tc>
            </w:tr>
            <w:tr w14:paraId="348A33DE">
              <w:tblPrEx>
                <w:tblCellMar>
                  <w:top w:w="0" w:type="dxa"/>
                  <w:left w:w="0" w:type="dxa"/>
                  <w:bottom w:w="0" w:type="dxa"/>
                  <w:right w:w="0" w:type="dxa"/>
                </w:tblCellMar>
              </w:tblPrEx>
              <w:trPr>
                <w:trHeight w:val="340" w:hRule="atLeast"/>
                <w:jc w:val="center"/>
              </w:trPr>
              <w:tc>
                <w:tcPr>
                  <w:tcW w:w="497" w:type="dxa"/>
                  <w:vMerge w:val="restart"/>
                  <w:tcBorders>
                    <w:top w:val="single" w:color="000000" w:sz="8" w:space="0"/>
                    <w:left w:val="nil"/>
                    <w:bottom w:val="single" w:color="000000" w:sz="8" w:space="0"/>
                    <w:right w:val="single" w:color="000000" w:sz="8" w:space="0"/>
                  </w:tcBorders>
                  <w:shd w:val="clear" w:color="auto" w:fill="auto"/>
                  <w:vAlign w:val="center"/>
                </w:tcPr>
                <w:p w14:paraId="354E01EB">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1</w:t>
                  </w:r>
                </w:p>
              </w:tc>
              <w:tc>
                <w:tcPr>
                  <w:tcW w:w="461"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E6DD110">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一级活性炭</w:t>
                  </w: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AB2FFFD">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风量（</w:t>
                  </w:r>
                  <w:r>
                    <w:rPr>
                      <w:rFonts w:hint="default"/>
                      <w:color w:val="auto"/>
                      <w:lang w:val="en-US"/>
                    </w:rPr>
                    <w:t>m</w:t>
                  </w:r>
                  <w:r>
                    <w:rPr>
                      <w:rFonts w:hint="default"/>
                      <w:color w:val="auto"/>
                      <w:vertAlign w:val="superscript"/>
                      <w:lang w:val="en-US"/>
                    </w:rPr>
                    <w:t>3</w:t>
                  </w:r>
                  <w:r>
                    <w:rPr>
                      <w:rFonts w:hint="default"/>
                      <w:color w:val="auto"/>
                      <w:lang w:val="en-US"/>
                    </w:rPr>
                    <w:t>/h</w:t>
                  </w:r>
                  <w:r>
                    <w:rPr>
                      <w:rFonts w:hint="eastAsia"/>
                      <w:color w:val="auto"/>
                      <w:lang w:val="en-US"/>
                    </w:rPr>
                    <w:t>）</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12C5037">
                  <w:pPr>
                    <w:pStyle w:val="21"/>
                    <w:keepNext w:val="0"/>
                    <w:keepLines w:val="0"/>
                    <w:suppressLineNumbers w:val="0"/>
                    <w:spacing w:before="0" w:beforeAutospacing="0" w:after="0" w:afterAutospacing="0"/>
                    <w:ind w:left="0" w:right="0"/>
                    <w:rPr>
                      <w:rFonts w:hint="default" w:eastAsia="宋体"/>
                      <w:color w:val="auto"/>
                      <w:lang w:val="en-US" w:eastAsia="zh-CN"/>
                    </w:rPr>
                  </w:pPr>
                  <w:r>
                    <w:rPr>
                      <w:rFonts w:hint="eastAsia"/>
                      <w:color w:val="auto"/>
                      <w:highlight w:val="none"/>
                      <w:lang w:val="en-US" w:eastAsia="zh-CN"/>
                    </w:rPr>
                    <w:t>25000</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513309D">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71112D3C">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r>
            <w:tr w14:paraId="118E9804">
              <w:tblPrEx>
                <w:tblCellMar>
                  <w:top w:w="0" w:type="dxa"/>
                  <w:left w:w="0" w:type="dxa"/>
                  <w:bottom w:w="0" w:type="dxa"/>
                  <w:right w:w="0" w:type="dxa"/>
                </w:tblCellMar>
              </w:tblPrEx>
              <w:trPr>
                <w:trHeight w:val="340" w:hRule="atLeast"/>
                <w:jc w:val="center"/>
              </w:trPr>
              <w:tc>
                <w:tcPr>
                  <w:tcW w:w="497" w:type="dxa"/>
                  <w:vMerge w:val="continue"/>
                  <w:tcBorders>
                    <w:top w:val="single" w:color="000000" w:sz="8" w:space="0"/>
                    <w:left w:val="nil"/>
                    <w:bottom w:val="single" w:color="000000" w:sz="8" w:space="0"/>
                    <w:right w:val="single" w:color="000000" w:sz="8" w:space="0"/>
                  </w:tcBorders>
                  <w:shd w:val="clear" w:color="auto" w:fill="auto"/>
                  <w:vAlign w:val="center"/>
                </w:tcPr>
                <w:p w14:paraId="6A38A146">
                  <w:pPr>
                    <w:pStyle w:val="21"/>
                    <w:keepNext w:val="0"/>
                    <w:keepLines w:val="0"/>
                    <w:suppressLineNumbers w:val="0"/>
                    <w:spacing w:before="0" w:beforeAutospacing="0" w:after="0" w:afterAutospacing="0"/>
                    <w:ind w:left="0" w:right="0"/>
                    <w:rPr>
                      <w:rFonts w:hint="default"/>
                      <w:color w:val="auto"/>
                    </w:rPr>
                  </w:pPr>
                </w:p>
              </w:tc>
              <w:tc>
                <w:tcPr>
                  <w:tcW w:w="46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E21F05C">
                  <w:pPr>
                    <w:pStyle w:val="21"/>
                    <w:keepNext w:val="0"/>
                    <w:keepLines w:val="0"/>
                    <w:suppressLineNumbers w:val="0"/>
                    <w:spacing w:before="0" w:beforeAutospacing="0" w:after="0" w:afterAutospacing="0"/>
                    <w:ind w:left="0" w:right="0"/>
                    <w:rPr>
                      <w:rFonts w:hint="default"/>
                      <w:color w:val="auto"/>
                    </w:rPr>
                  </w:pP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5D9ED14">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活性炭种类</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6F1C152">
                  <w:pPr>
                    <w:pStyle w:val="21"/>
                    <w:keepNext w:val="0"/>
                    <w:keepLines w:val="0"/>
                    <w:suppressLineNumbers w:val="0"/>
                    <w:spacing w:before="0" w:beforeAutospacing="0" w:after="0" w:afterAutospacing="0"/>
                    <w:ind w:left="0" w:right="0"/>
                    <w:rPr>
                      <w:rFonts w:hint="eastAsia" w:eastAsia="宋体"/>
                      <w:color w:val="auto"/>
                      <w:lang w:val="en-US" w:eastAsia="zh-CN"/>
                    </w:rPr>
                  </w:pPr>
                  <w:r>
                    <w:rPr>
                      <w:rFonts w:hint="eastAsia"/>
                      <w:color w:val="auto"/>
                      <w:lang w:val="en-US" w:eastAsia="zh-CN"/>
                    </w:rPr>
                    <w:t>颗粒活性炭</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F533524">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2DD76BD9">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r>
            <w:tr w14:paraId="5A0EF75D">
              <w:tblPrEx>
                <w:tblCellMar>
                  <w:top w:w="0" w:type="dxa"/>
                  <w:left w:w="0" w:type="dxa"/>
                  <w:bottom w:w="0" w:type="dxa"/>
                  <w:right w:w="0" w:type="dxa"/>
                </w:tblCellMar>
              </w:tblPrEx>
              <w:trPr>
                <w:trHeight w:val="340" w:hRule="atLeast"/>
                <w:jc w:val="center"/>
              </w:trPr>
              <w:tc>
                <w:tcPr>
                  <w:tcW w:w="497" w:type="dxa"/>
                  <w:vMerge w:val="continue"/>
                  <w:tcBorders>
                    <w:top w:val="single" w:color="000000" w:sz="8" w:space="0"/>
                    <w:left w:val="nil"/>
                    <w:bottom w:val="single" w:color="000000" w:sz="8" w:space="0"/>
                    <w:right w:val="single" w:color="000000" w:sz="8" w:space="0"/>
                  </w:tcBorders>
                  <w:shd w:val="clear" w:color="auto" w:fill="auto"/>
                  <w:vAlign w:val="center"/>
                </w:tcPr>
                <w:p w14:paraId="23138D1A">
                  <w:pPr>
                    <w:pStyle w:val="21"/>
                    <w:keepNext w:val="0"/>
                    <w:keepLines w:val="0"/>
                    <w:suppressLineNumbers w:val="0"/>
                    <w:spacing w:before="0" w:beforeAutospacing="0" w:after="0" w:afterAutospacing="0"/>
                    <w:ind w:left="0" w:right="0"/>
                    <w:rPr>
                      <w:rFonts w:hint="default"/>
                      <w:color w:val="auto"/>
                    </w:rPr>
                  </w:pPr>
                </w:p>
              </w:tc>
              <w:tc>
                <w:tcPr>
                  <w:tcW w:w="46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9A277A6">
                  <w:pPr>
                    <w:pStyle w:val="21"/>
                    <w:keepNext w:val="0"/>
                    <w:keepLines w:val="0"/>
                    <w:suppressLineNumbers w:val="0"/>
                    <w:spacing w:before="0" w:beforeAutospacing="0" w:after="0" w:afterAutospacing="0"/>
                    <w:ind w:left="0" w:right="0"/>
                    <w:rPr>
                      <w:rFonts w:hint="default"/>
                      <w:color w:val="auto"/>
                    </w:rPr>
                  </w:pP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9D0F517">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箱体尺寸</w:t>
                  </w:r>
                  <w:r>
                    <w:rPr>
                      <w:rFonts w:hint="eastAsia"/>
                      <w:color w:val="auto"/>
                      <w:lang w:val="en-US" w:eastAsia="zh-CN"/>
                    </w:rPr>
                    <w:t>（mm）</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C4E279E">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eastAsia="zh-CN"/>
                    </w:rPr>
                    <w:t>210</w:t>
                  </w:r>
                  <w:r>
                    <w:rPr>
                      <w:rFonts w:hint="default"/>
                      <w:color w:val="auto"/>
                      <w:lang w:val="en-US"/>
                    </w:rPr>
                    <w:t>0×</w:t>
                  </w:r>
                  <w:r>
                    <w:rPr>
                      <w:rFonts w:hint="eastAsia"/>
                      <w:color w:val="auto"/>
                      <w:lang w:val="en-US" w:eastAsia="zh-CN"/>
                    </w:rPr>
                    <w:t>21</w:t>
                  </w:r>
                  <w:r>
                    <w:rPr>
                      <w:rFonts w:hint="default"/>
                      <w:color w:val="auto"/>
                      <w:lang w:val="en-US"/>
                    </w:rPr>
                    <w:t>00×</w:t>
                  </w:r>
                  <w:r>
                    <w:rPr>
                      <w:rFonts w:hint="eastAsia"/>
                      <w:color w:val="auto"/>
                      <w:lang w:val="en-US" w:eastAsia="zh-CN"/>
                    </w:rPr>
                    <w:t>22</w:t>
                  </w:r>
                  <w:r>
                    <w:rPr>
                      <w:rFonts w:hint="eastAsia"/>
                      <w:color w:val="auto"/>
                      <w:lang w:val="en-US"/>
                    </w:rPr>
                    <w:t>0</w:t>
                  </w:r>
                  <w:r>
                    <w:rPr>
                      <w:rFonts w:hint="default"/>
                      <w:color w:val="auto"/>
                      <w:lang w:val="en-US"/>
                    </w:rPr>
                    <w:t>0</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CBE0E17">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54FA7E2A">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r>
            <w:tr w14:paraId="18D54F08">
              <w:tblPrEx>
                <w:tblCellMar>
                  <w:top w:w="0" w:type="dxa"/>
                  <w:left w:w="0" w:type="dxa"/>
                  <w:bottom w:w="0" w:type="dxa"/>
                  <w:right w:w="0" w:type="dxa"/>
                </w:tblCellMar>
              </w:tblPrEx>
              <w:trPr>
                <w:trHeight w:val="340" w:hRule="atLeast"/>
                <w:jc w:val="center"/>
              </w:trPr>
              <w:tc>
                <w:tcPr>
                  <w:tcW w:w="497" w:type="dxa"/>
                  <w:vMerge w:val="continue"/>
                  <w:tcBorders>
                    <w:top w:val="single" w:color="000000" w:sz="8" w:space="0"/>
                    <w:left w:val="nil"/>
                    <w:bottom w:val="single" w:color="000000" w:sz="8" w:space="0"/>
                    <w:right w:val="single" w:color="000000" w:sz="8" w:space="0"/>
                  </w:tcBorders>
                  <w:shd w:val="clear" w:color="auto" w:fill="auto"/>
                  <w:vAlign w:val="center"/>
                </w:tcPr>
                <w:p w14:paraId="17FD9795">
                  <w:pPr>
                    <w:pStyle w:val="21"/>
                    <w:keepNext w:val="0"/>
                    <w:keepLines w:val="0"/>
                    <w:suppressLineNumbers w:val="0"/>
                    <w:spacing w:before="0" w:beforeAutospacing="0" w:after="0" w:afterAutospacing="0"/>
                    <w:ind w:left="0" w:right="0"/>
                    <w:rPr>
                      <w:rFonts w:hint="default"/>
                      <w:color w:val="auto"/>
                    </w:rPr>
                  </w:pPr>
                </w:p>
              </w:tc>
              <w:tc>
                <w:tcPr>
                  <w:tcW w:w="46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5014352">
                  <w:pPr>
                    <w:pStyle w:val="21"/>
                    <w:keepNext w:val="0"/>
                    <w:keepLines w:val="0"/>
                    <w:suppressLineNumbers w:val="0"/>
                    <w:spacing w:before="0" w:beforeAutospacing="0" w:after="0" w:afterAutospacing="0"/>
                    <w:ind w:left="0" w:right="0"/>
                    <w:rPr>
                      <w:rFonts w:hint="default"/>
                      <w:color w:val="auto"/>
                    </w:rPr>
                  </w:pP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EAA9A2D">
                  <w:pPr>
                    <w:pStyle w:val="21"/>
                    <w:keepNext w:val="0"/>
                    <w:keepLines w:val="0"/>
                    <w:suppressLineNumbers w:val="0"/>
                    <w:spacing w:before="0" w:beforeAutospacing="0" w:after="0" w:afterAutospacing="0"/>
                    <w:ind w:left="0" w:right="0"/>
                    <w:rPr>
                      <w:rFonts w:hint="eastAsia" w:eastAsia="宋体"/>
                      <w:color w:val="auto"/>
                      <w:lang w:val="en-US" w:eastAsia="zh-CN"/>
                    </w:rPr>
                  </w:pPr>
                  <w:r>
                    <w:rPr>
                      <w:rFonts w:hint="eastAsia"/>
                      <w:color w:val="auto"/>
                      <w:lang w:val="en-US"/>
                    </w:rPr>
                    <w:t>活性炭尺寸</w:t>
                  </w:r>
                  <w:r>
                    <w:rPr>
                      <w:rFonts w:hint="eastAsia"/>
                      <w:color w:val="auto"/>
                      <w:lang w:val="en-US" w:eastAsia="zh-CN"/>
                    </w:rPr>
                    <w:t>（mm）</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42F9E29">
                  <w:pPr>
                    <w:pStyle w:val="21"/>
                    <w:keepNext w:val="0"/>
                    <w:keepLines w:val="0"/>
                    <w:suppressLineNumbers w:val="0"/>
                    <w:spacing w:before="0" w:beforeAutospacing="0" w:after="0" w:afterAutospacing="0"/>
                    <w:ind w:left="0" w:right="0"/>
                    <w:rPr>
                      <w:rFonts w:hint="default"/>
                      <w:color w:val="auto"/>
                      <w:lang w:val="en-US"/>
                    </w:rPr>
                  </w:pPr>
                  <w:r>
                    <w:rPr>
                      <w:rFonts w:hint="eastAsia"/>
                      <w:color w:val="auto"/>
                      <w:lang w:val="en-US" w:eastAsia="zh-CN"/>
                    </w:rPr>
                    <w:t>200</w:t>
                  </w:r>
                  <w:r>
                    <w:rPr>
                      <w:rFonts w:hint="default"/>
                      <w:color w:val="auto"/>
                      <w:lang w:val="en-US"/>
                    </w:rPr>
                    <w:t>0×</w:t>
                  </w:r>
                  <w:r>
                    <w:rPr>
                      <w:rFonts w:hint="eastAsia"/>
                      <w:color w:val="auto"/>
                      <w:lang w:val="en-US" w:eastAsia="zh-CN"/>
                    </w:rPr>
                    <w:t>20</w:t>
                  </w:r>
                  <w:r>
                    <w:rPr>
                      <w:rFonts w:hint="default"/>
                      <w:color w:val="auto"/>
                      <w:lang w:val="en-US"/>
                    </w:rPr>
                    <w:t>00×</w:t>
                  </w:r>
                  <w:r>
                    <w:rPr>
                      <w:rFonts w:hint="eastAsia"/>
                      <w:color w:val="auto"/>
                      <w:lang w:val="en-US" w:eastAsia="zh-CN"/>
                    </w:rPr>
                    <w:t>25</w:t>
                  </w:r>
                  <w:r>
                    <w:rPr>
                      <w:rFonts w:hint="default"/>
                      <w:color w:val="auto"/>
                      <w:lang w:val="en-US"/>
                    </w:rPr>
                    <w:t>0</w:t>
                  </w:r>
                  <w:r>
                    <w:rPr>
                      <w:rFonts w:hint="eastAsia"/>
                      <w:color w:val="auto"/>
                      <w:lang w:val="en-US"/>
                    </w:rPr>
                    <w:t>*</w:t>
                  </w:r>
                  <w:r>
                    <w:rPr>
                      <w:rFonts w:hint="eastAsia"/>
                      <w:color w:val="auto"/>
                      <w:lang w:val="en-US" w:eastAsia="zh-CN"/>
                    </w:rPr>
                    <w:t>4</w:t>
                  </w:r>
                  <w:r>
                    <w:rPr>
                      <w:rFonts w:hint="eastAsia"/>
                      <w:color w:val="auto"/>
                      <w:lang w:val="en-US"/>
                    </w:rPr>
                    <w:t>层</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6A20DDA">
                  <w:pPr>
                    <w:pStyle w:val="21"/>
                    <w:keepNext w:val="0"/>
                    <w:keepLines w:val="0"/>
                    <w:suppressLineNumbers w:val="0"/>
                    <w:spacing w:before="0" w:beforeAutospacing="0" w:after="0" w:afterAutospacing="0"/>
                    <w:ind w:left="0" w:right="0"/>
                    <w:rPr>
                      <w:rFonts w:hint="default"/>
                      <w:color w:val="auto"/>
                      <w:lang w:val="en-US"/>
                    </w:rPr>
                  </w:pPr>
                  <w:r>
                    <w:rPr>
                      <w:rFonts w:hint="eastAsia"/>
                      <w:color w:val="auto"/>
                      <w:lang w:val="en-US"/>
                    </w:rPr>
                    <w:t>/</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43E49D7C">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相符</w:t>
                  </w:r>
                </w:p>
              </w:tc>
            </w:tr>
            <w:tr w14:paraId="5626EFEC">
              <w:tblPrEx>
                <w:tblCellMar>
                  <w:top w:w="0" w:type="dxa"/>
                  <w:left w:w="0" w:type="dxa"/>
                  <w:bottom w:w="0" w:type="dxa"/>
                  <w:right w:w="0" w:type="dxa"/>
                </w:tblCellMar>
              </w:tblPrEx>
              <w:trPr>
                <w:trHeight w:val="340" w:hRule="atLeast"/>
                <w:jc w:val="center"/>
              </w:trPr>
              <w:tc>
                <w:tcPr>
                  <w:tcW w:w="497" w:type="dxa"/>
                  <w:vMerge w:val="continue"/>
                  <w:tcBorders>
                    <w:top w:val="single" w:color="000000" w:sz="8" w:space="0"/>
                    <w:left w:val="nil"/>
                    <w:bottom w:val="single" w:color="000000" w:sz="8" w:space="0"/>
                    <w:right w:val="single" w:color="000000" w:sz="8" w:space="0"/>
                  </w:tcBorders>
                  <w:shd w:val="clear" w:color="auto" w:fill="auto"/>
                  <w:vAlign w:val="center"/>
                </w:tcPr>
                <w:p w14:paraId="6BAAC574">
                  <w:pPr>
                    <w:pStyle w:val="21"/>
                    <w:keepNext w:val="0"/>
                    <w:keepLines w:val="0"/>
                    <w:suppressLineNumbers w:val="0"/>
                    <w:spacing w:before="0" w:beforeAutospacing="0" w:after="0" w:afterAutospacing="0"/>
                    <w:ind w:left="0" w:right="0"/>
                    <w:rPr>
                      <w:rFonts w:hint="default"/>
                      <w:color w:val="auto"/>
                    </w:rPr>
                  </w:pPr>
                </w:p>
              </w:tc>
              <w:tc>
                <w:tcPr>
                  <w:tcW w:w="46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F6A00A3">
                  <w:pPr>
                    <w:pStyle w:val="21"/>
                    <w:keepNext w:val="0"/>
                    <w:keepLines w:val="0"/>
                    <w:suppressLineNumbers w:val="0"/>
                    <w:spacing w:before="0" w:beforeAutospacing="0" w:after="0" w:afterAutospacing="0"/>
                    <w:ind w:left="0" w:right="0"/>
                    <w:rPr>
                      <w:rFonts w:hint="default"/>
                      <w:color w:val="auto"/>
                    </w:rPr>
                  </w:pP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160FDB5">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活性炭碘值（</w:t>
                  </w:r>
                  <w:r>
                    <w:rPr>
                      <w:rFonts w:hint="default"/>
                      <w:color w:val="auto"/>
                      <w:lang w:val="en-US"/>
                    </w:rPr>
                    <w:t>mg/g</w:t>
                  </w:r>
                  <w:r>
                    <w:rPr>
                      <w:rFonts w:hint="eastAsia"/>
                      <w:color w:val="auto"/>
                      <w:lang w:val="en-US"/>
                    </w:rPr>
                    <w:t>）</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D4E5F5F">
                  <w:pPr>
                    <w:pStyle w:val="21"/>
                    <w:keepNext w:val="0"/>
                    <w:keepLines w:val="0"/>
                    <w:suppressLineNumbers w:val="0"/>
                    <w:spacing w:before="0" w:beforeAutospacing="0" w:after="0" w:afterAutospacing="0"/>
                    <w:ind w:left="0" w:right="0"/>
                    <w:rPr>
                      <w:rFonts w:hint="default" w:eastAsia="宋体"/>
                      <w:color w:val="auto"/>
                      <w:lang w:val="en-US" w:eastAsia="zh-CN"/>
                    </w:rPr>
                  </w:pPr>
                  <w:r>
                    <w:rPr>
                      <w:rFonts w:hint="eastAsia"/>
                      <w:color w:val="auto"/>
                      <w:lang w:val="en-US" w:eastAsia="zh-CN"/>
                    </w:rPr>
                    <w:t>800</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1DAE784">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r>
                    <w:rPr>
                      <w:rFonts w:hint="eastAsia"/>
                      <w:color w:val="auto"/>
                      <w:lang w:val="en-US" w:eastAsia="zh-CN"/>
                    </w:rPr>
                    <w:t>80</w:t>
                  </w:r>
                  <w:r>
                    <w:rPr>
                      <w:rFonts w:hint="default"/>
                      <w:color w:val="auto"/>
                      <w:lang w:val="en-US"/>
                    </w:rPr>
                    <w:t>0</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1C685631">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相符</w:t>
                  </w:r>
                </w:p>
              </w:tc>
            </w:tr>
            <w:tr w14:paraId="711BC83E">
              <w:tblPrEx>
                <w:tblCellMar>
                  <w:top w:w="0" w:type="dxa"/>
                  <w:left w:w="0" w:type="dxa"/>
                  <w:bottom w:w="0" w:type="dxa"/>
                  <w:right w:w="0" w:type="dxa"/>
                </w:tblCellMar>
              </w:tblPrEx>
              <w:trPr>
                <w:trHeight w:val="340" w:hRule="atLeast"/>
                <w:jc w:val="center"/>
              </w:trPr>
              <w:tc>
                <w:tcPr>
                  <w:tcW w:w="497" w:type="dxa"/>
                  <w:vMerge w:val="continue"/>
                  <w:tcBorders>
                    <w:top w:val="single" w:color="000000" w:sz="8" w:space="0"/>
                    <w:left w:val="nil"/>
                    <w:bottom w:val="single" w:color="000000" w:sz="8" w:space="0"/>
                    <w:right w:val="single" w:color="000000" w:sz="8" w:space="0"/>
                  </w:tcBorders>
                  <w:shd w:val="clear" w:color="auto" w:fill="auto"/>
                  <w:vAlign w:val="center"/>
                </w:tcPr>
                <w:p w14:paraId="51C3C6EF">
                  <w:pPr>
                    <w:pStyle w:val="21"/>
                    <w:keepNext w:val="0"/>
                    <w:keepLines w:val="0"/>
                    <w:suppressLineNumbers w:val="0"/>
                    <w:spacing w:before="0" w:beforeAutospacing="0" w:after="0" w:afterAutospacing="0"/>
                    <w:ind w:left="0" w:right="0"/>
                    <w:rPr>
                      <w:rFonts w:hint="default"/>
                      <w:color w:val="auto"/>
                    </w:rPr>
                  </w:pPr>
                </w:p>
              </w:tc>
              <w:tc>
                <w:tcPr>
                  <w:tcW w:w="46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C02DAF8">
                  <w:pPr>
                    <w:pStyle w:val="21"/>
                    <w:keepNext w:val="0"/>
                    <w:keepLines w:val="0"/>
                    <w:suppressLineNumbers w:val="0"/>
                    <w:spacing w:before="0" w:beforeAutospacing="0" w:after="0" w:afterAutospacing="0"/>
                    <w:ind w:left="0" w:right="0"/>
                    <w:rPr>
                      <w:rFonts w:hint="default"/>
                      <w:color w:val="auto"/>
                    </w:rPr>
                  </w:pP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BAC3DEC">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比表面积（</w:t>
                  </w:r>
                  <w:r>
                    <w:rPr>
                      <w:rFonts w:hint="default"/>
                      <w:color w:val="auto"/>
                      <w:lang w:val="en-US"/>
                    </w:rPr>
                    <w:t>m²/g</w:t>
                  </w:r>
                  <w:r>
                    <w:rPr>
                      <w:rFonts w:hint="eastAsia"/>
                      <w:color w:val="auto"/>
                      <w:lang w:val="en-US"/>
                    </w:rPr>
                    <w:t>）</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079F063">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≥750</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DCE2F1B">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w:t>
                  </w:r>
                  <w:r>
                    <w:rPr>
                      <w:rFonts w:hint="default"/>
                      <w:color w:val="auto"/>
                      <w:lang w:val="en-US"/>
                    </w:rPr>
                    <w:t>750</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6FDE9B93">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相符</w:t>
                  </w:r>
                </w:p>
              </w:tc>
            </w:tr>
            <w:tr w14:paraId="5C363B57">
              <w:tblPrEx>
                <w:tblCellMar>
                  <w:top w:w="0" w:type="dxa"/>
                  <w:left w:w="0" w:type="dxa"/>
                  <w:bottom w:w="0" w:type="dxa"/>
                  <w:right w:w="0" w:type="dxa"/>
                </w:tblCellMar>
              </w:tblPrEx>
              <w:trPr>
                <w:trHeight w:val="340" w:hRule="atLeast"/>
                <w:jc w:val="center"/>
              </w:trPr>
              <w:tc>
                <w:tcPr>
                  <w:tcW w:w="497" w:type="dxa"/>
                  <w:vMerge w:val="continue"/>
                  <w:tcBorders>
                    <w:top w:val="single" w:color="000000" w:sz="8" w:space="0"/>
                    <w:left w:val="nil"/>
                    <w:bottom w:val="single" w:color="000000" w:sz="8" w:space="0"/>
                    <w:right w:val="single" w:color="000000" w:sz="8" w:space="0"/>
                  </w:tcBorders>
                  <w:shd w:val="clear" w:color="auto" w:fill="auto"/>
                  <w:vAlign w:val="center"/>
                </w:tcPr>
                <w:p w14:paraId="3E228001">
                  <w:pPr>
                    <w:pStyle w:val="21"/>
                    <w:keepNext w:val="0"/>
                    <w:keepLines w:val="0"/>
                    <w:suppressLineNumbers w:val="0"/>
                    <w:spacing w:before="0" w:beforeAutospacing="0" w:after="0" w:afterAutospacing="0"/>
                    <w:ind w:left="0" w:right="0"/>
                    <w:rPr>
                      <w:rFonts w:hint="default"/>
                      <w:color w:val="auto"/>
                    </w:rPr>
                  </w:pPr>
                </w:p>
              </w:tc>
              <w:tc>
                <w:tcPr>
                  <w:tcW w:w="46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D00CCE4">
                  <w:pPr>
                    <w:pStyle w:val="21"/>
                    <w:keepNext w:val="0"/>
                    <w:keepLines w:val="0"/>
                    <w:suppressLineNumbers w:val="0"/>
                    <w:spacing w:before="0" w:beforeAutospacing="0" w:after="0" w:afterAutospacing="0"/>
                    <w:ind w:left="0" w:right="0"/>
                    <w:rPr>
                      <w:rFonts w:hint="default"/>
                      <w:color w:val="auto"/>
                    </w:rPr>
                  </w:pP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52DDF3A">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过滤风速（</w:t>
                  </w:r>
                  <w:r>
                    <w:rPr>
                      <w:rFonts w:hint="default"/>
                      <w:color w:val="auto"/>
                      <w:lang w:val="en-US"/>
                    </w:rPr>
                    <w:t>m/s</w:t>
                  </w:r>
                  <w:r>
                    <w:rPr>
                      <w:rFonts w:hint="eastAsia"/>
                      <w:color w:val="auto"/>
                      <w:lang w:val="en-US"/>
                    </w:rPr>
                    <w:t>）</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E71935C">
                  <w:pPr>
                    <w:pStyle w:val="21"/>
                    <w:keepNext w:val="0"/>
                    <w:keepLines w:val="0"/>
                    <w:suppressLineNumbers w:val="0"/>
                    <w:spacing w:before="0" w:beforeAutospacing="0" w:after="0" w:afterAutospacing="0"/>
                    <w:ind w:left="0" w:right="0"/>
                    <w:rPr>
                      <w:rFonts w:hint="default" w:eastAsia="宋体"/>
                      <w:color w:val="auto"/>
                      <w:lang w:val="en-US" w:eastAsia="zh-CN"/>
                    </w:rPr>
                  </w:pPr>
                  <w:r>
                    <w:rPr>
                      <w:rFonts w:hint="eastAsia"/>
                      <w:color w:val="auto"/>
                      <w:lang w:val="en-US" w:eastAsia="zh-CN"/>
                    </w:rPr>
                    <w:t>0.43</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40C3529">
                  <w:pPr>
                    <w:pStyle w:val="21"/>
                    <w:keepNext w:val="0"/>
                    <w:keepLines w:val="0"/>
                    <w:suppressLineNumbers w:val="0"/>
                    <w:spacing w:before="0" w:beforeAutospacing="0" w:after="0" w:afterAutospacing="0"/>
                    <w:ind w:left="0" w:right="0"/>
                    <w:rPr>
                      <w:rFonts w:hint="default" w:eastAsia="宋体"/>
                      <w:color w:val="auto"/>
                      <w:lang w:val="en-US" w:eastAsia="zh-CN"/>
                    </w:rPr>
                  </w:pPr>
                  <w:r>
                    <w:rPr>
                      <w:rFonts w:hint="eastAsia"/>
                      <w:color w:val="auto"/>
                      <w:lang w:val="en-US"/>
                    </w:rPr>
                    <w:t>＜</w:t>
                  </w:r>
                  <w:r>
                    <w:rPr>
                      <w:rFonts w:hint="eastAsia"/>
                      <w:color w:val="auto"/>
                      <w:lang w:val="en-US" w:eastAsia="zh-CN"/>
                    </w:rPr>
                    <w:t>0.6</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33D3CDF2">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相符</w:t>
                  </w:r>
                </w:p>
              </w:tc>
            </w:tr>
            <w:tr w14:paraId="0AE02095">
              <w:tblPrEx>
                <w:tblCellMar>
                  <w:top w:w="0" w:type="dxa"/>
                  <w:left w:w="0" w:type="dxa"/>
                  <w:bottom w:w="0" w:type="dxa"/>
                  <w:right w:w="0" w:type="dxa"/>
                </w:tblCellMar>
              </w:tblPrEx>
              <w:trPr>
                <w:trHeight w:val="340" w:hRule="atLeast"/>
                <w:jc w:val="center"/>
              </w:trPr>
              <w:tc>
                <w:tcPr>
                  <w:tcW w:w="497" w:type="dxa"/>
                  <w:vMerge w:val="continue"/>
                  <w:tcBorders>
                    <w:top w:val="single" w:color="000000" w:sz="8" w:space="0"/>
                    <w:left w:val="nil"/>
                    <w:bottom w:val="single" w:color="000000" w:sz="8" w:space="0"/>
                    <w:right w:val="single" w:color="000000" w:sz="8" w:space="0"/>
                  </w:tcBorders>
                  <w:shd w:val="clear" w:color="auto" w:fill="auto"/>
                  <w:vAlign w:val="center"/>
                </w:tcPr>
                <w:p w14:paraId="3F289B5C">
                  <w:pPr>
                    <w:pStyle w:val="21"/>
                    <w:keepNext w:val="0"/>
                    <w:keepLines w:val="0"/>
                    <w:suppressLineNumbers w:val="0"/>
                    <w:spacing w:before="0" w:beforeAutospacing="0" w:after="0" w:afterAutospacing="0"/>
                    <w:ind w:left="0" w:right="0"/>
                    <w:rPr>
                      <w:rFonts w:hint="default"/>
                      <w:color w:val="auto"/>
                    </w:rPr>
                  </w:pPr>
                </w:p>
              </w:tc>
              <w:tc>
                <w:tcPr>
                  <w:tcW w:w="46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691905F">
                  <w:pPr>
                    <w:pStyle w:val="21"/>
                    <w:keepNext w:val="0"/>
                    <w:keepLines w:val="0"/>
                    <w:suppressLineNumbers w:val="0"/>
                    <w:spacing w:before="0" w:beforeAutospacing="0" w:after="0" w:afterAutospacing="0"/>
                    <w:ind w:left="0" w:right="0"/>
                    <w:rPr>
                      <w:rFonts w:hint="default"/>
                      <w:color w:val="auto"/>
                    </w:rPr>
                  </w:pP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5A01346">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停留时间（</w:t>
                  </w:r>
                  <w:r>
                    <w:rPr>
                      <w:rFonts w:hint="default"/>
                      <w:color w:val="auto"/>
                      <w:lang w:val="en-US"/>
                    </w:rPr>
                    <w:t>s</w:t>
                  </w:r>
                  <w:r>
                    <w:rPr>
                      <w:rFonts w:hint="eastAsia"/>
                      <w:color w:val="auto"/>
                      <w:lang w:val="en-US"/>
                    </w:rPr>
                    <w:t>）</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CE63A75">
                  <w:pPr>
                    <w:pStyle w:val="21"/>
                    <w:keepNext w:val="0"/>
                    <w:keepLines w:val="0"/>
                    <w:suppressLineNumbers w:val="0"/>
                    <w:spacing w:before="0" w:beforeAutospacing="0" w:after="0" w:afterAutospacing="0"/>
                    <w:ind w:left="0" w:right="0"/>
                    <w:rPr>
                      <w:rFonts w:hint="default" w:eastAsia="宋体"/>
                      <w:color w:val="auto"/>
                      <w:lang w:val="en-US" w:eastAsia="zh-CN"/>
                    </w:rPr>
                  </w:pPr>
                  <w:r>
                    <w:rPr>
                      <w:rFonts w:hint="eastAsia"/>
                      <w:color w:val="auto"/>
                      <w:lang w:val="en-US" w:eastAsia="zh-CN"/>
                    </w:rPr>
                    <w:t>0.58</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72D62DC">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576CEA08">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r>
            <w:tr w14:paraId="0E99943C">
              <w:tblPrEx>
                <w:tblCellMar>
                  <w:top w:w="0" w:type="dxa"/>
                  <w:left w:w="0" w:type="dxa"/>
                  <w:bottom w:w="0" w:type="dxa"/>
                  <w:right w:w="0" w:type="dxa"/>
                </w:tblCellMar>
              </w:tblPrEx>
              <w:trPr>
                <w:trHeight w:val="340" w:hRule="atLeast"/>
                <w:jc w:val="center"/>
              </w:trPr>
              <w:tc>
                <w:tcPr>
                  <w:tcW w:w="497" w:type="dxa"/>
                  <w:vMerge w:val="continue"/>
                  <w:tcBorders>
                    <w:top w:val="single" w:color="000000" w:sz="8" w:space="0"/>
                    <w:left w:val="nil"/>
                    <w:bottom w:val="single" w:color="000000" w:sz="8" w:space="0"/>
                    <w:right w:val="single" w:color="000000" w:sz="8" w:space="0"/>
                  </w:tcBorders>
                  <w:shd w:val="clear" w:color="auto" w:fill="auto"/>
                  <w:vAlign w:val="center"/>
                </w:tcPr>
                <w:p w14:paraId="635EEDB5">
                  <w:pPr>
                    <w:pStyle w:val="21"/>
                    <w:keepNext w:val="0"/>
                    <w:keepLines w:val="0"/>
                    <w:suppressLineNumbers w:val="0"/>
                    <w:spacing w:before="0" w:beforeAutospacing="0" w:after="0" w:afterAutospacing="0"/>
                    <w:ind w:left="0" w:right="0"/>
                    <w:rPr>
                      <w:rFonts w:hint="default"/>
                      <w:color w:val="auto"/>
                    </w:rPr>
                  </w:pPr>
                </w:p>
              </w:tc>
              <w:tc>
                <w:tcPr>
                  <w:tcW w:w="46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F12CA00">
                  <w:pPr>
                    <w:pStyle w:val="21"/>
                    <w:keepNext w:val="0"/>
                    <w:keepLines w:val="0"/>
                    <w:suppressLineNumbers w:val="0"/>
                    <w:spacing w:before="0" w:beforeAutospacing="0" w:after="0" w:afterAutospacing="0"/>
                    <w:ind w:left="0" w:right="0"/>
                    <w:rPr>
                      <w:rFonts w:hint="default"/>
                      <w:color w:val="auto"/>
                    </w:rPr>
                  </w:pP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36D8A65">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活性炭密度（</w:t>
                  </w:r>
                  <w:r>
                    <w:rPr>
                      <w:rFonts w:hint="default"/>
                      <w:color w:val="auto"/>
                      <w:lang w:val="en-US"/>
                    </w:rPr>
                    <w:t>kg/m³</w:t>
                  </w:r>
                  <w:r>
                    <w:rPr>
                      <w:rFonts w:hint="eastAsia"/>
                      <w:color w:val="auto"/>
                      <w:lang w:val="en-US"/>
                    </w:rPr>
                    <w:t>）</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C76E1C1">
                  <w:pPr>
                    <w:pStyle w:val="21"/>
                    <w:keepNext w:val="0"/>
                    <w:keepLines w:val="0"/>
                    <w:suppressLineNumbers w:val="0"/>
                    <w:spacing w:before="0" w:beforeAutospacing="0" w:after="0" w:afterAutospacing="0"/>
                    <w:ind w:left="0" w:right="0"/>
                    <w:rPr>
                      <w:rFonts w:hint="default"/>
                      <w:color w:val="auto"/>
                      <w:lang w:val="en-US"/>
                    </w:rPr>
                  </w:pPr>
                  <w:r>
                    <w:rPr>
                      <w:rFonts w:hint="eastAsia"/>
                      <w:color w:val="auto"/>
                      <w:lang w:val="en-US"/>
                    </w:rPr>
                    <w:t>500</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C82E206">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652821F7">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r>
            <w:tr w14:paraId="5B7EDB9B">
              <w:tblPrEx>
                <w:tblCellMar>
                  <w:top w:w="0" w:type="dxa"/>
                  <w:left w:w="0" w:type="dxa"/>
                  <w:bottom w:w="0" w:type="dxa"/>
                  <w:right w:w="0" w:type="dxa"/>
                </w:tblCellMar>
              </w:tblPrEx>
              <w:trPr>
                <w:trHeight w:val="340" w:hRule="atLeast"/>
                <w:jc w:val="center"/>
              </w:trPr>
              <w:tc>
                <w:tcPr>
                  <w:tcW w:w="497" w:type="dxa"/>
                  <w:vMerge w:val="continue"/>
                  <w:tcBorders>
                    <w:top w:val="single" w:color="000000" w:sz="8" w:space="0"/>
                    <w:left w:val="nil"/>
                    <w:bottom w:val="single" w:color="000000" w:sz="8" w:space="0"/>
                    <w:right w:val="single" w:color="000000" w:sz="8" w:space="0"/>
                  </w:tcBorders>
                  <w:shd w:val="clear" w:color="auto" w:fill="auto"/>
                  <w:vAlign w:val="center"/>
                </w:tcPr>
                <w:p w14:paraId="65B66EFE">
                  <w:pPr>
                    <w:pStyle w:val="21"/>
                    <w:keepNext w:val="0"/>
                    <w:keepLines w:val="0"/>
                    <w:suppressLineNumbers w:val="0"/>
                    <w:spacing w:before="0" w:beforeAutospacing="0" w:after="0" w:afterAutospacing="0"/>
                    <w:ind w:left="0" w:right="0"/>
                    <w:rPr>
                      <w:rFonts w:hint="default"/>
                      <w:color w:val="auto"/>
                    </w:rPr>
                  </w:pPr>
                </w:p>
              </w:tc>
              <w:tc>
                <w:tcPr>
                  <w:tcW w:w="46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815A490">
                  <w:pPr>
                    <w:pStyle w:val="21"/>
                    <w:keepNext w:val="0"/>
                    <w:keepLines w:val="0"/>
                    <w:suppressLineNumbers w:val="0"/>
                    <w:spacing w:before="0" w:beforeAutospacing="0" w:after="0" w:afterAutospacing="0"/>
                    <w:ind w:left="0" w:right="0"/>
                    <w:rPr>
                      <w:rFonts w:hint="default"/>
                      <w:color w:val="auto"/>
                    </w:rPr>
                  </w:pP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D840880">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水分含量（</w:t>
                  </w:r>
                  <w:r>
                    <w:rPr>
                      <w:rFonts w:hint="default"/>
                      <w:color w:val="auto"/>
                      <w:lang w:val="en-US"/>
                    </w:rPr>
                    <w:t>%</w:t>
                  </w:r>
                  <w:r>
                    <w:rPr>
                      <w:rFonts w:hint="eastAsia"/>
                      <w:color w:val="auto"/>
                      <w:lang w:val="en-US"/>
                    </w:rPr>
                    <w:t>）</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797EF03">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≤5</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109AB2F">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317E143F">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r>
            <w:tr w14:paraId="0AADC51F">
              <w:tblPrEx>
                <w:tblCellMar>
                  <w:top w:w="0" w:type="dxa"/>
                  <w:left w:w="0" w:type="dxa"/>
                  <w:bottom w:w="0" w:type="dxa"/>
                  <w:right w:w="0" w:type="dxa"/>
                </w:tblCellMar>
              </w:tblPrEx>
              <w:trPr>
                <w:trHeight w:val="340" w:hRule="atLeast"/>
                <w:jc w:val="center"/>
              </w:trPr>
              <w:tc>
                <w:tcPr>
                  <w:tcW w:w="497" w:type="dxa"/>
                  <w:vMerge w:val="continue"/>
                  <w:tcBorders>
                    <w:top w:val="single" w:color="000000" w:sz="8" w:space="0"/>
                    <w:left w:val="nil"/>
                    <w:bottom w:val="single" w:color="000000" w:sz="8" w:space="0"/>
                    <w:right w:val="single" w:color="000000" w:sz="8" w:space="0"/>
                  </w:tcBorders>
                  <w:shd w:val="clear" w:color="auto" w:fill="auto"/>
                  <w:vAlign w:val="center"/>
                </w:tcPr>
                <w:p w14:paraId="759F018E">
                  <w:pPr>
                    <w:pStyle w:val="21"/>
                    <w:keepNext w:val="0"/>
                    <w:keepLines w:val="0"/>
                    <w:suppressLineNumbers w:val="0"/>
                    <w:spacing w:before="0" w:beforeAutospacing="0" w:after="0" w:afterAutospacing="0"/>
                    <w:ind w:left="0" w:right="0"/>
                    <w:rPr>
                      <w:rFonts w:hint="default"/>
                      <w:color w:val="auto"/>
                    </w:rPr>
                  </w:pPr>
                </w:p>
              </w:tc>
              <w:tc>
                <w:tcPr>
                  <w:tcW w:w="46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3D9BD75">
                  <w:pPr>
                    <w:pStyle w:val="21"/>
                    <w:keepNext w:val="0"/>
                    <w:keepLines w:val="0"/>
                    <w:suppressLineNumbers w:val="0"/>
                    <w:spacing w:before="0" w:beforeAutospacing="0" w:after="0" w:afterAutospacing="0"/>
                    <w:ind w:left="0" w:right="0"/>
                    <w:rPr>
                      <w:rFonts w:hint="default"/>
                      <w:color w:val="auto"/>
                    </w:rPr>
                  </w:pP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5FFD9D5">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动态吸附量（</w:t>
                  </w:r>
                  <w:r>
                    <w:rPr>
                      <w:rFonts w:hint="default"/>
                      <w:color w:val="auto"/>
                      <w:lang w:val="en-US"/>
                    </w:rPr>
                    <w:t>%</w:t>
                  </w:r>
                  <w:r>
                    <w:rPr>
                      <w:rFonts w:hint="eastAsia"/>
                      <w:color w:val="auto"/>
                      <w:lang w:val="en-US"/>
                    </w:rPr>
                    <w:t>）</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86AB2EF">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rPr>
                    <w:t>10</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9CD3917">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rPr>
                    <w:t>/</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2FC21622">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rPr>
                    <w:t>/</w:t>
                  </w:r>
                </w:p>
              </w:tc>
            </w:tr>
            <w:tr w14:paraId="38F56FEB">
              <w:tblPrEx>
                <w:tblCellMar>
                  <w:top w:w="0" w:type="dxa"/>
                  <w:left w:w="0" w:type="dxa"/>
                  <w:bottom w:w="0" w:type="dxa"/>
                  <w:right w:w="0" w:type="dxa"/>
                </w:tblCellMar>
              </w:tblPrEx>
              <w:trPr>
                <w:trHeight w:val="340" w:hRule="atLeast"/>
                <w:jc w:val="center"/>
              </w:trPr>
              <w:tc>
                <w:tcPr>
                  <w:tcW w:w="497" w:type="dxa"/>
                  <w:vMerge w:val="continue"/>
                  <w:tcBorders>
                    <w:top w:val="single" w:color="000000" w:sz="8" w:space="0"/>
                    <w:left w:val="nil"/>
                    <w:bottom w:val="single" w:color="000000" w:sz="8" w:space="0"/>
                    <w:right w:val="single" w:color="000000" w:sz="8" w:space="0"/>
                  </w:tcBorders>
                  <w:shd w:val="clear" w:color="auto" w:fill="auto"/>
                  <w:vAlign w:val="center"/>
                </w:tcPr>
                <w:p w14:paraId="3B7D3373">
                  <w:pPr>
                    <w:pStyle w:val="21"/>
                    <w:keepNext w:val="0"/>
                    <w:keepLines w:val="0"/>
                    <w:suppressLineNumbers w:val="0"/>
                    <w:spacing w:before="0" w:beforeAutospacing="0" w:after="0" w:afterAutospacing="0"/>
                    <w:ind w:left="0" w:right="0"/>
                    <w:rPr>
                      <w:rFonts w:hint="default"/>
                      <w:color w:val="auto"/>
                    </w:rPr>
                  </w:pPr>
                </w:p>
              </w:tc>
              <w:tc>
                <w:tcPr>
                  <w:tcW w:w="46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6761EE2">
                  <w:pPr>
                    <w:pStyle w:val="21"/>
                    <w:keepNext w:val="0"/>
                    <w:keepLines w:val="0"/>
                    <w:suppressLineNumbers w:val="0"/>
                    <w:spacing w:before="0" w:beforeAutospacing="0" w:after="0" w:afterAutospacing="0"/>
                    <w:ind w:left="0" w:right="0"/>
                    <w:rPr>
                      <w:rFonts w:hint="default"/>
                      <w:color w:val="auto"/>
                    </w:rPr>
                  </w:pP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1565FF6">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rPr>
                    <w:t>一次装填量（</w:t>
                  </w:r>
                  <w:r>
                    <w:rPr>
                      <w:rFonts w:hint="default"/>
                      <w:color w:val="auto"/>
                      <w:lang w:val="en-US"/>
                    </w:rPr>
                    <w:t>kg</w:t>
                  </w:r>
                  <w:r>
                    <w:rPr>
                      <w:rFonts w:hint="eastAsia"/>
                      <w:color w:val="auto"/>
                      <w:lang w:val="en-US"/>
                    </w:rPr>
                    <w:t>）</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697BA19">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2000</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F88A739">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rPr>
                    <w:t>/</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7F71566D">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rPr>
                    <w:t>/</w:t>
                  </w:r>
                </w:p>
              </w:tc>
            </w:tr>
            <w:tr w14:paraId="54774381">
              <w:tblPrEx>
                <w:tblCellMar>
                  <w:top w:w="0" w:type="dxa"/>
                  <w:left w:w="0" w:type="dxa"/>
                  <w:bottom w:w="0" w:type="dxa"/>
                  <w:right w:w="0" w:type="dxa"/>
                </w:tblCellMar>
              </w:tblPrEx>
              <w:trPr>
                <w:trHeight w:val="340" w:hRule="atLeast"/>
                <w:jc w:val="center"/>
              </w:trPr>
              <w:tc>
                <w:tcPr>
                  <w:tcW w:w="497" w:type="dxa"/>
                  <w:vMerge w:val="continue"/>
                  <w:tcBorders>
                    <w:top w:val="single" w:color="000000" w:sz="8" w:space="0"/>
                    <w:left w:val="nil"/>
                    <w:bottom w:val="single" w:color="000000" w:sz="8" w:space="0"/>
                    <w:right w:val="single" w:color="000000" w:sz="8" w:space="0"/>
                  </w:tcBorders>
                  <w:shd w:val="clear" w:color="auto" w:fill="auto"/>
                  <w:vAlign w:val="center"/>
                </w:tcPr>
                <w:p w14:paraId="5A0C61A7">
                  <w:pPr>
                    <w:pStyle w:val="21"/>
                    <w:keepNext w:val="0"/>
                    <w:keepLines w:val="0"/>
                    <w:suppressLineNumbers w:val="0"/>
                    <w:spacing w:before="0" w:beforeAutospacing="0" w:after="0" w:afterAutospacing="0"/>
                    <w:ind w:left="0" w:right="0"/>
                    <w:rPr>
                      <w:rFonts w:hint="default"/>
                      <w:color w:val="auto"/>
                    </w:rPr>
                  </w:pPr>
                </w:p>
              </w:tc>
              <w:tc>
                <w:tcPr>
                  <w:tcW w:w="46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506F1C7">
                  <w:pPr>
                    <w:pStyle w:val="21"/>
                    <w:keepNext w:val="0"/>
                    <w:keepLines w:val="0"/>
                    <w:suppressLineNumbers w:val="0"/>
                    <w:spacing w:before="0" w:beforeAutospacing="0" w:after="0" w:afterAutospacing="0"/>
                    <w:ind w:left="0" w:right="0"/>
                    <w:rPr>
                      <w:rFonts w:hint="default"/>
                      <w:color w:val="auto"/>
                    </w:rPr>
                  </w:pP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83660E2">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更换频次</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F8994E8">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eastAsia="zh-CN"/>
                    </w:rPr>
                    <w:t>6</w:t>
                  </w:r>
                  <w:r>
                    <w:rPr>
                      <w:rFonts w:hint="eastAsia"/>
                      <w:color w:val="auto"/>
                      <w:lang w:val="en-US"/>
                    </w:rPr>
                    <w:t>次</w:t>
                  </w:r>
                  <w:r>
                    <w:rPr>
                      <w:rFonts w:hint="default"/>
                      <w:color w:val="auto"/>
                      <w:lang w:val="en-US"/>
                    </w:rPr>
                    <w:t>/</w:t>
                  </w:r>
                  <w:r>
                    <w:rPr>
                      <w:rFonts w:hint="eastAsia"/>
                      <w:color w:val="auto"/>
                      <w:lang w:val="en-US"/>
                    </w:rPr>
                    <w:t>年</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0CAE600">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不应超过累计运行</w:t>
                  </w:r>
                  <w:r>
                    <w:rPr>
                      <w:rFonts w:hint="default"/>
                      <w:color w:val="auto"/>
                      <w:lang w:val="en-US"/>
                    </w:rPr>
                    <w:t>500</w:t>
                  </w:r>
                  <w:r>
                    <w:rPr>
                      <w:rFonts w:hint="eastAsia"/>
                      <w:color w:val="auto"/>
                      <w:lang w:val="en-US"/>
                    </w:rPr>
                    <w:t>小时或</w:t>
                  </w:r>
                  <w:r>
                    <w:rPr>
                      <w:rFonts w:hint="default"/>
                      <w:color w:val="auto"/>
                      <w:lang w:val="en-US"/>
                    </w:rPr>
                    <w:t>3</w:t>
                  </w:r>
                  <w:r>
                    <w:rPr>
                      <w:rFonts w:hint="eastAsia"/>
                      <w:color w:val="auto"/>
                      <w:lang w:val="en-US"/>
                    </w:rPr>
                    <w:t>个月</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65CC888F">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相符</w:t>
                  </w:r>
                </w:p>
              </w:tc>
            </w:tr>
            <w:tr w14:paraId="7F4A5DAD">
              <w:tblPrEx>
                <w:tblCellMar>
                  <w:top w:w="0" w:type="dxa"/>
                  <w:left w:w="0" w:type="dxa"/>
                  <w:bottom w:w="0" w:type="dxa"/>
                  <w:right w:w="0" w:type="dxa"/>
                </w:tblCellMar>
              </w:tblPrEx>
              <w:trPr>
                <w:trHeight w:val="340" w:hRule="atLeast"/>
                <w:jc w:val="center"/>
              </w:trPr>
              <w:tc>
                <w:tcPr>
                  <w:tcW w:w="497" w:type="dxa"/>
                  <w:vMerge w:val="restart"/>
                  <w:tcBorders>
                    <w:top w:val="single" w:color="000000" w:sz="8" w:space="0"/>
                    <w:left w:val="nil"/>
                    <w:bottom w:val="single" w:color="000000" w:sz="8" w:space="0"/>
                    <w:right w:val="single" w:color="000000" w:sz="8" w:space="0"/>
                  </w:tcBorders>
                  <w:shd w:val="clear" w:color="auto" w:fill="auto"/>
                  <w:vAlign w:val="center"/>
                </w:tcPr>
                <w:p w14:paraId="6EF729F5">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2</w:t>
                  </w:r>
                </w:p>
              </w:tc>
              <w:tc>
                <w:tcPr>
                  <w:tcW w:w="461"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355AD32">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二级活性炭</w:t>
                  </w: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D234433">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风量（</w:t>
                  </w:r>
                  <w:r>
                    <w:rPr>
                      <w:rFonts w:hint="default"/>
                      <w:color w:val="auto"/>
                      <w:lang w:val="en-US"/>
                    </w:rPr>
                    <w:t>m</w:t>
                  </w:r>
                  <w:r>
                    <w:rPr>
                      <w:rFonts w:hint="default"/>
                      <w:color w:val="auto"/>
                      <w:vertAlign w:val="superscript"/>
                      <w:lang w:val="en-US"/>
                    </w:rPr>
                    <w:t>3</w:t>
                  </w:r>
                  <w:r>
                    <w:rPr>
                      <w:rFonts w:hint="default"/>
                      <w:color w:val="auto"/>
                      <w:lang w:val="en-US"/>
                    </w:rPr>
                    <w:t>/h</w:t>
                  </w:r>
                  <w:r>
                    <w:rPr>
                      <w:rFonts w:hint="eastAsia"/>
                      <w:color w:val="auto"/>
                      <w:lang w:val="en-US"/>
                    </w:rPr>
                    <w:t>）</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817A25D">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eastAsia"/>
                      <w:color w:val="auto"/>
                      <w:highlight w:val="none"/>
                      <w:lang w:val="en-US" w:eastAsia="zh-CN"/>
                    </w:rPr>
                    <w:t>25000</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592677E">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06AF7D73">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r>
            <w:tr w14:paraId="4C6DDE46">
              <w:tblPrEx>
                <w:tblCellMar>
                  <w:top w:w="0" w:type="dxa"/>
                  <w:left w:w="0" w:type="dxa"/>
                  <w:bottom w:w="0" w:type="dxa"/>
                  <w:right w:w="0" w:type="dxa"/>
                </w:tblCellMar>
              </w:tblPrEx>
              <w:trPr>
                <w:trHeight w:val="340" w:hRule="atLeast"/>
                <w:jc w:val="center"/>
              </w:trPr>
              <w:tc>
                <w:tcPr>
                  <w:tcW w:w="497" w:type="dxa"/>
                  <w:vMerge w:val="continue"/>
                  <w:tcBorders>
                    <w:top w:val="single" w:color="000000" w:sz="8" w:space="0"/>
                    <w:left w:val="nil"/>
                    <w:bottom w:val="single" w:color="000000" w:sz="8" w:space="0"/>
                    <w:right w:val="single" w:color="000000" w:sz="8" w:space="0"/>
                  </w:tcBorders>
                  <w:shd w:val="clear" w:color="auto" w:fill="auto"/>
                  <w:vAlign w:val="center"/>
                </w:tcPr>
                <w:p w14:paraId="14B4EDB4">
                  <w:pPr>
                    <w:pStyle w:val="21"/>
                    <w:keepNext w:val="0"/>
                    <w:keepLines w:val="0"/>
                    <w:suppressLineNumbers w:val="0"/>
                    <w:spacing w:before="0" w:beforeAutospacing="0" w:after="0" w:afterAutospacing="0"/>
                    <w:ind w:left="0" w:right="0"/>
                    <w:rPr>
                      <w:rFonts w:hint="default"/>
                      <w:color w:val="auto"/>
                    </w:rPr>
                  </w:pPr>
                </w:p>
              </w:tc>
              <w:tc>
                <w:tcPr>
                  <w:tcW w:w="46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398062C">
                  <w:pPr>
                    <w:pStyle w:val="21"/>
                    <w:keepNext w:val="0"/>
                    <w:keepLines w:val="0"/>
                    <w:suppressLineNumbers w:val="0"/>
                    <w:spacing w:before="0" w:beforeAutospacing="0" w:after="0" w:afterAutospacing="0"/>
                    <w:ind w:left="0" w:right="0"/>
                    <w:rPr>
                      <w:rFonts w:hint="default"/>
                      <w:color w:val="auto"/>
                    </w:rPr>
                  </w:pP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E7D92B0">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活性炭种类</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0EF3B46">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颗粒活性炭</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00539F0">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5B515E69">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r>
            <w:tr w14:paraId="7CEBBB47">
              <w:tblPrEx>
                <w:tblCellMar>
                  <w:top w:w="0" w:type="dxa"/>
                  <w:left w:w="0" w:type="dxa"/>
                  <w:bottom w:w="0" w:type="dxa"/>
                  <w:right w:w="0" w:type="dxa"/>
                </w:tblCellMar>
              </w:tblPrEx>
              <w:trPr>
                <w:trHeight w:val="340" w:hRule="atLeast"/>
                <w:jc w:val="center"/>
              </w:trPr>
              <w:tc>
                <w:tcPr>
                  <w:tcW w:w="497" w:type="dxa"/>
                  <w:vMerge w:val="continue"/>
                  <w:tcBorders>
                    <w:top w:val="single" w:color="000000" w:sz="8" w:space="0"/>
                    <w:left w:val="nil"/>
                    <w:bottom w:val="single" w:color="000000" w:sz="8" w:space="0"/>
                    <w:right w:val="single" w:color="000000" w:sz="8" w:space="0"/>
                  </w:tcBorders>
                  <w:shd w:val="clear" w:color="auto" w:fill="auto"/>
                  <w:vAlign w:val="center"/>
                </w:tcPr>
                <w:p w14:paraId="3F5DBAF1">
                  <w:pPr>
                    <w:pStyle w:val="21"/>
                    <w:keepNext w:val="0"/>
                    <w:keepLines w:val="0"/>
                    <w:suppressLineNumbers w:val="0"/>
                    <w:spacing w:before="0" w:beforeAutospacing="0" w:after="0" w:afterAutospacing="0"/>
                    <w:ind w:left="0" w:right="0"/>
                    <w:rPr>
                      <w:rFonts w:hint="default"/>
                      <w:color w:val="auto"/>
                    </w:rPr>
                  </w:pPr>
                </w:p>
              </w:tc>
              <w:tc>
                <w:tcPr>
                  <w:tcW w:w="46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6415F72">
                  <w:pPr>
                    <w:pStyle w:val="21"/>
                    <w:keepNext w:val="0"/>
                    <w:keepLines w:val="0"/>
                    <w:suppressLineNumbers w:val="0"/>
                    <w:spacing w:before="0" w:beforeAutospacing="0" w:after="0" w:afterAutospacing="0"/>
                    <w:ind w:left="0" w:right="0"/>
                    <w:rPr>
                      <w:rFonts w:hint="default"/>
                      <w:color w:val="auto"/>
                    </w:rPr>
                  </w:pP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83A5F61">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箱体尺寸</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6F65625">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zh-CN" w:eastAsia="zh-CN" w:bidi="zh-CN"/>
                    </w:rPr>
                  </w:pPr>
                  <w:r>
                    <w:rPr>
                      <w:rFonts w:hint="eastAsia"/>
                      <w:color w:val="auto"/>
                      <w:lang w:val="en-US" w:eastAsia="zh-CN"/>
                    </w:rPr>
                    <w:t>210</w:t>
                  </w:r>
                  <w:r>
                    <w:rPr>
                      <w:rFonts w:hint="default"/>
                      <w:color w:val="auto"/>
                      <w:lang w:val="en-US"/>
                    </w:rPr>
                    <w:t>0×</w:t>
                  </w:r>
                  <w:r>
                    <w:rPr>
                      <w:rFonts w:hint="eastAsia"/>
                      <w:color w:val="auto"/>
                      <w:lang w:val="en-US" w:eastAsia="zh-CN"/>
                    </w:rPr>
                    <w:t>21</w:t>
                  </w:r>
                  <w:r>
                    <w:rPr>
                      <w:rFonts w:hint="default"/>
                      <w:color w:val="auto"/>
                      <w:lang w:val="en-US"/>
                    </w:rPr>
                    <w:t>00×</w:t>
                  </w:r>
                  <w:r>
                    <w:rPr>
                      <w:rFonts w:hint="eastAsia"/>
                      <w:color w:val="auto"/>
                      <w:lang w:val="en-US" w:eastAsia="zh-CN"/>
                    </w:rPr>
                    <w:t>22</w:t>
                  </w:r>
                  <w:r>
                    <w:rPr>
                      <w:rFonts w:hint="eastAsia"/>
                      <w:color w:val="auto"/>
                      <w:lang w:val="en-US"/>
                    </w:rPr>
                    <w:t>0</w:t>
                  </w:r>
                  <w:r>
                    <w:rPr>
                      <w:rFonts w:hint="default"/>
                      <w:color w:val="auto"/>
                      <w:lang w:val="en-US"/>
                    </w:rPr>
                    <w:t>0</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305459B">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4371A8A7">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r>
            <w:tr w14:paraId="75CB2BE5">
              <w:tblPrEx>
                <w:tblCellMar>
                  <w:top w:w="0" w:type="dxa"/>
                  <w:left w:w="0" w:type="dxa"/>
                  <w:bottom w:w="0" w:type="dxa"/>
                  <w:right w:w="0" w:type="dxa"/>
                </w:tblCellMar>
              </w:tblPrEx>
              <w:trPr>
                <w:trHeight w:val="340" w:hRule="atLeast"/>
                <w:jc w:val="center"/>
              </w:trPr>
              <w:tc>
                <w:tcPr>
                  <w:tcW w:w="497" w:type="dxa"/>
                  <w:vMerge w:val="continue"/>
                  <w:tcBorders>
                    <w:top w:val="single" w:color="000000" w:sz="8" w:space="0"/>
                    <w:left w:val="nil"/>
                    <w:bottom w:val="single" w:color="000000" w:sz="8" w:space="0"/>
                    <w:right w:val="single" w:color="000000" w:sz="8" w:space="0"/>
                  </w:tcBorders>
                  <w:shd w:val="clear" w:color="auto" w:fill="auto"/>
                  <w:vAlign w:val="center"/>
                </w:tcPr>
                <w:p w14:paraId="128D3D2E">
                  <w:pPr>
                    <w:pStyle w:val="21"/>
                    <w:keepNext w:val="0"/>
                    <w:keepLines w:val="0"/>
                    <w:suppressLineNumbers w:val="0"/>
                    <w:spacing w:before="0" w:beforeAutospacing="0" w:after="0" w:afterAutospacing="0"/>
                    <w:ind w:left="0" w:right="0"/>
                    <w:rPr>
                      <w:rFonts w:hint="default"/>
                      <w:color w:val="auto"/>
                    </w:rPr>
                  </w:pPr>
                </w:p>
              </w:tc>
              <w:tc>
                <w:tcPr>
                  <w:tcW w:w="46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0BD85D5">
                  <w:pPr>
                    <w:pStyle w:val="21"/>
                    <w:keepNext w:val="0"/>
                    <w:keepLines w:val="0"/>
                    <w:suppressLineNumbers w:val="0"/>
                    <w:spacing w:before="0" w:beforeAutospacing="0" w:after="0" w:afterAutospacing="0"/>
                    <w:ind w:left="0" w:right="0"/>
                    <w:rPr>
                      <w:rFonts w:hint="default"/>
                      <w:color w:val="auto"/>
                    </w:rPr>
                  </w:pP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E654DEC">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活性炭尺寸</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7DB8E4D">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200</w:t>
                  </w:r>
                  <w:r>
                    <w:rPr>
                      <w:rFonts w:hint="default"/>
                      <w:color w:val="auto"/>
                      <w:lang w:val="en-US"/>
                    </w:rPr>
                    <w:t>0×</w:t>
                  </w:r>
                  <w:r>
                    <w:rPr>
                      <w:rFonts w:hint="eastAsia"/>
                      <w:color w:val="auto"/>
                      <w:lang w:val="en-US" w:eastAsia="zh-CN"/>
                    </w:rPr>
                    <w:t>20</w:t>
                  </w:r>
                  <w:r>
                    <w:rPr>
                      <w:rFonts w:hint="default"/>
                      <w:color w:val="auto"/>
                      <w:lang w:val="en-US"/>
                    </w:rPr>
                    <w:t>00×</w:t>
                  </w:r>
                  <w:r>
                    <w:rPr>
                      <w:rFonts w:hint="eastAsia"/>
                      <w:color w:val="auto"/>
                      <w:lang w:val="en-US" w:eastAsia="zh-CN"/>
                    </w:rPr>
                    <w:t>25</w:t>
                  </w:r>
                  <w:r>
                    <w:rPr>
                      <w:rFonts w:hint="default"/>
                      <w:color w:val="auto"/>
                      <w:lang w:val="en-US"/>
                    </w:rPr>
                    <w:t>0</w:t>
                  </w:r>
                  <w:r>
                    <w:rPr>
                      <w:rFonts w:hint="eastAsia"/>
                      <w:color w:val="auto"/>
                      <w:lang w:val="en-US"/>
                    </w:rPr>
                    <w:t>*</w:t>
                  </w:r>
                  <w:r>
                    <w:rPr>
                      <w:rFonts w:hint="eastAsia"/>
                      <w:color w:val="auto"/>
                      <w:lang w:val="en-US" w:eastAsia="zh-CN"/>
                    </w:rPr>
                    <w:t>4</w:t>
                  </w:r>
                  <w:r>
                    <w:rPr>
                      <w:rFonts w:hint="eastAsia"/>
                      <w:color w:val="auto"/>
                      <w:lang w:val="en-US"/>
                    </w:rPr>
                    <w:t>层</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1DD52B7">
                  <w:pPr>
                    <w:pStyle w:val="21"/>
                    <w:keepNext w:val="0"/>
                    <w:keepLines w:val="0"/>
                    <w:suppressLineNumbers w:val="0"/>
                    <w:spacing w:before="0" w:beforeAutospacing="0" w:after="0" w:afterAutospacing="0"/>
                    <w:ind w:left="0" w:right="0"/>
                    <w:rPr>
                      <w:rFonts w:hint="eastAsia" w:eastAsia="宋体"/>
                      <w:color w:val="auto"/>
                      <w:lang w:eastAsia="zh-CN"/>
                    </w:rPr>
                  </w:pPr>
                  <w:r>
                    <w:rPr>
                      <w:rFonts w:hint="eastAsia"/>
                      <w:color w:val="auto"/>
                      <w:lang w:val="en-US" w:eastAsia="zh-CN"/>
                    </w:rPr>
                    <w:t>/</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22E61DE3">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相符</w:t>
                  </w:r>
                </w:p>
              </w:tc>
            </w:tr>
            <w:tr w14:paraId="1E82BE99">
              <w:tblPrEx>
                <w:tblCellMar>
                  <w:top w:w="0" w:type="dxa"/>
                  <w:left w:w="0" w:type="dxa"/>
                  <w:bottom w:w="0" w:type="dxa"/>
                  <w:right w:w="0" w:type="dxa"/>
                </w:tblCellMar>
              </w:tblPrEx>
              <w:trPr>
                <w:trHeight w:val="340" w:hRule="atLeast"/>
                <w:jc w:val="center"/>
              </w:trPr>
              <w:tc>
                <w:tcPr>
                  <w:tcW w:w="497" w:type="dxa"/>
                  <w:vMerge w:val="continue"/>
                  <w:tcBorders>
                    <w:top w:val="single" w:color="000000" w:sz="8" w:space="0"/>
                    <w:left w:val="nil"/>
                    <w:bottom w:val="single" w:color="000000" w:sz="8" w:space="0"/>
                    <w:right w:val="single" w:color="000000" w:sz="8" w:space="0"/>
                  </w:tcBorders>
                  <w:shd w:val="clear" w:color="auto" w:fill="auto"/>
                  <w:vAlign w:val="center"/>
                </w:tcPr>
                <w:p w14:paraId="4185954D">
                  <w:pPr>
                    <w:pStyle w:val="21"/>
                    <w:keepNext w:val="0"/>
                    <w:keepLines w:val="0"/>
                    <w:suppressLineNumbers w:val="0"/>
                    <w:spacing w:before="0" w:beforeAutospacing="0" w:after="0" w:afterAutospacing="0"/>
                    <w:ind w:left="0" w:right="0"/>
                    <w:rPr>
                      <w:rFonts w:hint="default"/>
                      <w:color w:val="auto"/>
                    </w:rPr>
                  </w:pPr>
                </w:p>
              </w:tc>
              <w:tc>
                <w:tcPr>
                  <w:tcW w:w="46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CD5189D">
                  <w:pPr>
                    <w:pStyle w:val="21"/>
                    <w:keepNext w:val="0"/>
                    <w:keepLines w:val="0"/>
                    <w:suppressLineNumbers w:val="0"/>
                    <w:spacing w:before="0" w:beforeAutospacing="0" w:after="0" w:afterAutospacing="0"/>
                    <w:ind w:left="0" w:right="0"/>
                    <w:rPr>
                      <w:rFonts w:hint="default"/>
                      <w:color w:val="auto"/>
                    </w:rPr>
                  </w:pP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1DBC940">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活性炭碘值（</w:t>
                  </w:r>
                  <w:r>
                    <w:rPr>
                      <w:rFonts w:hint="default"/>
                      <w:color w:val="auto"/>
                      <w:lang w:val="en-US"/>
                    </w:rPr>
                    <w:t>mg/g</w:t>
                  </w:r>
                  <w:r>
                    <w:rPr>
                      <w:rFonts w:hint="eastAsia"/>
                      <w:color w:val="auto"/>
                      <w:lang w:val="en-US"/>
                    </w:rPr>
                    <w:t>）</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E709336">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eastAsia" w:eastAsia="宋体"/>
                      <w:color w:val="auto"/>
                      <w:lang w:val="en-US" w:eastAsia="zh-CN"/>
                    </w:rPr>
                    <w:t>800</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09783A1">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r>
                    <w:rPr>
                      <w:rFonts w:hint="eastAsia"/>
                      <w:color w:val="auto"/>
                      <w:lang w:val="en-US" w:eastAsia="zh-CN"/>
                    </w:rPr>
                    <w:t>80</w:t>
                  </w:r>
                  <w:r>
                    <w:rPr>
                      <w:rFonts w:hint="default"/>
                      <w:color w:val="auto"/>
                      <w:lang w:val="en-US"/>
                    </w:rPr>
                    <w:t>0</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437854A2">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相符</w:t>
                  </w:r>
                </w:p>
              </w:tc>
            </w:tr>
            <w:tr w14:paraId="3247E973">
              <w:tblPrEx>
                <w:tblCellMar>
                  <w:top w:w="0" w:type="dxa"/>
                  <w:left w:w="0" w:type="dxa"/>
                  <w:bottom w:w="0" w:type="dxa"/>
                  <w:right w:w="0" w:type="dxa"/>
                </w:tblCellMar>
              </w:tblPrEx>
              <w:trPr>
                <w:trHeight w:val="340" w:hRule="atLeast"/>
                <w:jc w:val="center"/>
              </w:trPr>
              <w:tc>
                <w:tcPr>
                  <w:tcW w:w="497" w:type="dxa"/>
                  <w:vMerge w:val="continue"/>
                  <w:tcBorders>
                    <w:top w:val="single" w:color="000000" w:sz="8" w:space="0"/>
                    <w:left w:val="nil"/>
                    <w:bottom w:val="single" w:color="000000" w:sz="8" w:space="0"/>
                    <w:right w:val="single" w:color="000000" w:sz="8" w:space="0"/>
                  </w:tcBorders>
                  <w:shd w:val="clear" w:color="auto" w:fill="auto"/>
                  <w:vAlign w:val="center"/>
                </w:tcPr>
                <w:p w14:paraId="411F1A71">
                  <w:pPr>
                    <w:pStyle w:val="21"/>
                    <w:keepNext w:val="0"/>
                    <w:keepLines w:val="0"/>
                    <w:suppressLineNumbers w:val="0"/>
                    <w:spacing w:before="0" w:beforeAutospacing="0" w:after="0" w:afterAutospacing="0"/>
                    <w:ind w:left="0" w:right="0"/>
                    <w:rPr>
                      <w:rFonts w:hint="default"/>
                      <w:color w:val="auto"/>
                    </w:rPr>
                  </w:pPr>
                </w:p>
              </w:tc>
              <w:tc>
                <w:tcPr>
                  <w:tcW w:w="46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F00975C">
                  <w:pPr>
                    <w:pStyle w:val="21"/>
                    <w:keepNext w:val="0"/>
                    <w:keepLines w:val="0"/>
                    <w:suppressLineNumbers w:val="0"/>
                    <w:spacing w:before="0" w:beforeAutospacing="0" w:after="0" w:afterAutospacing="0"/>
                    <w:ind w:left="0" w:right="0"/>
                    <w:rPr>
                      <w:rFonts w:hint="default"/>
                      <w:color w:val="auto"/>
                    </w:rPr>
                  </w:pP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90FD192">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比表面积（</w:t>
                  </w:r>
                  <w:r>
                    <w:rPr>
                      <w:rFonts w:hint="default"/>
                      <w:color w:val="auto"/>
                      <w:lang w:val="en-US"/>
                    </w:rPr>
                    <w:t>m²/g</w:t>
                  </w:r>
                  <w:r>
                    <w:rPr>
                      <w:rFonts w:hint="eastAsia"/>
                      <w:color w:val="auto"/>
                      <w:lang w:val="en-US"/>
                    </w:rPr>
                    <w:t>）</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4A0D446">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lang w:val="zh-CN" w:eastAsia="zh-CN" w:bidi="zh-CN"/>
                    </w:rPr>
                  </w:pPr>
                  <w:r>
                    <w:rPr>
                      <w:rFonts w:hint="default"/>
                      <w:color w:val="auto"/>
                      <w:lang w:val="en-US"/>
                    </w:rPr>
                    <w:t>≥750</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9C3B8E4">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w:t>
                  </w:r>
                  <w:r>
                    <w:rPr>
                      <w:rFonts w:hint="default"/>
                      <w:color w:val="auto"/>
                      <w:lang w:val="en-US"/>
                    </w:rPr>
                    <w:t>750</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63426850">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相符</w:t>
                  </w:r>
                </w:p>
              </w:tc>
            </w:tr>
            <w:tr w14:paraId="3BE06ECB">
              <w:tblPrEx>
                <w:tblCellMar>
                  <w:top w:w="0" w:type="dxa"/>
                  <w:left w:w="0" w:type="dxa"/>
                  <w:bottom w:w="0" w:type="dxa"/>
                  <w:right w:w="0" w:type="dxa"/>
                </w:tblCellMar>
              </w:tblPrEx>
              <w:trPr>
                <w:trHeight w:val="340" w:hRule="atLeast"/>
                <w:jc w:val="center"/>
              </w:trPr>
              <w:tc>
                <w:tcPr>
                  <w:tcW w:w="497" w:type="dxa"/>
                  <w:vMerge w:val="continue"/>
                  <w:tcBorders>
                    <w:top w:val="single" w:color="000000" w:sz="8" w:space="0"/>
                    <w:left w:val="nil"/>
                    <w:bottom w:val="single" w:color="000000" w:sz="8" w:space="0"/>
                    <w:right w:val="single" w:color="000000" w:sz="8" w:space="0"/>
                  </w:tcBorders>
                  <w:shd w:val="clear" w:color="auto" w:fill="auto"/>
                  <w:vAlign w:val="center"/>
                </w:tcPr>
                <w:p w14:paraId="518F2861">
                  <w:pPr>
                    <w:pStyle w:val="21"/>
                    <w:keepNext w:val="0"/>
                    <w:keepLines w:val="0"/>
                    <w:suppressLineNumbers w:val="0"/>
                    <w:spacing w:before="0" w:beforeAutospacing="0" w:after="0" w:afterAutospacing="0"/>
                    <w:ind w:left="0" w:right="0"/>
                    <w:rPr>
                      <w:rFonts w:hint="default"/>
                      <w:color w:val="auto"/>
                    </w:rPr>
                  </w:pPr>
                </w:p>
              </w:tc>
              <w:tc>
                <w:tcPr>
                  <w:tcW w:w="46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1A71864">
                  <w:pPr>
                    <w:pStyle w:val="21"/>
                    <w:keepNext w:val="0"/>
                    <w:keepLines w:val="0"/>
                    <w:suppressLineNumbers w:val="0"/>
                    <w:spacing w:before="0" w:beforeAutospacing="0" w:after="0" w:afterAutospacing="0"/>
                    <w:ind w:left="0" w:right="0"/>
                    <w:rPr>
                      <w:rFonts w:hint="default"/>
                      <w:color w:val="auto"/>
                    </w:rPr>
                  </w:pP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5CFAFA8">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过滤风速（</w:t>
                  </w:r>
                  <w:r>
                    <w:rPr>
                      <w:rFonts w:hint="default"/>
                      <w:color w:val="auto"/>
                      <w:lang w:val="en-US"/>
                    </w:rPr>
                    <w:t>m/s</w:t>
                  </w:r>
                  <w:r>
                    <w:rPr>
                      <w:rFonts w:hint="eastAsia"/>
                      <w:color w:val="auto"/>
                      <w:lang w:val="en-US"/>
                    </w:rPr>
                    <w:t>）</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EE08208">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0.43</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54FC637">
                  <w:pPr>
                    <w:pStyle w:val="21"/>
                    <w:keepNext w:val="0"/>
                    <w:keepLines w:val="0"/>
                    <w:suppressLineNumbers w:val="0"/>
                    <w:spacing w:before="0" w:beforeAutospacing="0" w:after="0" w:afterAutospacing="0"/>
                    <w:ind w:left="0" w:right="0"/>
                    <w:rPr>
                      <w:rFonts w:hint="default"/>
                      <w:color w:val="auto"/>
                      <w:lang w:val="en-US"/>
                    </w:rPr>
                  </w:pPr>
                  <w:r>
                    <w:rPr>
                      <w:rFonts w:hint="eastAsia"/>
                      <w:color w:val="auto"/>
                      <w:lang w:val="en-US"/>
                    </w:rPr>
                    <w:t>＜</w:t>
                  </w:r>
                  <w:r>
                    <w:rPr>
                      <w:rFonts w:hint="eastAsia"/>
                      <w:color w:val="auto"/>
                      <w:lang w:val="en-US" w:eastAsia="zh-CN"/>
                    </w:rPr>
                    <w:t>0.6</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6B8B4D8D">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相符</w:t>
                  </w:r>
                </w:p>
              </w:tc>
            </w:tr>
            <w:tr w14:paraId="14F64977">
              <w:tblPrEx>
                <w:tblCellMar>
                  <w:top w:w="0" w:type="dxa"/>
                  <w:left w:w="0" w:type="dxa"/>
                  <w:bottom w:w="0" w:type="dxa"/>
                  <w:right w:w="0" w:type="dxa"/>
                </w:tblCellMar>
              </w:tblPrEx>
              <w:trPr>
                <w:trHeight w:val="340" w:hRule="atLeast"/>
                <w:jc w:val="center"/>
              </w:trPr>
              <w:tc>
                <w:tcPr>
                  <w:tcW w:w="497" w:type="dxa"/>
                  <w:vMerge w:val="continue"/>
                  <w:tcBorders>
                    <w:top w:val="single" w:color="000000" w:sz="8" w:space="0"/>
                    <w:left w:val="nil"/>
                    <w:bottom w:val="single" w:color="000000" w:sz="8" w:space="0"/>
                    <w:right w:val="single" w:color="000000" w:sz="8" w:space="0"/>
                  </w:tcBorders>
                  <w:shd w:val="clear" w:color="auto" w:fill="auto"/>
                  <w:vAlign w:val="center"/>
                </w:tcPr>
                <w:p w14:paraId="10E2BC81">
                  <w:pPr>
                    <w:pStyle w:val="21"/>
                    <w:keepNext w:val="0"/>
                    <w:keepLines w:val="0"/>
                    <w:suppressLineNumbers w:val="0"/>
                    <w:spacing w:before="0" w:beforeAutospacing="0" w:after="0" w:afterAutospacing="0"/>
                    <w:ind w:left="0" w:right="0"/>
                    <w:rPr>
                      <w:rFonts w:hint="default"/>
                      <w:color w:val="auto"/>
                    </w:rPr>
                  </w:pPr>
                </w:p>
              </w:tc>
              <w:tc>
                <w:tcPr>
                  <w:tcW w:w="46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6FA0EDB">
                  <w:pPr>
                    <w:pStyle w:val="21"/>
                    <w:keepNext w:val="0"/>
                    <w:keepLines w:val="0"/>
                    <w:suppressLineNumbers w:val="0"/>
                    <w:spacing w:before="0" w:beforeAutospacing="0" w:after="0" w:afterAutospacing="0"/>
                    <w:ind w:left="0" w:right="0"/>
                    <w:rPr>
                      <w:rFonts w:hint="default"/>
                      <w:color w:val="auto"/>
                    </w:rPr>
                  </w:pP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E652D85">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停留时间（</w:t>
                  </w:r>
                  <w:r>
                    <w:rPr>
                      <w:rFonts w:hint="default"/>
                      <w:color w:val="auto"/>
                      <w:lang w:val="en-US"/>
                    </w:rPr>
                    <w:t>s</w:t>
                  </w:r>
                  <w:r>
                    <w:rPr>
                      <w:rFonts w:hint="eastAsia"/>
                      <w:color w:val="auto"/>
                      <w:lang w:val="en-US"/>
                    </w:rPr>
                    <w:t>）</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1544E4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0.58</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CB510DB">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789DE30D">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r>
            <w:tr w14:paraId="77898AAA">
              <w:tblPrEx>
                <w:tblCellMar>
                  <w:top w:w="0" w:type="dxa"/>
                  <w:left w:w="0" w:type="dxa"/>
                  <w:bottom w:w="0" w:type="dxa"/>
                  <w:right w:w="0" w:type="dxa"/>
                </w:tblCellMar>
              </w:tblPrEx>
              <w:trPr>
                <w:trHeight w:val="340" w:hRule="atLeast"/>
                <w:jc w:val="center"/>
              </w:trPr>
              <w:tc>
                <w:tcPr>
                  <w:tcW w:w="497" w:type="dxa"/>
                  <w:vMerge w:val="continue"/>
                  <w:tcBorders>
                    <w:top w:val="single" w:color="000000" w:sz="8" w:space="0"/>
                    <w:left w:val="nil"/>
                    <w:bottom w:val="single" w:color="000000" w:sz="8" w:space="0"/>
                    <w:right w:val="single" w:color="000000" w:sz="8" w:space="0"/>
                  </w:tcBorders>
                  <w:shd w:val="clear" w:color="auto" w:fill="auto"/>
                  <w:vAlign w:val="center"/>
                </w:tcPr>
                <w:p w14:paraId="79F47C66">
                  <w:pPr>
                    <w:pStyle w:val="21"/>
                    <w:keepNext w:val="0"/>
                    <w:keepLines w:val="0"/>
                    <w:suppressLineNumbers w:val="0"/>
                    <w:spacing w:before="0" w:beforeAutospacing="0" w:after="0" w:afterAutospacing="0"/>
                    <w:ind w:left="0" w:right="0"/>
                    <w:rPr>
                      <w:rFonts w:hint="default"/>
                      <w:color w:val="auto"/>
                    </w:rPr>
                  </w:pPr>
                </w:p>
              </w:tc>
              <w:tc>
                <w:tcPr>
                  <w:tcW w:w="46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895F5D0">
                  <w:pPr>
                    <w:pStyle w:val="21"/>
                    <w:keepNext w:val="0"/>
                    <w:keepLines w:val="0"/>
                    <w:suppressLineNumbers w:val="0"/>
                    <w:spacing w:before="0" w:beforeAutospacing="0" w:after="0" w:afterAutospacing="0"/>
                    <w:ind w:left="0" w:right="0"/>
                    <w:rPr>
                      <w:rFonts w:hint="default"/>
                      <w:color w:val="auto"/>
                    </w:rPr>
                  </w:pP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F0E092A">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活性炭密度（</w:t>
                  </w:r>
                  <w:r>
                    <w:rPr>
                      <w:rFonts w:hint="default"/>
                      <w:color w:val="auto"/>
                      <w:lang w:val="en-US"/>
                    </w:rPr>
                    <w:t>kg/m³</w:t>
                  </w:r>
                  <w:r>
                    <w:rPr>
                      <w:rFonts w:hint="eastAsia"/>
                      <w:color w:val="auto"/>
                      <w:lang w:val="en-US"/>
                    </w:rPr>
                    <w:t>）</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766ED3F">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rPr>
                    <w:t>500</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A61AF13">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082A850F">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r>
            <w:tr w14:paraId="12B134DF">
              <w:tblPrEx>
                <w:tblCellMar>
                  <w:top w:w="0" w:type="dxa"/>
                  <w:left w:w="0" w:type="dxa"/>
                  <w:bottom w:w="0" w:type="dxa"/>
                  <w:right w:w="0" w:type="dxa"/>
                </w:tblCellMar>
              </w:tblPrEx>
              <w:trPr>
                <w:trHeight w:val="340" w:hRule="atLeast"/>
                <w:jc w:val="center"/>
              </w:trPr>
              <w:tc>
                <w:tcPr>
                  <w:tcW w:w="497" w:type="dxa"/>
                  <w:vMerge w:val="continue"/>
                  <w:tcBorders>
                    <w:top w:val="single" w:color="000000" w:sz="8" w:space="0"/>
                    <w:left w:val="nil"/>
                    <w:bottom w:val="single" w:color="000000" w:sz="8" w:space="0"/>
                    <w:right w:val="single" w:color="000000" w:sz="8" w:space="0"/>
                  </w:tcBorders>
                  <w:shd w:val="clear" w:color="auto" w:fill="auto"/>
                  <w:vAlign w:val="center"/>
                </w:tcPr>
                <w:p w14:paraId="14F54884">
                  <w:pPr>
                    <w:pStyle w:val="21"/>
                    <w:keepNext w:val="0"/>
                    <w:keepLines w:val="0"/>
                    <w:suppressLineNumbers w:val="0"/>
                    <w:spacing w:before="0" w:beforeAutospacing="0" w:after="0" w:afterAutospacing="0"/>
                    <w:ind w:left="0" w:right="0"/>
                    <w:rPr>
                      <w:rFonts w:hint="default"/>
                      <w:color w:val="auto"/>
                    </w:rPr>
                  </w:pPr>
                </w:p>
              </w:tc>
              <w:tc>
                <w:tcPr>
                  <w:tcW w:w="46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FBED781">
                  <w:pPr>
                    <w:pStyle w:val="21"/>
                    <w:keepNext w:val="0"/>
                    <w:keepLines w:val="0"/>
                    <w:suppressLineNumbers w:val="0"/>
                    <w:spacing w:before="0" w:beforeAutospacing="0" w:after="0" w:afterAutospacing="0"/>
                    <w:ind w:left="0" w:right="0"/>
                    <w:rPr>
                      <w:rFonts w:hint="default"/>
                      <w:color w:val="auto"/>
                    </w:rPr>
                  </w:pP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8D3A700">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水分含量（</w:t>
                  </w:r>
                  <w:r>
                    <w:rPr>
                      <w:rFonts w:hint="default"/>
                      <w:color w:val="auto"/>
                      <w:lang w:val="en-US"/>
                    </w:rPr>
                    <w:t>%</w:t>
                  </w:r>
                  <w:r>
                    <w:rPr>
                      <w:rFonts w:hint="eastAsia"/>
                      <w:color w:val="auto"/>
                      <w:lang w:val="en-US"/>
                    </w:rPr>
                    <w:t>）</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F80C805">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lang w:val="zh-CN" w:eastAsia="zh-CN" w:bidi="zh-CN"/>
                    </w:rPr>
                  </w:pPr>
                  <w:r>
                    <w:rPr>
                      <w:rFonts w:hint="default"/>
                      <w:color w:val="auto"/>
                      <w:lang w:val="en-US"/>
                    </w:rPr>
                    <w:t>≤5</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77D8A28">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23E7B898">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r>
            <w:tr w14:paraId="0C179D82">
              <w:tblPrEx>
                <w:tblCellMar>
                  <w:top w:w="0" w:type="dxa"/>
                  <w:left w:w="0" w:type="dxa"/>
                  <w:bottom w:w="0" w:type="dxa"/>
                  <w:right w:w="0" w:type="dxa"/>
                </w:tblCellMar>
              </w:tblPrEx>
              <w:trPr>
                <w:trHeight w:val="340" w:hRule="atLeast"/>
                <w:jc w:val="center"/>
              </w:trPr>
              <w:tc>
                <w:tcPr>
                  <w:tcW w:w="497" w:type="dxa"/>
                  <w:vMerge w:val="continue"/>
                  <w:tcBorders>
                    <w:top w:val="single" w:color="000000" w:sz="8" w:space="0"/>
                    <w:left w:val="nil"/>
                    <w:bottom w:val="single" w:color="000000" w:sz="8" w:space="0"/>
                    <w:right w:val="single" w:color="000000" w:sz="8" w:space="0"/>
                  </w:tcBorders>
                  <w:shd w:val="clear" w:color="auto" w:fill="auto"/>
                  <w:vAlign w:val="center"/>
                </w:tcPr>
                <w:p w14:paraId="7828EA56">
                  <w:pPr>
                    <w:pStyle w:val="21"/>
                    <w:keepNext w:val="0"/>
                    <w:keepLines w:val="0"/>
                    <w:suppressLineNumbers w:val="0"/>
                    <w:spacing w:before="0" w:beforeAutospacing="0" w:after="0" w:afterAutospacing="0"/>
                    <w:ind w:left="0" w:right="0"/>
                    <w:rPr>
                      <w:rFonts w:hint="default"/>
                      <w:color w:val="auto"/>
                    </w:rPr>
                  </w:pPr>
                </w:p>
              </w:tc>
              <w:tc>
                <w:tcPr>
                  <w:tcW w:w="46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CEC29A0">
                  <w:pPr>
                    <w:pStyle w:val="21"/>
                    <w:keepNext w:val="0"/>
                    <w:keepLines w:val="0"/>
                    <w:suppressLineNumbers w:val="0"/>
                    <w:spacing w:before="0" w:beforeAutospacing="0" w:after="0" w:afterAutospacing="0"/>
                    <w:ind w:left="0" w:right="0"/>
                    <w:rPr>
                      <w:rFonts w:hint="default"/>
                      <w:color w:val="auto"/>
                    </w:rPr>
                  </w:pP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27FFF7B">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动态吸附量（</w:t>
                  </w:r>
                  <w:r>
                    <w:rPr>
                      <w:rFonts w:hint="default"/>
                      <w:color w:val="auto"/>
                      <w:lang w:val="en-US"/>
                    </w:rPr>
                    <w:t>%</w:t>
                  </w:r>
                  <w:r>
                    <w:rPr>
                      <w:rFonts w:hint="eastAsia"/>
                      <w:color w:val="auto"/>
                      <w:lang w:val="en-US"/>
                    </w:rPr>
                    <w:t>）</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90FEC63">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lang w:val="zh-CN" w:eastAsia="zh-CN" w:bidi="zh-CN"/>
                    </w:rPr>
                  </w:pPr>
                  <w:r>
                    <w:rPr>
                      <w:rFonts w:hint="default"/>
                      <w:color w:val="auto"/>
                      <w:lang w:val="en-US"/>
                    </w:rPr>
                    <w:t>10</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791055E">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384ECB71">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r>
            <w:tr w14:paraId="5006DCAA">
              <w:tblPrEx>
                <w:tblCellMar>
                  <w:top w:w="0" w:type="dxa"/>
                  <w:left w:w="0" w:type="dxa"/>
                  <w:bottom w:w="0" w:type="dxa"/>
                  <w:right w:w="0" w:type="dxa"/>
                </w:tblCellMar>
              </w:tblPrEx>
              <w:trPr>
                <w:trHeight w:val="340" w:hRule="atLeast"/>
                <w:jc w:val="center"/>
              </w:trPr>
              <w:tc>
                <w:tcPr>
                  <w:tcW w:w="497" w:type="dxa"/>
                  <w:vMerge w:val="continue"/>
                  <w:tcBorders>
                    <w:top w:val="single" w:color="000000" w:sz="8" w:space="0"/>
                    <w:left w:val="nil"/>
                    <w:bottom w:val="single" w:color="000000" w:sz="8" w:space="0"/>
                    <w:right w:val="single" w:color="000000" w:sz="8" w:space="0"/>
                  </w:tcBorders>
                  <w:shd w:val="clear" w:color="auto" w:fill="auto"/>
                  <w:vAlign w:val="center"/>
                </w:tcPr>
                <w:p w14:paraId="6DE9A98F">
                  <w:pPr>
                    <w:pStyle w:val="21"/>
                    <w:keepNext w:val="0"/>
                    <w:keepLines w:val="0"/>
                    <w:suppressLineNumbers w:val="0"/>
                    <w:spacing w:before="0" w:beforeAutospacing="0" w:after="0" w:afterAutospacing="0"/>
                    <w:ind w:left="0" w:right="0"/>
                    <w:rPr>
                      <w:rFonts w:hint="default"/>
                      <w:color w:val="auto"/>
                    </w:rPr>
                  </w:pPr>
                </w:p>
              </w:tc>
              <w:tc>
                <w:tcPr>
                  <w:tcW w:w="46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F7B6659">
                  <w:pPr>
                    <w:pStyle w:val="21"/>
                    <w:keepNext w:val="0"/>
                    <w:keepLines w:val="0"/>
                    <w:suppressLineNumbers w:val="0"/>
                    <w:spacing w:before="0" w:beforeAutospacing="0" w:after="0" w:afterAutospacing="0"/>
                    <w:ind w:left="0" w:right="0"/>
                    <w:rPr>
                      <w:rFonts w:hint="default"/>
                      <w:color w:val="auto"/>
                    </w:rPr>
                  </w:pP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1711751">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一次装填量（</w:t>
                  </w:r>
                  <w:r>
                    <w:rPr>
                      <w:rFonts w:hint="default"/>
                      <w:color w:val="auto"/>
                      <w:lang w:val="en-US"/>
                    </w:rPr>
                    <w:t>kg</w:t>
                  </w:r>
                  <w:r>
                    <w:rPr>
                      <w:rFonts w:hint="eastAsia"/>
                      <w:color w:val="auto"/>
                      <w:lang w:val="en-US"/>
                    </w:rPr>
                    <w:t>）</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59A6BA5">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2000</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2DBE802">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3C55CDD0">
                  <w:pPr>
                    <w:pStyle w:val="21"/>
                    <w:keepNext w:val="0"/>
                    <w:keepLines w:val="0"/>
                    <w:suppressLineNumbers w:val="0"/>
                    <w:spacing w:before="0" w:beforeAutospacing="0" w:after="0" w:afterAutospacing="0"/>
                    <w:ind w:left="0" w:right="0"/>
                    <w:rPr>
                      <w:rFonts w:hint="default"/>
                      <w:color w:val="auto"/>
                    </w:rPr>
                  </w:pPr>
                  <w:r>
                    <w:rPr>
                      <w:rFonts w:hint="default"/>
                      <w:color w:val="auto"/>
                      <w:lang w:val="en-US"/>
                    </w:rPr>
                    <w:t>/</w:t>
                  </w:r>
                </w:p>
              </w:tc>
            </w:tr>
            <w:tr w14:paraId="7D27B8EB">
              <w:tblPrEx>
                <w:tblCellMar>
                  <w:top w:w="0" w:type="dxa"/>
                  <w:left w:w="0" w:type="dxa"/>
                  <w:bottom w:w="0" w:type="dxa"/>
                  <w:right w:w="0" w:type="dxa"/>
                </w:tblCellMar>
              </w:tblPrEx>
              <w:trPr>
                <w:trHeight w:val="340" w:hRule="atLeast"/>
                <w:jc w:val="center"/>
              </w:trPr>
              <w:tc>
                <w:tcPr>
                  <w:tcW w:w="497" w:type="dxa"/>
                  <w:vMerge w:val="continue"/>
                  <w:tcBorders>
                    <w:top w:val="single" w:color="000000" w:sz="8" w:space="0"/>
                    <w:left w:val="nil"/>
                    <w:bottom w:val="single" w:color="000000" w:sz="8" w:space="0"/>
                    <w:right w:val="single" w:color="000000" w:sz="8" w:space="0"/>
                  </w:tcBorders>
                  <w:shd w:val="clear" w:color="auto" w:fill="auto"/>
                  <w:vAlign w:val="center"/>
                </w:tcPr>
                <w:p w14:paraId="7BA4670E">
                  <w:pPr>
                    <w:pStyle w:val="21"/>
                    <w:keepNext w:val="0"/>
                    <w:keepLines w:val="0"/>
                    <w:suppressLineNumbers w:val="0"/>
                    <w:spacing w:before="0" w:beforeAutospacing="0" w:after="0" w:afterAutospacing="0"/>
                    <w:ind w:left="0" w:right="0"/>
                    <w:rPr>
                      <w:rFonts w:hint="default"/>
                      <w:color w:val="auto"/>
                    </w:rPr>
                  </w:pPr>
                </w:p>
              </w:tc>
              <w:tc>
                <w:tcPr>
                  <w:tcW w:w="46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0F5BE64">
                  <w:pPr>
                    <w:pStyle w:val="21"/>
                    <w:keepNext w:val="0"/>
                    <w:keepLines w:val="0"/>
                    <w:suppressLineNumbers w:val="0"/>
                    <w:spacing w:before="0" w:beforeAutospacing="0" w:after="0" w:afterAutospacing="0"/>
                    <w:ind w:left="0" w:right="0"/>
                    <w:rPr>
                      <w:rFonts w:hint="default"/>
                      <w:color w:val="auto"/>
                    </w:rPr>
                  </w:pPr>
                </w:p>
              </w:tc>
              <w:tc>
                <w:tcPr>
                  <w:tcW w:w="173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3099082">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更换频次</w:t>
                  </w:r>
                </w:p>
              </w:tc>
              <w:tc>
                <w:tcPr>
                  <w:tcW w:w="181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3699A6C">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lang w:val="zh-CN" w:eastAsia="zh-CN" w:bidi="zh-CN"/>
                    </w:rPr>
                  </w:pPr>
                  <w:r>
                    <w:rPr>
                      <w:rFonts w:hint="eastAsia"/>
                      <w:color w:val="auto"/>
                      <w:lang w:val="en-US" w:eastAsia="zh-CN"/>
                    </w:rPr>
                    <w:t>6</w:t>
                  </w:r>
                  <w:r>
                    <w:rPr>
                      <w:rFonts w:hint="eastAsia"/>
                      <w:color w:val="auto"/>
                      <w:lang w:val="en-US"/>
                    </w:rPr>
                    <w:t>次</w:t>
                  </w:r>
                  <w:r>
                    <w:rPr>
                      <w:rFonts w:hint="default"/>
                      <w:color w:val="auto"/>
                      <w:lang w:val="en-US"/>
                    </w:rPr>
                    <w:t>/</w:t>
                  </w:r>
                  <w:r>
                    <w:rPr>
                      <w:rFonts w:hint="eastAsia"/>
                      <w:color w:val="auto"/>
                      <w:lang w:val="en-US"/>
                    </w:rPr>
                    <w:t>年</w:t>
                  </w:r>
                </w:p>
              </w:tc>
              <w:tc>
                <w:tcPr>
                  <w:tcW w:w="27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CF8D373">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不应超过累计运行</w:t>
                  </w:r>
                  <w:r>
                    <w:rPr>
                      <w:rFonts w:hint="default"/>
                      <w:color w:val="auto"/>
                      <w:lang w:val="en-US"/>
                    </w:rPr>
                    <w:t>500</w:t>
                  </w:r>
                  <w:r>
                    <w:rPr>
                      <w:rFonts w:hint="eastAsia"/>
                      <w:color w:val="auto"/>
                      <w:lang w:val="en-US"/>
                    </w:rPr>
                    <w:t>小时或</w:t>
                  </w:r>
                  <w:r>
                    <w:rPr>
                      <w:rFonts w:hint="default"/>
                      <w:color w:val="auto"/>
                      <w:lang w:val="en-US"/>
                    </w:rPr>
                    <w:t>3</w:t>
                  </w:r>
                  <w:r>
                    <w:rPr>
                      <w:rFonts w:hint="eastAsia"/>
                      <w:color w:val="auto"/>
                      <w:lang w:val="en-US"/>
                    </w:rPr>
                    <w:t>个月</w:t>
                  </w:r>
                </w:p>
              </w:tc>
              <w:tc>
                <w:tcPr>
                  <w:tcW w:w="671" w:type="dxa"/>
                  <w:tcBorders>
                    <w:top w:val="single" w:color="000000" w:sz="8" w:space="0"/>
                    <w:left w:val="single" w:color="000000" w:sz="8" w:space="0"/>
                    <w:bottom w:val="single" w:color="000000" w:sz="8" w:space="0"/>
                    <w:right w:val="nil"/>
                  </w:tcBorders>
                  <w:shd w:val="clear" w:color="auto" w:fill="auto"/>
                  <w:vAlign w:val="center"/>
                </w:tcPr>
                <w:p w14:paraId="7481C7D3">
                  <w:pPr>
                    <w:pStyle w:val="21"/>
                    <w:keepNext w:val="0"/>
                    <w:keepLines w:val="0"/>
                    <w:suppressLineNumbers w:val="0"/>
                    <w:spacing w:before="0" w:beforeAutospacing="0" w:after="0" w:afterAutospacing="0"/>
                    <w:ind w:left="0" w:right="0"/>
                    <w:rPr>
                      <w:rFonts w:hint="default"/>
                      <w:color w:val="auto"/>
                    </w:rPr>
                  </w:pPr>
                  <w:r>
                    <w:rPr>
                      <w:rFonts w:hint="eastAsia"/>
                      <w:color w:val="auto"/>
                      <w:lang w:val="en-US"/>
                    </w:rPr>
                    <w:t>相符</w:t>
                  </w:r>
                </w:p>
              </w:tc>
            </w:tr>
          </w:tbl>
          <w:p w14:paraId="13BDB58E">
            <w:pPr>
              <w:keepNext w:val="0"/>
              <w:keepLines w:val="0"/>
              <w:suppressLineNumbers w:val="0"/>
              <w:spacing w:before="0" w:beforeAutospacing="0" w:after="0" w:afterAutospacing="0"/>
              <w:ind w:left="0" w:right="0" w:firstLine="480"/>
              <w:rPr>
                <w:rFonts w:hint="default"/>
                <w:color w:val="auto"/>
                <w:lang w:val="en-US"/>
              </w:rPr>
            </w:pPr>
            <w:r>
              <w:rPr>
                <w:rFonts w:hint="eastAsia"/>
                <w:color w:val="auto"/>
                <w:lang w:val="en-US" w:eastAsia="zh-CN"/>
              </w:rPr>
              <w:t>C、</w:t>
            </w:r>
            <w:r>
              <w:rPr>
                <w:rFonts w:hint="eastAsia"/>
                <w:color w:val="auto"/>
                <w:lang w:val="en-US"/>
              </w:rPr>
              <w:t>活性炭填充量及更换周期</w:t>
            </w:r>
          </w:p>
          <w:p w14:paraId="0DC414CD">
            <w:pPr>
              <w:keepNext w:val="0"/>
              <w:keepLines w:val="0"/>
              <w:suppressLineNumbers w:val="0"/>
              <w:spacing w:before="0" w:beforeAutospacing="0" w:after="0" w:afterAutospacing="0"/>
              <w:ind w:left="0" w:right="0" w:firstLine="480"/>
              <w:rPr>
                <w:rFonts w:hint="default"/>
                <w:color w:val="auto"/>
                <w:lang w:val="en-US"/>
              </w:rPr>
            </w:pPr>
            <w:r>
              <w:rPr>
                <w:rFonts w:hint="eastAsia"/>
                <w:color w:val="auto"/>
                <w:lang w:val="en-US"/>
              </w:rPr>
              <w:t>根据《省生态环境厅关于将排污单位活性炭使用更换纳入排污许可管理的通知》（苏环办〔2021〕218号），参照以下公式计算更换周期：</w:t>
            </w:r>
          </w:p>
          <w:p w14:paraId="33392168">
            <w:pPr>
              <w:keepNext w:val="0"/>
              <w:keepLines w:val="0"/>
              <w:suppressLineNumbers w:val="0"/>
              <w:spacing w:before="0" w:beforeAutospacing="0" w:after="0" w:afterAutospacing="0"/>
              <w:ind w:left="0" w:right="0" w:firstLine="480"/>
              <w:jc w:val="center"/>
              <w:rPr>
                <w:rFonts w:hint="default"/>
                <w:color w:val="auto"/>
                <w:lang w:val="en-US"/>
              </w:rPr>
            </w:pPr>
            <w:r>
              <w:rPr>
                <w:rFonts w:hint="eastAsia"/>
                <w:color w:val="auto"/>
                <w:lang w:val="en-US"/>
              </w:rPr>
              <w:t>T=m×s÷（c×10</w:t>
            </w:r>
            <w:r>
              <w:rPr>
                <w:rFonts w:hint="eastAsia"/>
                <w:color w:val="auto"/>
                <w:vertAlign w:val="superscript"/>
                <w:lang w:val="en-US"/>
              </w:rPr>
              <w:t>-6</w:t>
            </w:r>
            <w:r>
              <w:rPr>
                <w:rFonts w:hint="eastAsia"/>
                <w:color w:val="auto"/>
                <w:lang w:val="en-US"/>
              </w:rPr>
              <w:t>×Q×t）</w:t>
            </w:r>
          </w:p>
          <w:p w14:paraId="208E6677">
            <w:pPr>
              <w:keepNext w:val="0"/>
              <w:keepLines w:val="0"/>
              <w:suppressLineNumbers w:val="0"/>
              <w:spacing w:before="0" w:beforeAutospacing="0" w:after="0" w:afterAutospacing="0"/>
              <w:ind w:left="0" w:right="0" w:firstLine="480"/>
              <w:rPr>
                <w:rFonts w:hint="default"/>
                <w:color w:val="auto"/>
                <w:lang w:val="en-US"/>
              </w:rPr>
            </w:pPr>
            <w:r>
              <w:rPr>
                <w:rFonts w:hint="eastAsia"/>
                <w:color w:val="auto"/>
                <w:lang w:val="en-US"/>
              </w:rPr>
              <w:t>式中：T——更换周期，天；</w:t>
            </w:r>
          </w:p>
          <w:p w14:paraId="35186B82">
            <w:pPr>
              <w:keepNext w:val="0"/>
              <w:keepLines w:val="0"/>
              <w:suppressLineNumbers w:val="0"/>
              <w:spacing w:before="0" w:beforeAutospacing="0" w:after="0" w:afterAutospacing="0"/>
              <w:ind w:left="720" w:leftChars="300" w:right="0" w:firstLine="480"/>
              <w:rPr>
                <w:rFonts w:hint="default"/>
                <w:color w:val="auto"/>
                <w:lang w:val="en-US"/>
              </w:rPr>
            </w:pPr>
            <w:r>
              <w:rPr>
                <w:rFonts w:hint="eastAsia"/>
                <w:color w:val="auto"/>
                <w:lang w:val="en-US"/>
              </w:rPr>
              <w:t>m——活性炭的用量，kg；</w:t>
            </w:r>
          </w:p>
          <w:p w14:paraId="76840C97">
            <w:pPr>
              <w:keepNext w:val="0"/>
              <w:keepLines w:val="0"/>
              <w:suppressLineNumbers w:val="0"/>
              <w:spacing w:before="0" w:beforeAutospacing="0" w:after="0" w:afterAutospacing="0"/>
              <w:ind w:left="720" w:leftChars="300" w:right="0" w:firstLine="480"/>
              <w:rPr>
                <w:rFonts w:hint="default"/>
                <w:color w:val="auto"/>
                <w:lang w:val="en-US"/>
              </w:rPr>
            </w:pPr>
            <w:r>
              <w:rPr>
                <w:rFonts w:hint="eastAsia"/>
                <w:color w:val="auto"/>
                <w:lang w:val="en-US"/>
              </w:rPr>
              <w:t>s——动态吸附量，%；</w:t>
            </w:r>
          </w:p>
          <w:p w14:paraId="6606B8ED">
            <w:pPr>
              <w:keepNext w:val="0"/>
              <w:keepLines w:val="0"/>
              <w:suppressLineNumbers w:val="0"/>
              <w:spacing w:before="0" w:beforeAutospacing="0" w:after="0" w:afterAutospacing="0"/>
              <w:ind w:left="720" w:leftChars="300" w:right="0" w:firstLine="480"/>
              <w:rPr>
                <w:rFonts w:hint="default"/>
                <w:color w:val="auto"/>
                <w:lang w:val="en-US"/>
              </w:rPr>
            </w:pPr>
            <w:r>
              <w:rPr>
                <w:rFonts w:hint="eastAsia"/>
                <w:color w:val="auto"/>
                <w:lang w:val="en-US"/>
              </w:rPr>
              <w:t>c——活性炭削减的VOCs浓度，mg/m</w:t>
            </w:r>
            <w:r>
              <w:rPr>
                <w:rFonts w:hint="eastAsia"/>
                <w:color w:val="auto"/>
                <w:vertAlign w:val="superscript"/>
                <w:lang w:val="en-US"/>
              </w:rPr>
              <w:t>3</w:t>
            </w:r>
            <w:r>
              <w:rPr>
                <w:rFonts w:hint="eastAsia"/>
                <w:color w:val="auto"/>
                <w:lang w:val="en-US"/>
              </w:rPr>
              <w:t>；</w:t>
            </w:r>
          </w:p>
          <w:p w14:paraId="73B3DA8A">
            <w:pPr>
              <w:keepNext w:val="0"/>
              <w:keepLines w:val="0"/>
              <w:suppressLineNumbers w:val="0"/>
              <w:spacing w:before="0" w:beforeAutospacing="0" w:after="0" w:afterAutospacing="0"/>
              <w:ind w:left="720" w:leftChars="300" w:right="0" w:firstLine="480"/>
              <w:rPr>
                <w:rFonts w:hint="default"/>
                <w:color w:val="auto"/>
                <w:lang w:val="en-US"/>
              </w:rPr>
            </w:pPr>
            <w:r>
              <w:rPr>
                <w:rFonts w:hint="eastAsia"/>
                <w:color w:val="auto"/>
                <w:lang w:val="en-US"/>
              </w:rPr>
              <w:t>Q——风量，单位m</w:t>
            </w:r>
            <w:r>
              <w:rPr>
                <w:rFonts w:hint="eastAsia"/>
                <w:color w:val="auto"/>
                <w:vertAlign w:val="superscript"/>
                <w:lang w:val="en-US"/>
              </w:rPr>
              <w:t>3</w:t>
            </w:r>
            <w:r>
              <w:rPr>
                <w:rFonts w:hint="eastAsia"/>
                <w:color w:val="auto"/>
                <w:lang w:val="en-US"/>
              </w:rPr>
              <w:t>/h；</w:t>
            </w:r>
          </w:p>
          <w:p w14:paraId="2D89D461">
            <w:pPr>
              <w:keepNext w:val="0"/>
              <w:keepLines w:val="0"/>
              <w:suppressLineNumbers w:val="0"/>
              <w:spacing w:before="0" w:beforeAutospacing="0" w:after="0" w:afterAutospacing="0"/>
              <w:ind w:left="720" w:leftChars="300" w:right="0" w:firstLine="480"/>
              <w:rPr>
                <w:rFonts w:hint="default"/>
                <w:color w:val="auto"/>
                <w:lang w:val="en-US"/>
              </w:rPr>
            </w:pPr>
            <w:r>
              <w:rPr>
                <w:rFonts w:hint="eastAsia"/>
                <w:color w:val="auto"/>
                <w:lang w:val="en-US"/>
              </w:rPr>
              <w:t>t——运行时间，单位h/d。</w:t>
            </w:r>
          </w:p>
          <w:p w14:paraId="641D727B">
            <w:pPr>
              <w:pStyle w:val="23"/>
              <w:keepNext w:val="0"/>
              <w:keepLines w:val="0"/>
              <w:suppressLineNumbers w:val="0"/>
              <w:spacing w:before="0" w:beforeAutospacing="0" w:after="0" w:afterAutospacing="0"/>
              <w:ind w:left="0" w:right="0"/>
              <w:rPr>
                <w:rFonts w:hint="default"/>
                <w:color w:val="auto"/>
              </w:rPr>
            </w:pPr>
            <w:r>
              <w:rPr>
                <w:color w:val="auto"/>
              </w:rPr>
              <w:t>表4-7活性炭更换周期表</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056"/>
              <w:gridCol w:w="742"/>
              <w:gridCol w:w="1987"/>
              <w:gridCol w:w="882"/>
              <w:gridCol w:w="1002"/>
              <w:gridCol w:w="1222"/>
              <w:gridCol w:w="1073"/>
            </w:tblGrid>
            <w:tr w14:paraId="42EA68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037" w:type="dxa"/>
                  <w:vAlign w:val="center"/>
                </w:tcPr>
                <w:p w14:paraId="2EB623C7">
                  <w:pPr>
                    <w:pStyle w:val="21"/>
                    <w:keepNext w:val="0"/>
                    <w:keepLines w:val="0"/>
                    <w:suppressLineNumbers w:val="0"/>
                    <w:spacing w:before="0" w:beforeAutospacing="0" w:after="0" w:afterAutospacing="0"/>
                    <w:ind w:left="0" w:right="0"/>
                    <w:rPr>
                      <w:rFonts w:hint="default"/>
                      <w:b/>
                      <w:bCs/>
                      <w:color w:val="auto"/>
                    </w:rPr>
                  </w:pPr>
                  <w:r>
                    <w:rPr>
                      <w:rFonts w:hint="default"/>
                      <w:b/>
                      <w:bCs/>
                      <w:color w:val="auto"/>
                    </w:rPr>
                    <w:t>活性炭用量（kg）</w:t>
                  </w:r>
                </w:p>
              </w:tc>
              <w:tc>
                <w:tcPr>
                  <w:tcW w:w="729" w:type="dxa"/>
                  <w:vAlign w:val="center"/>
                </w:tcPr>
                <w:p w14:paraId="1DCB70CE">
                  <w:pPr>
                    <w:pStyle w:val="21"/>
                    <w:keepNext w:val="0"/>
                    <w:keepLines w:val="0"/>
                    <w:suppressLineNumbers w:val="0"/>
                    <w:spacing w:before="0" w:beforeAutospacing="0" w:after="0" w:afterAutospacing="0"/>
                    <w:ind w:left="0" w:right="0"/>
                    <w:rPr>
                      <w:rFonts w:hint="default"/>
                      <w:b/>
                      <w:bCs/>
                      <w:color w:val="auto"/>
                    </w:rPr>
                  </w:pPr>
                  <w:r>
                    <w:rPr>
                      <w:rFonts w:hint="default"/>
                      <w:b/>
                      <w:bCs/>
                      <w:color w:val="auto"/>
                    </w:rPr>
                    <w:t>动态吸附量</w:t>
                  </w:r>
                </w:p>
              </w:tc>
              <w:tc>
                <w:tcPr>
                  <w:tcW w:w="1952" w:type="dxa"/>
                  <w:vAlign w:val="center"/>
                </w:tcPr>
                <w:p w14:paraId="20E9C83F">
                  <w:pPr>
                    <w:pStyle w:val="21"/>
                    <w:keepNext w:val="0"/>
                    <w:keepLines w:val="0"/>
                    <w:suppressLineNumbers w:val="0"/>
                    <w:spacing w:before="0" w:beforeAutospacing="0" w:after="0" w:afterAutospacing="0"/>
                    <w:ind w:left="0" w:right="0"/>
                    <w:rPr>
                      <w:rFonts w:hint="default"/>
                      <w:b/>
                      <w:bCs/>
                      <w:color w:val="auto"/>
                    </w:rPr>
                  </w:pPr>
                  <w:r>
                    <w:rPr>
                      <w:rFonts w:hint="default"/>
                      <w:b/>
                      <w:bCs/>
                      <w:color w:val="auto"/>
                    </w:rPr>
                    <w:t>活性炭削减VOCS浓度（mg/m</w:t>
                  </w:r>
                  <w:r>
                    <w:rPr>
                      <w:rFonts w:hint="default"/>
                      <w:b/>
                      <w:bCs/>
                      <w:color w:val="auto"/>
                      <w:vertAlign w:val="superscript"/>
                    </w:rPr>
                    <w:t>3</w:t>
                  </w:r>
                  <w:r>
                    <w:rPr>
                      <w:rFonts w:hint="default"/>
                      <w:b/>
                      <w:bCs/>
                      <w:color w:val="auto"/>
                    </w:rPr>
                    <w:t>）*</w:t>
                  </w:r>
                </w:p>
              </w:tc>
              <w:tc>
                <w:tcPr>
                  <w:tcW w:w="866" w:type="dxa"/>
                  <w:vAlign w:val="center"/>
                </w:tcPr>
                <w:p w14:paraId="1F5D675D">
                  <w:pPr>
                    <w:pStyle w:val="21"/>
                    <w:keepNext w:val="0"/>
                    <w:keepLines w:val="0"/>
                    <w:suppressLineNumbers w:val="0"/>
                    <w:spacing w:before="0" w:beforeAutospacing="0" w:after="0" w:afterAutospacing="0"/>
                    <w:ind w:left="0" w:right="0"/>
                    <w:rPr>
                      <w:rFonts w:hint="default"/>
                      <w:b/>
                      <w:bCs/>
                      <w:color w:val="auto"/>
                    </w:rPr>
                  </w:pPr>
                  <w:r>
                    <w:rPr>
                      <w:rFonts w:hint="default"/>
                      <w:b/>
                      <w:bCs/>
                      <w:color w:val="auto"/>
                    </w:rPr>
                    <w:t>风量（m</w:t>
                  </w:r>
                  <w:r>
                    <w:rPr>
                      <w:rFonts w:hint="default"/>
                      <w:b/>
                      <w:bCs/>
                      <w:color w:val="auto"/>
                      <w:vertAlign w:val="superscript"/>
                    </w:rPr>
                    <w:t>3</w:t>
                  </w:r>
                  <w:r>
                    <w:rPr>
                      <w:rFonts w:hint="default"/>
                      <w:b/>
                      <w:bCs/>
                      <w:color w:val="auto"/>
                    </w:rPr>
                    <w:t>/h）</w:t>
                  </w:r>
                </w:p>
              </w:tc>
              <w:tc>
                <w:tcPr>
                  <w:tcW w:w="984" w:type="dxa"/>
                  <w:vAlign w:val="center"/>
                </w:tcPr>
                <w:p w14:paraId="2F571DB8">
                  <w:pPr>
                    <w:pStyle w:val="21"/>
                    <w:keepNext w:val="0"/>
                    <w:keepLines w:val="0"/>
                    <w:suppressLineNumbers w:val="0"/>
                    <w:spacing w:before="0" w:beforeAutospacing="0" w:after="0" w:afterAutospacing="0"/>
                    <w:ind w:left="0" w:right="0"/>
                    <w:rPr>
                      <w:rFonts w:hint="default"/>
                      <w:b/>
                      <w:bCs/>
                      <w:color w:val="auto"/>
                    </w:rPr>
                  </w:pPr>
                  <w:r>
                    <w:rPr>
                      <w:rFonts w:hint="default"/>
                      <w:b/>
                      <w:bCs/>
                      <w:color w:val="auto"/>
                    </w:rPr>
                    <w:t>运行时间（h/d）</w:t>
                  </w:r>
                </w:p>
              </w:tc>
              <w:tc>
                <w:tcPr>
                  <w:tcW w:w="1200" w:type="dxa"/>
                  <w:vAlign w:val="center"/>
                </w:tcPr>
                <w:p w14:paraId="1E35577F">
                  <w:pPr>
                    <w:pStyle w:val="21"/>
                    <w:keepNext w:val="0"/>
                    <w:keepLines w:val="0"/>
                    <w:suppressLineNumbers w:val="0"/>
                    <w:spacing w:before="0" w:beforeAutospacing="0" w:after="0" w:afterAutospacing="0"/>
                    <w:ind w:left="0" w:right="0"/>
                    <w:rPr>
                      <w:rFonts w:hint="default"/>
                      <w:b/>
                      <w:bCs/>
                      <w:color w:val="auto"/>
                    </w:rPr>
                  </w:pPr>
                  <w:r>
                    <w:rPr>
                      <w:rFonts w:hint="eastAsia"/>
                      <w:b/>
                      <w:bCs/>
                      <w:color w:val="auto"/>
                      <w:lang w:val="en-US"/>
                    </w:rPr>
                    <w:t>理论</w:t>
                  </w:r>
                  <w:r>
                    <w:rPr>
                      <w:rFonts w:hint="default"/>
                      <w:b/>
                      <w:bCs/>
                      <w:color w:val="auto"/>
                    </w:rPr>
                    <w:t>更换周期（天）</w:t>
                  </w:r>
                </w:p>
              </w:tc>
              <w:tc>
                <w:tcPr>
                  <w:tcW w:w="1054" w:type="dxa"/>
                  <w:vAlign w:val="center"/>
                </w:tcPr>
                <w:p w14:paraId="1D506980">
                  <w:pPr>
                    <w:pStyle w:val="21"/>
                    <w:keepNext w:val="0"/>
                    <w:keepLines w:val="0"/>
                    <w:suppressLineNumbers w:val="0"/>
                    <w:spacing w:before="0" w:beforeAutospacing="0" w:after="0" w:afterAutospacing="0"/>
                    <w:ind w:left="0" w:right="0"/>
                    <w:rPr>
                      <w:rFonts w:hint="default"/>
                      <w:b/>
                      <w:bCs/>
                      <w:color w:val="auto"/>
                      <w:lang w:val="en-US"/>
                    </w:rPr>
                  </w:pPr>
                  <w:r>
                    <w:rPr>
                      <w:rFonts w:hint="eastAsia"/>
                      <w:b/>
                      <w:bCs/>
                      <w:color w:val="auto"/>
                      <w:lang w:val="en-US"/>
                    </w:rPr>
                    <w:t>实际更换周期（天）</w:t>
                  </w:r>
                </w:p>
              </w:tc>
            </w:tr>
            <w:tr w14:paraId="00D15D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037" w:type="dxa"/>
                  <w:vAlign w:val="center"/>
                </w:tcPr>
                <w:p w14:paraId="6B69B7B9">
                  <w:pPr>
                    <w:pStyle w:val="21"/>
                    <w:keepNext w:val="0"/>
                    <w:keepLines w:val="0"/>
                    <w:suppressLineNumbers w:val="0"/>
                    <w:spacing w:before="0" w:beforeAutospacing="0" w:after="0" w:afterAutospacing="0"/>
                    <w:ind w:left="0" w:right="0"/>
                    <w:rPr>
                      <w:rFonts w:hint="default"/>
                      <w:color w:val="auto"/>
                      <w:lang w:val="en-US"/>
                    </w:rPr>
                  </w:pPr>
                  <w:r>
                    <w:rPr>
                      <w:rFonts w:hint="eastAsia"/>
                      <w:color w:val="auto"/>
                      <w:lang w:val="en-US" w:eastAsia="zh-CN"/>
                    </w:rPr>
                    <w:t>40</w:t>
                  </w:r>
                  <w:r>
                    <w:rPr>
                      <w:rFonts w:hint="eastAsia"/>
                      <w:color w:val="auto"/>
                      <w:lang w:val="en-US"/>
                    </w:rPr>
                    <w:t>00</w:t>
                  </w:r>
                </w:p>
              </w:tc>
              <w:tc>
                <w:tcPr>
                  <w:tcW w:w="729" w:type="dxa"/>
                  <w:vAlign w:val="center"/>
                </w:tcPr>
                <w:p w14:paraId="4A64D74A">
                  <w:pPr>
                    <w:pStyle w:val="21"/>
                    <w:keepNext w:val="0"/>
                    <w:keepLines w:val="0"/>
                    <w:suppressLineNumbers w:val="0"/>
                    <w:spacing w:before="0" w:beforeAutospacing="0" w:after="0" w:afterAutospacing="0"/>
                    <w:ind w:left="0" w:right="0"/>
                    <w:rPr>
                      <w:rFonts w:hint="default"/>
                      <w:color w:val="auto"/>
                    </w:rPr>
                  </w:pPr>
                  <w:r>
                    <w:rPr>
                      <w:rFonts w:hint="default"/>
                      <w:color w:val="auto"/>
                    </w:rPr>
                    <w:t>0.1</w:t>
                  </w:r>
                </w:p>
              </w:tc>
              <w:tc>
                <w:tcPr>
                  <w:tcW w:w="1952" w:type="dxa"/>
                  <w:vAlign w:val="center"/>
                </w:tcPr>
                <w:p w14:paraId="5053D006">
                  <w:pPr>
                    <w:pStyle w:val="21"/>
                    <w:keepNext w:val="0"/>
                    <w:keepLines w:val="0"/>
                    <w:suppressLineNumbers w:val="0"/>
                    <w:spacing w:before="0" w:beforeAutospacing="0" w:after="0" w:afterAutospacing="0"/>
                    <w:ind w:left="0" w:right="0"/>
                    <w:rPr>
                      <w:rFonts w:hint="default" w:eastAsia="宋体"/>
                      <w:color w:val="auto"/>
                      <w:lang w:val="en-US" w:eastAsia="zh-CN"/>
                    </w:rPr>
                  </w:pPr>
                  <w:r>
                    <w:rPr>
                      <w:rFonts w:hint="eastAsia"/>
                      <w:color w:val="auto"/>
                      <w:lang w:val="en-US" w:eastAsia="zh-CN"/>
                    </w:rPr>
                    <w:t>12.84</w:t>
                  </w:r>
                </w:p>
              </w:tc>
              <w:tc>
                <w:tcPr>
                  <w:tcW w:w="866" w:type="dxa"/>
                  <w:vAlign w:val="center"/>
                </w:tcPr>
                <w:p w14:paraId="17C513D0">
                  <w:pPr>
                    <w:pStyle w:val="21"/>
                    <w:keepNext w:val="0"/>
                    <w:keepLines w:val="0"/>
                    <w:suppressLineNumbers w:val="0"/>
                    <w:spacing w:before="0" w:beforeAutospacing="0" w:after="0" w:afterAutospacing="0"/>
                    <w:ind w:left="0" w:right="0"/>
                    <w:rPr>
                      <w:rFonts w:hint="default"/>
                      <w:color w:val="auto"/>
                      <w:lang w:val="en-US"/>
                    </w:rPr>
                  </w:pPr>
                  <w:r>
                    <w:rPr>
                      <w:rFonts w:hint="eastAsia"/>
                      <w:color w:val="auto"/>
                      <w:lang w:val="en-US" w:eastAsia="zh-CN"/>
                    </w:rPr>
                    <w:t>25000</w:t>
                  </w:r>
                </w:p>
              </w:tc>
              <w:tc>
                <w:tcPr>
                  <w:tcW w:w="984" w:type="dxa"/>
                  <w:vAlign w:val="center"/>
                </w:tcPr>
                <w:p w14:paraId="4BCB3CAB">
                  <w:pPr>
                    <w:pStyle w:val="21"/>
                    <w:keepNext w:val="0"/>
                    <w:keepLines w:val="0"/>
                    <w:suppressLineNumbers w:val="0"/>
                    <w:spacing w:before="0" w:beforeAutospacing="0" w:after="0" w:afterAutospacing="0"/>
                    <w:ind w:left="0" w:right="0"/>
                    <w:rPr>
                      <w:rFonts w:hint="default" w:eastAsia="宋体"/>
                      <w:color w:val="auto"/>
                      <w:lang w:val="en-US" w:eastAsia="zh-CN"/>
                    </w:rPr>
                  </w:pPr>
                  <w:r>
                    <w:rPr>
                      <w:rFonts w:hint="eastAsia"/>
                      <w:color w:val="auto"/>
                      <w:lang w:val="en-US" w:eastAsia="zh-CN"/>
                    </w:rPr>
                    <w:t>24</w:t>
                  </w:r>
                </w:p>
              </w:tc>
              <w:tc>
                <w:tcPr>
                  <w:tcW w:w="1200" w:type="dxa"/>
                  <w:vAlign w:val="center"/>
                </w:tcPr>
                <w:p w14:paraId="4372CAEC">
                  <w:pPr>
                    <w:pStyle w:val="21"/>
                    <w:keepNext w:val="0"/>
                    <w:keepLines w:val="0"/>
                    <w:suppressLineNumbers w:val="0"/>
                    <w:spacing w:before="0" w:beforeAutospacing="0" w:after="0" w:afterAutospacing="0"/>
                    <w:ind w:left="0" w:right="0"/>
                    <w:rPr>
                      <w:rFonts w:hint="default" w:eastAsia="宋体"/>
                      <w:color w:val="auto"/>
                      <w:lang w:val="en-US" w:eastAsia="zh-CN"/>
                    </w:rPr>
                  </w:pPr>
                  <w:r>
                    <w:rPr>
                      <w:rFonts w:hint="eastAsia"/>
                      <w:color w:val="auto"/>
                      <w:lang w:val="en-US" w:eastAsia="zh-CN"/>
                    </w:rPr>
                    <w:t>57.1</w:t>
                  </w:r>
                </w:p>
              </w:tc>
              <w:tc>
                <w:tcPr>
                  <w:tcW w:w="1054" w:type="dxa"/>
                  <w:vAlign w:val="center"/>
                </w:tcPr>
                <w:p w14:paraId="17C4959C">
                  <w:pPr>
                    <w:pStyle w:val="21"/>
                    <w:keepNext w:val="0"/>
                    <w:keepLines w:val="0"/>
                    <w:suppressLineNumbers w:val="0"/>
                    <w:spacing w:before="0" w:beforeAutospacing="0" w:after="0" w:afterAutospacing="0"/>
                    <w:ind w:left="0" w:right="0"/>
                    <w:rPr>
                      <w:rFonts w:hint="default" w:eastAsia="宋体"/>
                      <w:color w:val="auto"/>
                      <w:lang w:val="en-US" w:eastAsia="zh-CN"/>
                    </w:rPr>
                  </w:pPr>
                  <w:r>
                    <w:rPr>
                      <w:rFonts w:hint="eastAsia"/>
                      <w:color w:val="auto"/>
                      <w:lang w:val="en-US" w:eastAsia="zh-CN"/>
                    </w:rPr>
                    <w:t>50</w:t>
                  </w:r>
                </w:p>
              </w:tc>
            </w:tr>
          </w:tbl>
          <w:p w14:paraId="78AA77F5">
            <w:pPr>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vertAlign w:val="baseline"/>
                <w:lang w:val="en-US" w:eastAsia="zh-CN"/>
              </w:rPr>
            </w:pPr>
            <w:r>
              <w:rPr>
                <w:rFonts w:hint="eastAsia" w:ascii="Times New Roman" w:hAnsi="Times New Roman" w:eastAsia="宋体"/>
                <w:color w:val="auto"/>
                <w:highlight w:val="none"/>
                <w:vertAlign w:val="baseline"/>
                <w:lang w:val="en-US" w:eastAsia="zh-CN"/>
              </w:rPr>
              <w:t>由上表可见，活性炭每运行</w:t>
            </w:r>
            <w:r>
              <w:rPr>
                <w:rFonts w:hint="eastAsia"/>
                <w:color w:val="auto"/>
                <w:highlight w:val="none"/>
                <w:vertAlign w:val="baseline"/>
                <w:lang w:val="en-US" w:eastAsia="zh-CN"/>
              </w:rPr>
              <w:t>50</w:t>
            </w:r>
            <w:r>
              <w:rPr>
                <w:rFonts w:hint="eastAsia" w:ascii="Times New Roman" w:hAnsi="Times New Roman" w:eastAsia="宋体"/>
                <w:color w:val="auto"/>
                <w:highlight w:val="none"/>
                <w:vertAlign w:val="baseline"/>
                <w:lang w:val="en-US" w:eastAsia="zh-CN"/>
              </w:rPr>
              <w:t>天更换一次满足要求。</w:t>
            </w:r>
          </w:p>
          <w:p w14:paraId="3CACBAFB">
            <w:pPr>
              <w:keepNext w:val="0"/>
              <w:keepLines w:val="0"/>
              <w:suppressLineNumbers w:val="0"/>
              <w:spacing w:before="0" w:beforeAutospacing="0" w:after="0" w:afterAutospacing="0"/>
              <w:ind w:left="0" w:right="0" w:firstLine="480"/>
              <w:rPr>
                <w:rFonts w:hint="default"/>
                <w:color w:val="auto"/>
                <w:lang w:val="en-US"/>
              </w:rPr>
            </w:pPr>
            <w:r>
              <w:rPr>
                <w:rFonts w:hint="eastAsia"/>
                <w:color w:val="auto"/>
                <w:lang w:val="en-US" w:eastAsia="zh-CN"/>
              </w:rPr>
              <w:t>D、</w:t>
            </w:r>
            <w:r>
              <w:rPr>
                <w:rFonts w:hint="eastAsia"/>
                <w:color w:val="auto"/>
                <w:lang w:val="en-US"/>
              </w:rPr>
              <w:t>过滤风速</w:t>
            </w:r>
          </w:p>
          <w:p w14:paraId="2C382E91">
            <w:pPr>
              <w:keepNext w:val="0"/>
              <w:keepLines w:val="0"/>
              <w:suppressLineNumbers w:val="0"/>
              <w:spacing w:before="0" w:beforeAutospacing="0" w:after="0" w:afterAutospacing="0"/>
              <w:ind w:left="0" w:right="0" w:firstLine="480"/>
              <w:rPr>
                <w:rFonts w:hint="default"/>
                <w:color w:val="auto"/>
                <w:lang w:val="en-US"/>
              </w:rPr>
            </w:pPr>
            <w:r>
              <w:rPr>
                <w:rFonts w:hint="eastAsia"/>
                <w:color w:val="auto"/>
                <w:lang w:val="en-US" w:eastAsia="zh-CN"/>
              </w:rPr>
              <w:t>根据活性炭吸附设施参数表，</w:t>
            </w:r>
            <w:r>
              <w:rPr>
                <w:rFonts w:hint="default"/>
                <w:color w:val="auto"/>
                <w:lang w:val="en-US"/>
              </w:rPr>
              <w:t>本项目</w:t>
            </w:r>
            <w:r>
              <w:rPr>
                <w:rFonts w:hint="eastAsia"/>
                <w:color w:val="auto"/>
                <w:lang w:val="en-US" w:eastAsia="zh-CN"/>
              </w:rPr>
              <w:t>活性炭吸附设施过滤风速约为0.43m/s，</w:t>
            </w:r>
            <w:r>
              <w:rPr>
                <w:rFonts w:hint="default"/>
                <w:color w:val="auto"/>
                <w:lang w:val="en-US"/>
              </w:rPr>
              <w:t>满足《省生态环境厅关于深入开展涉VOCs治理重点工作核查的通知》（苏环办2020第218号）中，</w:t>
            </w:r>
            <w:r>
              <w:rPr>
                <w:rFonts w:hint="eastAsia"/>
                <w:color w:val="auto"/>
                <w:lang w:val="en-US" w:eastAsia="zh-CN"/>
              </w:rPr>
              <w:t>颗粒活</w:t>
            </w:r>
            <w:r>
              <w:rPr>
                <w:rFonts w:hint="default"/>
                <w:color w:val="auto"/>
                <w:lang w:val="en-US"/>
              </w:rPr>
              <w:t>性炭过滤风速≤</w:t>
            </w:r>
            <w:r>
              <w:rPr>
                <w:rFonts w:hint="eastAsia"/>
                <w:color w:val="auto"/>
                <w:lang w:val="en-US" w:eastAsia="zh-CN"/>
              </w:rPr>
              <w:t>0.6</w:t>
            </w:r>
            <w:r>
              <w:rPr>
                <w:rFonts w:hint="default"/>
                <w:color w:val="auto"/>
                <w:lang w:val="en-US"/>
              </w:rPr>
              <w:t>m/s的要求。</w:t>
            </w:r>
          </w:p>
          <w:p w14:paraId="53533EAC">
            <w:pPr>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vertAlign w:val="baseline"/>
                <w:lang w:val="en-US" w:eastAsia="zh-CN"/>
              </w:rPr>
            </w:pPr>
            <w:r>
              <w:rPr>
                <w:rFonts w:hint="eastAsia" w:ascii="Times New Roman" w:hAnsi="Times New Roman" w:eastAsia="宋体"/>
                <w:color w:val="auto"/>
                <w:highlight w:val="none"/>
                <w:vertAlign w:val="baseline"/>
                <w:lang w:val="en-US" w:eastAsia="zh-CN"/>
              </w:rPr>
              <w:t>3）可行技术分析</w:t>
            </w:r>
          </w:p>
          <w:p w14:paraId="648CBEB1">
            <w:pPr>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参考《排污许可证申请与核发技术规范橡胶和塑料制品工业》（HJ1122-2020）</w:t>
            </w:r>
            <w:r>
              <w:rPr>
                <w:rFonts w:hint="eastAsia"/>
                <w:color w:val="auto"/>
                <w:highlight w:val="none"/>
                <w:lang w:val="en-US" w:eastAsia="zh-CN"/>
              </w:rPr>
              <w:t>附录A表A.2，吸附法是塑料包装箱及容器制造过程非甲烷总烃污染防治的可行技术，</w:t>
            </w:r>
            <w:r>
              <w:rPr>
                <w:rFonts w:hint="eastAsia" w:ascii="Times New Roman" w:hAnsi="Times New Roman" w:eastAsia="宋体"/>
                <w:color w:val="auto"/>
                <w:highlight w:val="none"/>
                <w:lang w:val="en-US" w:eastAsia="zh-CN"/>
              </w:rPr>
              <w:t>参考</w:t>
            </w:r>
            <w:r>
              <w:rPr>
                <w:rFonts w:hint="eastAsia"/>
                <w:color w:val="auto"/>
                <w:highlight w:val="none"/>
                <w:lang w:val="en-US" w:eastAsia="zh-CN"/>
              </w:rPr>
              <w:t>《排污许可证申请与核发技术规范水处理（试行）》(HJ978-2018)，生物过滤法是氨气、硫化氢等恶臭气体处理的可行技术，因此本项目采取的废气处理措施可行。</w:t>
            </w:r>
          </w:p>
          <w:p w14:paraId="511AFEEA">
            <w:pPr>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lang w:val="en-US" w:eastAsia="zh-CN"/>
              </w:rPr>
            </w:pPr>
            <w:r>
              <w:rPr>
                <w:rFonts w:hint="default" w:ascii="Times New Roman" w:hAnsi="Times New Roman" w:eastAsia="宋体"/>
                <w:color w:val="auto"/>
                <w:highlight w:val="none"/>
                <w:lang w:val="en-US" w:eastAsia="zh-CN"/>
              </w:rPr>
              <w:t>（5）监测计划</w:t>
            </w:r>
          </w:p>
          <w:p w14:paraId="44C15D18">
            <w:pPr>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建设单位应按照</w:t>
            </w:r>
            <w:r>
              <w:rPr>
                <w:rFonts w:hint="default" w:ascii="Times New Roman" w:hAnsi="Times New Roman" w:eastAsia="宋体"/>
                <w:color w:val="auto"/>
                <w:highlight w:val="none"/>
                <w:lang w:val="en-US" w:eastAsia="zh-CN"/>
              </w:rPr>
              <w:t>《排污单位自行监测技术指南</w:t>
            </w:r>
            <w:r>
              <w:rPr>
                <w:rFonts w:hint="eastAsia"/>
                <w:color w:val="auto"/>
                <w:highlight w:val="none"/>
                <w:lang w:val="en-US" w:eastAsia="zh-CN"/>
              </w:rPr>
              <w:t>总则</w:t>
            </w:r>
            <w:r>
              <w:rPr>
                <w:rFonts w:hint="default" w:ascii="Times New Roman" w:hAnsi="Times New Roman" w:eastAsia="宋体"/>
                <w:color w:val="auto"/>
                <w:highlight w:val="none"/>
                <w:lang w:val="en-US" w:eastAsia="zh-CN"/>
              </w:rPr>
              <w:t>》（HJ</w:t>
            </w:r>
            <w:r>
              <w:rPr>
                <w:rFonts w:hint="eastAsia"/>
                <w:color w:val="auto"/>
                <w:highlight w:val="none"/>
                <w:lang w:val="en-US" w:eastAsia="zh-CN"/>
              </w:rPr>
              <w:t>819</w:t>
            </w:r>
            <w:r>
              <w:rPr>
                <w:rFonts w:hint="default" w:ascii="Times New Roman" w:hAnsi="Times New Roman" w:eastAsia="宋体"/>
                <w:color w:val="auto"/>
                <w:highlight w:val="none"/>
                <w:lang w:val="en-US" w:eastAsia="zh-CN"/>
              </w:rPr>
              <w:t>-20</w:t>
            </w:r>
            <w:r>
              <w:rPr>
                <w:rFonts w:hint="eastAsia"/>
                <w:color w:val="auto"/>
                <w:highlight w:val="none"/>
                <w:lang w:val="en-US" w:eastAsia="zh-CN"/>
              </w:rPr>
              <w:t>17</w:t>
            </w:r>
            <w:r>
              <w:rPr>
                <w:rFonts w:hint="default" w:ascii="Times New Roman" w:hAnsi="Times New Roman" w:eastAsia="宋体"/>
                <w:color w:val="auto"/>
                <w:highlight w:val="none"/>
                <w:lang w:val="en-US" w:eastAsia="zh-CN"/>
              </w:rPr>
              <w:t>）等文件要求，对污染物排放情况进行检测，废气污染源监测情况具体见下表</w:t>
            </w:r>
            <w:r>
              <w:rPr>
                <w:rFonts w:hint="eastAsia" w:ascii="Times New Roman" w:hAnsi="Times New Roman" w:eastAsia="宋体"/>
                <w:color w:val="auto"/>
                <w:highlight w:val="none"/>
                <w:lang w:val="en-US" w:eastAsia="zh-CN"/>
              </w:rPr>
              <w:t>：</w:t>
            </w:r>
          </w:p>
          <w:p w14:paraId="08EEDB22">
            <w:pPr>
              <w:pStyle w:val="23"/>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lang w:val="en-US" w:eastAsia="zh-CN"/>
              </w:rPr>
            </w:pPr>
            <w:r>
              <w:rPr>
                <w:rFonts w:hint="default" w:ascii="Times New Roman" w:hAnsi="Times New Roman" w:eastAsia="宋体"/>
                <w:color w:val="auto"/>
                <w:highlight w:val="none"/>
                <w:lang w:val="en-US" w:eastAsia="zh-CN"/>
              </w:rPr>
              <w:t>表4-</w:t>
            </w:r>
            <w:r>
              <w:rPr>
                <w:rFonts w:hint="eastAsia"/>
                <w:color w:val="auto"/>
                <w:highlight w:val="none"/>
                <w:lang w:val="en-US" w:eastAsia="zh-CN"/>
              </w:rPr>
              <w:t>9</w:t>
            </w:r>
            <w:r>
              <w:rPr>
                <w:rFonts w:hint="default" w:ascii="Times New Roman" w:hAnsi="Times New Roman" w:eastAsia="宋体"/>
                <w:color w:val="auto"/>
                <w:highlight w:val="none"/>
                <w:lang w:val="en-US" w:eastAsia="zh-CN"/>
              </w:rPr>
              <w:t>废气监测计划表</w:t>
            </w:r>
          </w:p>
          <w:tbl>
            <w:tblPr>
              <w:tblStyle w:val="16"/>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545"/>
              <w:gridCol w:w="1352"/>
              <w:gridCol w:w="1312"/>
              <w:gridCol w:w="1156"/>
              <w:gridCol w:w="3597"/>
            </w:tblGrid>
            <w:tr w14:paraId="6A8749D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42" w:type="pct"/>
                  <w:tcBorders>
                    <w:top w:val="single" w:color="auto" w:sz="12" w:space="0"/>
                    <w:left w:val="nil"/>
                    <w:bottom w:val="single" w:color="auto" w:sz="6" w:space="0"/>
                    <w:right w:val="single" w:color="auto" w:sz="6" w:space="0"/>
                  </w:tcBorders>
                  <w:noWrap w:val="0"/>
                  <w:vAlign w:val="center"/>
                </w:tcPr>
                <w:p w14:paraId="214647AC">
                  <w:pPr>
                    <w:pStyle w:val="21"/>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类别</w:t>
                  </w:r>
                </w:p>
              </w:tc>
              <w:tc>
                <w:tcPr>
                  <w:tcW w:w="849" w:type="pct"/>
                  <w:tcBorders>
                    <w:top w:val="single" w:color="auto" w:sz="12" w:space="0"/>
                    <w:left w:val="single" w:color="auto" w:sz="6" w:space="0"/>
                    <w:bottom w:val="single" w:color="auto" w:sz="6" w:space="0"/>
                    <w:right w:val="single" w:color="auto" w:sz="6" w:space="0"/>
                  </w:tcBorders>
                  <w:noWrap w:val="0"/>
                  <w:vAlign w:val="center"/>
                </w:tcPr>
                <w:p w14:paraId="12CA8399">
                  <w:pPr>
                    <w:pStyle w:val="21"/>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监测位置</w:t>
                  </w:r>
                </w:p>
              </w:tc>
              <w:tc>
                <w:tcPr>
                  <w:tcW w:w="823" w:type="pct"/>
                  <w:tcBorders>
                    <w:top w:val="single" w:color="auto" w:sz="12" w:space="0"/>
                    <w:left w:val="single" w:color="auto" w:sz="6" w:space="0"/>
                    <w:bottom w:val="single" w:color="auto" w:sz="6" w:space="0"/>
                    <w:right w:val="single" w:color="auto" w:sz="6" w:space="0"/>
                  </w:tcBorders>
                  <w:noWrap w:val="0"/>
                  <w:vAlign w:val="center"/>
                </w:tcPr>
                <w:p w14:paraId="6D2F785A">
                  <w:pPr>
                    <w:pStyle w:val="21"/>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监测项目</w:t>
                  </w:r>
                </w:p>
              </w:tc>
              <w:tc>
                <w:tcPr>
                  <w:tcW w:w="725" w:type="pct"/>
                  <w:tcBorders>
                    <w:top w:val="single" w:color="auto" w:sz="12" w:space="0"/>
                    <w:left w:val="single" w:color="auto" w:sz="6" w:space="0"/>
                    <w:bottom w:val="single" w:color="auto" w:sz="6" w:space="0"/>
                    <w:right w:val="single" w:color="auto" w:sz="6" w:space="0"/>
                  </w:tcBorders>
                  <w:noWrap w:val="0"/>
                  <w:vAlign w:val="center"/>
                </w:tcPr>
                <w:p w14:paraId="43DA4277">
                  <w:pPr>
                    <w:pStyle w:val="21"/>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监测频次</w:t>
                  </w:r>
                </w:p>
              </w:tc>
              <w:tc>
                <w:tcPr>
                  <w:tcW w:w="2258" w:type="pct"/>
                  <w:tcBorders>
                    <w:top w:val="single" w:color="auto" w:sz="12" w:space="0"/>
                    <w:left w:val="single" w:color="auto" w:sz="6" w:space="0"/>
                    <w:bottom w:val="single" w:color="auto" w:sz="6" w:space="0"/>
                    <w:right w:val="nil"/>
                  </w:tcBorders>
                  <w:noWrap w:val="0"/>
                  <w:vAlign w:val="center"/>
                </w:tcPr>
                <w:p w14:paraId="1EA68AE5">
                  <w:pPr>
                    <w:pStyle w:val="21"/>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执行标准</w:t>
                  </w:r>
                </w:p>
              </w:tc>
            </w:tr>
            <w:tr w14:paraId="614AF45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42" w:type="pct"/>
                  <w:vMerge w:val="restart"/>
                  <w:tcBorders>
                    <w:top w:val="single" w:color="auto" w:sz="6" w:space="0"/>
                    <w:left w:val="nil"/>
                    <w:right w:val="single" w:color="auto" w:sz="6" w:space="0"/>
                  </w:tcBorders>
                  <w:noWrap w:val="0"/>
                  <w:vAlign w:val="center"/>
                </w:tcPr>
                <w:p w14:paraId="5C62351D">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废气</w:t>
                  </w:r>
                </w:p>
              </w:tc>
              <w:tc>
                <w:tcPr>
                  <w:tcW w:w="849" w:type="pct"/>
                  <w:vMerge w:val="restart"/>
                  <w:tcBorders>
                    <w:top w:val="single" w:color="auto" w:sz="6" w:space="0"/>
                    <w:left w:val="single" w:color="auto" w:sz="6" w:space="0"/>
                    <w:right w:val="single" w:color="auto" w:sz="6" w:space="0"/>
                  </w:tcBorders>
                  <w:noWrap w:val="0"/>
                  <w:vAlign w:val="center"/>
                </w:tcPr>
                <w:p w14:paraId="728E28FF">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rPr>
                  </w:pPr>
                  <w:r>
                    <w:rPr>
                      <w:rFonts w:hint="eastAsia" w:ascii="Times New Roman" w:hAnsi="Times New Roman" w:eastAsia="宋体" w:cs="Times New Roman"/>
                      <w:color w:val="auto"/>
                      <w:highlight w:val="none"/>
                      <w:lang w:val="en-US" w:eastAsia="zh-CN"/>
                    </w:rPr>
                    <w:t>DA00</w:t>
                  </w:r>
                  <w:r>
                    <w:rPr>
                      <w:rFonts w:hint="eastAsia" w:cs="Times New Roman"/>
                      <w:color w:val="auto"/>
                      <w:highlight w:val="none"/>
                      <w:lang w:val="en-US" w:eastAsia="zh-CN"/>
                    </w:rPr>
                    <w:t>1</w:t>
                  </w:r>
                  <w:r>
                    <w:rPr>
                      <w:rFonts w:hint="eastAsia" w:ascii="Times New Roman" w:hAnsi="Times New Roman" w:eastAsia="宋体" w:cs="Times New Roman"/>
                      <w:color w:val="auto"/>
                      <w:highlight w:val="none"/>
                      <w:lang w:val="en-US" w:eastAsia="zh-CN"/>
                    </w:rPr>
                    <w:t>排气筒</w:t>
                  </w:r>
                </w:p>
              </w:tc>
              <w:tc>
                <w:tcPr>
                  <w:tcW w:w="823" w:type="pct"/>
                  <w:tcBorders>
                    <w:top w:val="single" w:color="auto" w:sz="6" w:space="0"/>
                    <w:left w:val="single" w:color="auto" w:sz="6" w:space="0"/>
                    <w:right w:val="single" w:color="auto" w:sz="6" w:space="0"/>
                  </w:tcBorders>
                  <w:noWrap w:val="0"/>
                  <w:vAlign w:val="center"/>
                </w:tcPr>
                <w:p w14:paraId="055613C1">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非甲烷总烃</w:t>
                  </w:r>
                </w:p>
              </w:tc>
              <w:tc>
                <w:tcPr>
                  <w:tcW w:w="725" w:type="pct"/>
                  <w:tcBorders>
                    <w:top w:val="single" w:color="auto" w:sz="6" w:space="0"/>
                    <w:left w:val="single" w:color="auto" w:sz="6" w:space="0"/>
                    <w:right w:val="single" w:color="auto" w:sz="6" w:space="0"/>
                  </w:tcBorders>
                  <w:noWrap w:val="0"/>
                  <w:vAlign w:val="center"/>
                </w:tcPr>
                <w:p w14:paraId="4AD53EE9">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1次/年</w:t>
                  </w:r>
                </w:p>
              </w:tc>
              <w:tc>
                <w:tcPr>
                  <w:tcW w:w="2258" w:type="pct"/>
                  <w:vMerge w:val="restart"/>
                  <w:tcBorders>
                    <w:top w:val="single" w:color="auto" w:sz="6" w:space="0"/>
                    <w:left w:val="single" w:color="auto" w:sz="6" w:space="0"/>
                    <w:right w:val="nil"/>
                  </w:tcBorders>
                  <w:noWrap w:val="0"/>
                  <w:vAlign w:val="center"/>
                </w:tcPr>
                <w:p w14:paraId="3BD42513">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r>
                    <w:rPr>
                      <w:rFonts w:hint="default"/>
                      <w:color w:val="auto"/>
                      <w:highlight w:val="none"/>
                    </w:rPr>
                    <w:t>《</w:t>
                  </w:r>
                  <w:r>
                    <w:rPr>
                      <w:rFonts w:hint="eastAsia"/>
                      <w:color w:val="auto"/>
                      <w:highlight w:val="none"/>
                      <w:lang w:val="en-US" w:eastAsia="zh-CN"/>
                    </w:rPr>
                    <w:t>合成树脂工业</w:t>
                  </w:r>
                  <w:r>
                    <w:rPr>
                      <w:rFonts w:hint="default"/>
                      <w:color w:val="auto"/>
                      <w:highlight w:val="none"/>
                    </w:rPr>
                    <w:t>污染物排放标准》（</w:t>
                  </w:r>
                  <w:r>
                    <w:rPr>
                      <w:rFonts w:hint="eastAsia"/>
                      <w:color w:val="auto"/>
                      <w:highlight w:val="none"/>
                      <w:lang w:val="en-US" w:eastAsia="zh-CN"/>
                    </w:rPr>
                    <w:t>GB31572-2015</w:t>
                  </w:r>
                  <w:r>
                    <w:rPr>
                      <w:rFonts w:hint="default"/>
                      <w:color w:val="auto"/>
                      <w:highlight w:val="none"/>
                    </w:rPr>
                    <w:t>）</w:t>
                  </w:r>
                  <w:r>
                    <w:rPr>
                      <w:rFonts w:hint="eastAsia"/>
                      <w:color w:val="auto"/>
                      <w:highlight w:val="none"/>
                      <w:lang w:val="en-US" w:eastAsia="zh-CN"/>
                    </w:rPr>
                    <w:t>表5限值</w:t>
                  </w:r>
                </w:p>
              </w:tc>
            </w:tr>
            <w:tr w14:paraId="48A09D5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42" w:type="pct"/>
                  <w:vMerge w:val="continue"/>
                  <w:tcBorders>
                    <w:left w:val="nil"/>
                    <w:right w:val="single" w:color="auto" w:sz="6" w:space="0"/>
                  </w:tcBorders>
                  <w:noWrap w:val="0"/>
                  <w:vAlign w:val="center"/>
                </w:tcPr>
                <w:p w14:paraId="496276F7">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p>
              </w:tc>
              <w:tc>
                <w:tcPr>
                  <w:tcW w:w="849" w:type="pct"/>
                  <w:vMerge w:val="continue"/>
                  <w:tcBorders>
                    <w:left w:val="single" w:color="auto" w:sz="6" w:space="0"/>
                    <w:bottom w:val="single" w:color="auto" w:sz="6" w:space="0"/>
                    <w:right w:val="single" w:color="auto" w:sz="6" w:space="0"/>
                  </w:tcBorders>
                  <w:noWrap w:val="0"/>
                  <w:vAlign w:val="center"/>
                </w:tcPr>
                <w:p w14:paraId="3A4795EA">
                  <w:pPr>
                    <w:pStyle w:val="21"/>
                    <w:keepNext w:val="0"/>
                    <w:keepLines w:val="0"/>
                    <w:suppressLineNumbers w:val="0"/>
                    <w:spacing w:before="0" w:beforeAutospacing="0" w:after="0" w:afterAutospacing="0"/>
                    <w:ind w:left="0" w:right="0"/>
                    <w:rPr>
                      <w:rFonts w:hint="eastAsia" w:ascii="Times New Roman" w:hAnsi="Times New Roman" w:eastAsia="宋体" w:cs="Times New Roman"/>
                      <w:color w:val="auto"/>
                      <w:highlight w:val="none"/>
                      <w:lang w:val="en-US" w:eastAsia="zh-CN"/>
                    </w:rPr>
                  </w:pPr>
                </w:p>
              </w:tc>
              <w:tc>
                <w:tcPr>
                  <w:tcW w:w="823" w:type="pct"/>
                  <w:tcBorders>
                    <w:top w:val="single" w:color="auto" w:sz="6" w:space="0"/>
                    <w:left w:val="single" w:color="auto" w:sz="6" w:space="0"/>
                    <w:right w:val="single" w:color="auto" w:sz="6" w:space="0"/>
                  </w:tcBorders>
                  <w:noWrap w:val="0"/>
                  <w:vAlign w:val="center"/>
                </w:tcPr>
                <w:p w14:paraId="18F8ACC8">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乙醛</w:t>
                  </w:r>
                </w:p>
              </w:tc>
              <w:tc>
                <w:tcPr>
                  <w:tcW w:w="725" w:type="pct"/>
                  <w:tcBorders>
                    <w:top w:val="single" w:color="auto" w:sz="6" w:space="0"/>
                    <w:left w:val="single" w:color="auto" w:sz="6" w:space="0"/>
                    <w:right w:val="single" w:color="auto" w:sz="6" w:space="0"/>
                  </w:tcBorders>
                  <w:noWrap w:val="0"/>
                  <w:vAlign w:val="center"/>
                </w:tcPr>
                <w:p w14:paraId="2CAA42D4">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1次/年</w:t>
                  </w:r>
                </w:p>
              </w:tc>
              <w:tc>
                <w:tcPr>
                  <w:tcW w:w="2258" w:type="pct"/>
                  <w:vMerge w:val="continue"/>
                  <w:tcBorders>
                    <w:left w:val="single" w:color="auto" w:sz="6" w:space="0"/>
                    <w:right w:val="nil"/>
                  </w:tcBorders>
                  <w:noWrap w:val="0"/>
                  <w:vAlign w:val="center"/>
                </w:tcPr>
                <w:p w14:paraId="07772ABF">
                  <w:pPr>
                    <w:pStyle w:val="21"/>
                    <w:keepNext w:val="0"/>
                    <w:keepLines w:val="0"/>
                    <w:suppressLineNumbers w:val="0"/>
                    <w:spacing w:before="0" w:beforeAutospacing="0" w:after="0" w:afterAutospacing="0"/>
                    <w:ind w:left="0" w:right="0"/>
                    <w:rPr>
                      <w:rFonts w:hint="default"/>
                      <w:color w:val="auto"/>
                      <w:highlight w:val="none"/>
                    </w:rPr>
                  </w:pPr>
                </w:p>
              </w:tc>
            </w:tr>
            <w:tr w14:paraId="6D801A1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42" w:type="pct"/>
                  <w:vMerge w:val="continue"/>
                  <w:tcBorders>
                    <w:left w:val="nil"/>
                    <w:right w:val="single" w:color="auto" w:sz="6" w:space="0"/>
                  </w:tcBorders>
                  <w:noWrap w:val="0"/>
                  <w:vAlign w:val="center"/>
                </w:tcPr>
                <w:p w14:paraId="21AA98BC">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p>
              </w:tc>
              <w:tc>
                <w:tcPr>
                  <w:tcW w:w="849" w:type="pct"/>
                  <w:vMerge w:val="restart"/>
                  <w:tcBorders>
                    <w:top w:val="single" w:color="auto" w:sz="6" w:space="0"/>
                    <w:left w:val="single" w:color="auto" w:sz="6" w:space="0"/>
                    <w:right w:val="single" w:color="auto" w:sz="6" w:space="0"/>
                  </w:tcBorders>
                  <w:noWrap w:val="0"/>
                  <w:vAlign w:val="center"/>
                </w:tcPr>
                <w:p w14:paraId="092769BE">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厂界</w:t>
                  </w:r>
                </w:p>
              </w:tc>
              <w:tc>
                <w:tcPr>
                  <w:tcW w:w="823" w:type="pct"/>
                  <w:tcBorders>
                    <w:top w:val="single" w:color="auto" w:sz="6" w:space="0"/>
                    <w:left w:val="single" w:color="auto" w:sz="6" w:space="0"/>
                    <w:right w:val="single" w:color="auto" w:sz="6" w:space="0"/>
                  </w:tcBorders>
                  <w:noWrap w:val="0"/>
                  <w:vAlign w:val="center"/>
                </w:tcPr>
                <w:p w14:paraId="52A782CB">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非甲烷总烃</w:t>
                  </w:r>
                </w:p>
              </w:tc>
              <w:tc>
                <w:tcPr>
                  <w:tcW w:w="725" w:type="pct"/>
                  <w:tcBorders>
                    <w:top w:val="single" w:color="auto" w:sz="6" w:space="0"/>
                    <w:left w:val="single" w:color="auto" w:sz="6" w:space="0"/>
                    <w:right w:val="single" w:color="auto" w:sz="6" w:space="0"/>
                  </w:tcBorders>
                  <w:noWrap w:val="0"/>
                  <w:vAlign w:val="center"/>
                </w:tcPr>
                <w:p w14:paraId="290678F5">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1次/年</w:t>
                  </w:r>
                </w:p>
              </w:tc>
              <w:tc>
                <w:tcPr>
                  <w:tcW w:w="2258" w:type="pct"/>
                  <w:tcBorders>
                    <w:left w:val="single" w:color="auto" w:sz="6" w:space="0"/>
                    <w:right w:val="nil"/>
                  </w:tcBorders>
                  <w:noWrap w:val="0"/>
                  <w:vAlign w:val="center"/>
                </w:tcPr>
                <w:p w14:paraId="4A8C6C0A">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r>
                    <w:rPr>
                      <w:rFonts w:hint="default"/>
                      <w:color w:val="auto"/>
                      <w:highlight w:val="none"/>
                    </w:rPr>
                    <w:t>《</w:t>
                  </w:r>
                  <w:r>
                    <w:rPr>
                      <w:rFonts w:hint="eastAsia"/>
                      <w:color w:val="auto"/>
                      <w:highlight w:val="none"/>
                      <w:lang w:val="en-US" w:eastAsia="zh-CN"/>
                    </w:rPr>
                    <w:t>合成树脂工业</w:t>
                  </w:r>
                  <w:r>
                    <w:rPr>
                      <w:rFonts w:hint="default"/>
                      <w:color w:val="auto"/>
                      <w:highlight w:val="none"/>
                    </w:rPr>
                    <w:t>污染物排放标准》（</w:t>
                  </w:r>
                  <w:r>
                    <w:rPr>
                      <w:rFonts w:hint="eastAsia"/>
                      <w:color w:val="auto"/>
                      <w:highlight w:val="none"/>
                      <w:lang w:val="en-US" w:eastAsia="zh-CN"/>
                    </w:rPr>
                    <w:t>GB31572-2015</w:t>
                  </w:r>
                  <w:r>
                    <w:rPr>
                      <w:rFonts w:hint="default"/>
                      <w:color w:val="auto"/>
                      <w:highlight w:val="none"/>
                    </w:rPr>
                    <w:t>）</w:t>
                  </w:r>
                  <w:r>
                    <w:rPr>
                      <w:rFonts w:hint="eastAsia"/>
                      <w:color w:val="auto"/>
                      <w:highlight w:val="none"/>
                      <w:lang w:val="en-US" w:eastAsia="zh-CN"/>
                    </w:rPr>
                    <w:t>表9限值</w:t>
                  </w:r>
                </w:p>
              </w:tc>
            </w:tr>
            <w:tr w14:paraId="7634A16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42" w:type="pct"/>
                  <w:vMerge w:val="continue"/>
                  <w:tcBorders>
                    <w:left w:val="nil"/>
                    <w:right w:val="single" w:color="auto" w:sz="6" w:space="0"/>
                  </w:tcBorders>
                  <w:noWrap w:val="0"/>
                  <w:vAlign w:val="center"/>
                </w:tcPr>
                <w:p w14:paraId="3A34C2EC">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p>
              </w:tc>
              <w:tc>
                <w:tcPr>
                  <w:tcW w:w="849" w:type="pct"/>
                  <w:vMerge w:val="continue"/>
                  <w:tcBorders>
                    <w:left w:val="single" w:color="auto" w:sz="6" w:space="0"/>
                    <w:right w:val="single" w:color="auto" w:sz="6" w:space="0"/>
                  </w:tcBorders>
                  <w:noWrap w:val="0"/>
                  <w:vAlign w:val="center"/>
                </w:tcPr>
                <w:p w14:paraId="75CD51E6">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eastAsia="zh-CN"/>
                    </w:rPr>
                  </w:pPr>
                </w:p>
              </w:tc>
              <w:tc>
                <w:tcPr>
                  <w:tcW w:w="823" w:type="pct"/>
                  <w:tcBorders>
                    <w:top w:val="single" w:color="auto" w:sz="6" w:space="0"/>
                    <w:left w:val="single" w:color="auto" w:sz="6" w:space="0"/>
                    <w:right w:val="single" w:color="auto" w:sz="6" w:space="0"/>
                  </w:tcBorders>
                  <w:noWrap w:val="0"/>
                  <w:vAlign w:val="center"/>
                </w:tcPr>
                <w:p w14:paraId="4672E032">
                  <w:pPr>
                    <w:pStyle w:val="21"/>
                    <w:keepNext w:val="0"/>
                    <w:keepLines w:val="0"/>
                    <w:suppressLineNumbers w:val="0"/>
                    <w:spacing w:before="0" w:beforeAutospacing="0" w:after="0" w:afterAutospacing="0"/>
                    <w:ind w:left="0" w:right="0"/>
                    <w:rPr>
                      <w:rFonts w:hint="eastAsia" w:ascii="Times New Roman" w:hAnsi="Times New Roman" w:eastAsia="宋体" w:cs="Times New Roman"/>
                      <w:color w:val="auto"/>
                      <w:highlight w:val="none"/>
                      <w:lang w:val="en-US" w:eastAsia="zh-CN"/>
                    </w:rPr>
                  </w:pPr>
                  <w:r>
                    <w:rPr>
                      <w:rFonts w:hint="eastAsia" w:cs="Times New Roman"/>
                      <w:color w:val="auto"/>
                      <w:highlight w:val="none"/>
                      <w:lang w:val="en-US" w:eastAsia="zh-CN"/>
                    </w:rPr>
                    <w:t>乙醛</w:t>
                  </w:r>
                </w:p>
              </w:tc>
              <w:tc>
                <w:tcPr>
                  <w:tcW w:w="725" w:type="pct"/>
                  <w:tcBorders>
                    <w:top w:val="single" w:color="auto" w:sz="6" w:space="0"/>
                    <w:left w:val="single" w:color="auto" w:sz="6" w:space="0"/>
                    <w:right w:val="single" w:color="auto" w:sz="6" w:space="0"/>
                  </w:tcBorders>
                  <w:noWrap w:val="0"/>
                  <w:vAlign w:val="center"/>
                </w:tcPr>
                <w:p w14:paraId="5FD7F4A9">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1次/年</w:t>
                  </w:r>
                </w:p>
              </w:tc>
              <w:tc>
                <w:tcPr>
                  <w:tcW w:w="2258" w:type="pct"/>
                  <w:vMerge w:val="restart"/>
                  <w:tcBorders>
                    <w:left w:val="single" w:color="auto" w:sz="6" w:space="0"/>
                    <w:right w:val="nil"/>
                  </w:tcBorders>
                  <w:noWrap w:val="0"/>
                  <w:vAlign w:val="center"/>
                </w:tcPr>
                <w:p w14:paraId="081BCBB7">
                  <w:pPr>
                    <w:pStyle w:val="21"/>
                    <w:keepNext w:val="0"/>
                    <w:keepLines w:val="0"/>
                    <w:suppressLineNumbers w:val="0"/>
                    <w:spacing w:before="0" w:beforeAutospacing="0" w:after="0" w:afterAutospacing="0"/>
                    <w:ind w:left="0" w:right="0"/>
                    <w:rPr>
                      <w:rFonts w:hint="default"/>
                      <w:color w:val="auto"/>
                      <w:highlight w:val="none"/>
                    </w:rPr>
                  </w:pPr>
                  <w:r>
                    <w:rPr>
                      <w:rFonts w:hint="eastAsia" w:ascii="Times New Roman" w:hAnsi="Times New Roman" w:eastAsia="宋体"/>
                      <w:color w:val="auto"/>
                      <w:highlight w:val="none"/>
                      <w:lang w:val="en-US" w:eastAsia="zh-CN"/>
                    </w:rPr>
                    <w:t>《大气污染物综合排放标准》（DB32/4041-2021）表3限值</w:t>
                  </w:r>
                </w:p>
              </w:tc>
            </w:tr>
            <w:tr w14:paraId="62F48D8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42" w:type="pct"/>
                  <w:vMerge w:val="continue"/>
                  <w:tcBorders>
                    <w:left w:val="nil"/>
                    <w:right w:val="single" w:color="auto" w:sz="6" w:space="0"/>
                  </w:tcBorders>
                  <w:noWrap w:val="0"/>
                  <w:vAlign w:val="center"/>
                </w:tcPr>
                <w:p w14:paraId="1372773C">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p>
              </w:tc>
              <w:tc>
                <w:tcPr>
                  <w:tcW w:w="849" w:type="pct"/>
                  <w:vMerge w:val="continue"/>
                  <w:tcBorders>
                    <w:left w:val="single" w:color="auto" w:sz="6" w:space="0"/>
                    <w:right w:val="single" w:color="auto" w:sz="6" w:space="0"/>
                  </w:tcBorders>
                  <w:noWrap w:val="0"/>
                  <w:vAlign w:val="center"/>
                </w:tcPr>
                <w:p w14:paraId="14B51C19">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eastAsia="zh-CN"/>
                    </w:rPr>
                  </w:pPr>
                </w:p>
              </w:tc>
              <w:tc>
                <w:tcPr>
                  <w:tcW w:w="823" w:type="pct"/>
                  <w:tcBorders>
                    <w:top w:val="single" w:color="auto" w:sz="6" w:space="0"/>
                    <w:left w:val="single" w:color="auto" w:sz="6" w:space="0"/>
                    <w:right w:val="single" w:color="auto" w:sz="6" w:space="0"/>
                  </w:tcBorders>
                  <w:noWrap w:val="0"/>
                  <w:vAlign w:val="center"/>
                </w:tcPr>
                <w:p w14:paraId="2B1FE8D3">
                  <w:pPr>
                    <w:pStyle w:val="21"/>
                    <w:keepNext w:val="0"/>
                    <w:keepLines w:val="0"/>
                    <w:suppressLineNumbers w:val="0"/>
                    <w:spacing w:before="0" w:beforeAutospacing="0" w:after="0" w:afterAutospacing="0"/>
                    <w:ind w:left="0" w:right="0"/>
                    <w:rPr>
                      <w:rFonts w:hint="default" w:cs="Times New Roman"/>
                      <w:color w:val="auto"/>
                      <w:highlight w:val="none"/>
                      <w:lang w:val="en-US" w:eastAsia="zh-CN"/>
                    </w:rPr>
                  </w:pPr>
                  <w:r>
                    <w:rPr>
                      <w:rFonts w:hint="eastAsia" w:cs="Times New Roman"/>
                      <w:color w:val="auto"/>
                      <w:highlight w:val="none"/>
                      <w:lang w:val="en-US" w:eastAsia="zh-CN"/>
                    </w:rPr>
                    <w:t>氮氧化物</w:t>
                  </w:r>
                </w:p>
              </w:tc>
              <w:tc>
                <w:tcPr>
                  <w:tcW w:w="725" w:type="pct"/>
                  <w:tcBorders>
                    <w:top w:val="single" w:color="auto" w:sz="6" w:space="0"/>
                    <w:left w:val="single" w:color="auto" w:sz="6" w:space="0"/>
                    <w:right w:val="single" w:color="auto" w:sz="6" w:space="0"/>
                  </w:tcBorders>
                  <w:noWrap w:val="0"/>
                  <w:vAlign w:val="center"/>
                </w:tcPr>
                <w:p w14:paraId="3847C84D">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1次/年</w:t>
                  </w:r>
                </w:p>
              </w:tc>
              <w:tc>
                <w:tcPr>
                  <w:tcW w:w="2258" w:type="pct"/>
                  <w:vMerge w:val="continue"/>
                  <w:tcBorders>
                    <w:left w:val="single" w:color="auto" w:sz="6" w:space="0"/>
                    <w:right w:val="nil"/>
                  </w:tcBorders>
                  <w:noWrap w:val="0"/>
                  <w:vAlign w:val="center"/>
                </w:tcPr>
                <w:p w14:paraId="284656F8">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r>
            <w:tr w14:paraId="7020D8B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42" w:type="pct"/>
                  <w:vMerge w:val="continue"/>
                  <w:tcBorders>
                    <w:left w:val="nil"/>
                    <w:right w:val="single" w:color="auto" w:sz="6" w:space="0"/>
                  </w:tcBorders>
                  <w:noWrap w:val="0"/>
                  <w:vAlign w:val="center"/>
                </w:tcPr>
                <w:p w14:paraId="0A3AD6D9">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p>
              </w:tc>
              <w:tc>
                <w:tcPr>
                  <w:tcW w:w="849" w:type="pct"/>
                  <w:vMerge w:val="continue"/>
                  <w:tcBorders>
                    <w:left w:val="single" w:color="auto" w:sz="6" w:space="0"/>
                    <w:right w:val="single" w:color="auto" w:sz="6" w:space="0"/>
                  </w:tcBorders>
                  <w:noWrap w:val="0"/>
                  <w:vAlign w:val="center"/>
                </w:tcPr>
                <w:p w14:paraId="71DB335E">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eastAsia="zh-CN"/>
                    </w:rPr>
                  </w:pPr>
                </w:p>
              </w:tc>
              <w:tc>
                <w:tcPr>
                  <w:tcW w:w="823" w:type="pct"/>
                  <w:tcBorders>
                    <w:top w:val="single" w:color="auto" w:sz="6" w:space="0"/>
                    <w:left w:val="single" w:color="auto" w:sz="6" w:space="0"/>
                    <w:right w:val="single" w:color="auto" w:sz="6" w:space="0"/>
                  </w:tcBorders>
                  <w:shd w:val="clear" w:color="auto" w:fill="auto"/>
                  <w:noWrap w:val="0"/>
                  <w:vAlign w:val="center"/>
                </w:tcPr>
                <w:p w14:paraId="5676A1F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氨</w:t>
                  </w:r>
                </w:p>
              </w:tc>
              <w:tc>
                <w:tcPr>
                  <w:tcW w:w="725" w:type="pct"/>
                  <w:tcBorders>
                    <w:top w:val="single" w:color="auto" w:sz="6" w:space="0"/>
                    <w:left w:val="single" w:color="auto" w:sz="6" w:space="0"/>
                    <w:right w:val="single" w:color="auto" w:sz="6" w:space="0"/>
                  </w:tcBorders>
                  <w:noWrap w:val="0"/>
                  <w:vAlign w:val="center"/>
                </w:tcPr>
                <w:p w14:paraId="66DF00E1">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1次/年</w:t>
                  </w:r>
                </w:p>
              </w:tc>
              <w:tc>
                <w:tcPr>
                  <w:tcW w:w="2258" w:type="pct"/>
                  <w:vMerge w:val="restart"/>
                  <w:tcBorders>
                    <w:left w:val="single" w:color="auto" w:sz="6" w:space="0"/>
                    <w:right w:val="nil"/>
                  </w:tcBorders>
                  <w:noWrap w:val="0"/>
                  <w:vAlign w:val="center"/>
                </w:tcPr>
                <w:p w14:paraId="2EC8F449">
                  <w:pPr>
                    <w:pStyle w:val="21"/>
                    <w:keepNext w:val="0"/>
                    <w:keepLines w:val="0"/>
                    <w:suppressLineNumbers w:val="0"/>
                    <w:spacing w:before="0" w:beforeAutospacing="0" w:after="0" w:afterAutospacing="0"/>
                    <w:ind w:left="0" w:right="0"/>
                    <w:rPr>
                      <w:rFonts w:hint="default"/>
                      <w:color w:val="auto"/>
                      <w:highlight w:val="none"/>
                    </w:rPr>
                  </w:pPr>
                  <w:r>
                    <w:rPr>
                      <w:rFonts w:hint="eastAsia" w:ascii="Times New Roman" w:hAnsi="Times New Roman" w:eastAsia="宋体"/>
                      <w:color w:val="auto"/>
                      <w:highlight w:val="none"/>
                      <w:lang w:val="en-US" w:eastAsia="zh-CN"/>
                    </w:rPr>
                    <w:t>《恶臭污染物排放标准》（GB14554-93）表1二级新扩改建项目限值</w:t>
                  </w:r>
                </w:p>
              </w:tc>
            </w:tr>
            <w:tr w14:paraId="0B3891A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42" w:type="pct"/>
                  <w:vMerge w:val="continue"/>
                  <w:tcBorders>
                    <w:left w:val="nil"/>
                    <w:right w:val="single" w:color="auto" w:sz="6" w:space="0"/>
                  </w:tcBorders>
                  <w:noWrap w:val="0"/>
                  <w:vAlign w:val="center"/>
                </w:tcPr>
                <w:p w14:paraId="690DBC6D">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p>
              </w:tc>
              <w:tc>
                <w:tcPr>
                  <w:tcW w:w="849" w:type="pct"/>
                  <w:vMerge w:val="continue"/>
                  <w:tcBorders>
                    <w:left w:val="single" w:color="auto" w:sz="6" w:space="0"/>
                    <w:right w:val="single" w:color="auto" w:sz="6" w:space="0"/>
                  </w:tcBorders>
                  <w:noWrap w:val="0"/>
                  <w:vAlign w:val="center"/>
                </w:tcPr>
                <w:p w14:paraId="341B58BA">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eastAsia="zh-CN"/>
                    </w:rPr>
                  </w:pPr>
                </w:p>
              </w:tc>
              <w:tc>
                <w:tcPr>
                  <w:tcW w:w="823" w:type="pct"/>
                  <w:tcBorders>
                    <w:top w:val="single" w:color="auto" w:sz="6" w:space="0"/>
                    <w:left w:val="single" w:color="auto" w:sz="6" w:space="0"/>
                    <w:right w:val="single" w:color="auto" w:sz="6" w:space="0"/>
                  </w:tcBorders>
                  <w:shd w:val="clear" w:color="auto" w:fill="auto"/>
                  <w:noWrap w:val="0"/>
                  <w:vAlign w:val="center"/>
                </w:tcPr>
                <w:p w14:paraId="765D488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硫化氢</w:t>
                  </w:r>
                </w:p>
              </w:tc>
              <w:tc>
                <w:tcPr>
                  <w:tcW w:w="725" w:type="pct"/>
                  <w:tcBorders>
                    <w:top w:val="single" w:color="auto" w:sz="6" w:space="0"/>
                    <w:left w:val="single" w:color="auto" w:sz="6" w:space="0"/>
                    <w:right w:val="single" w:color="auto" w:sz="6" w:space="0"/>
                  </w:tcBorders>
                  <w:noWrap w:val="0"/>
                  <w:vAlign w:val="center"/>
                </w:tcPr>
                <w:p w14:paraId="5526F8FB">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1次/年</w:t>
                  </w:r>
                </w:p>
              </w:tc>
              <w:tc>
                <w:tcPr>
                  <w:tcW w:w="2258" w:type="pct"/>
                  <w:vMerge w:val="continue"/>
                  <w:tcBorders>
                    <w:left w:val="single" w:color="auto" w:sz="6" w:space="0"/>
                    <w:right w:val="nil"/>
                  </w:tcBorders>
                  <w:noWrap w:val="0"/>
                  <w:vAlign w:val="center"/>
                </w:tcPr>
                <w:p w14:paraId="50E4006A">
                  <w:pPr>
                    <w:pStyle w:val="21"/>
                    <w:keepNext w:val="0"/>
                    <w:keepLines w:val="0"/>
                    <w:suppressLineNumbers w:val="0"/>
                    <w:spacing w:before="0" w:beforeAutospacing="0" w:after="0" w:afterAutospacing="0"/>
                    <w:ind w:left="0" w:right="0"/>
                    <w:rPr>
                      <w:rFonts w:hint="default"/>
                      <w:color w:val="auto"/>
                      <w:highlight w:val="none"/>
                    </w:rPr>
                  </w:pPr>
                </w:p>
              </w:tc>
            </w:tr>
            <w:tr w14:paraId="35C74AC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42" w:type="pct"/>
                  <w:vMerge w:val="continue"/>
                  <w:tcBorders>
                    <w:left w:val="nil"/>
                    <w:right w:val="single" w:color="auto" w:sz="6" w:space="0"/>
                  </w:tcBorders>
                  <w:noWrap w:val="0"/>
                  <w:vAlign w:val="center"/>
                </w:tcPr>
                <w:p w14:paraId="6BCE6F64">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p>
              </w:tc>
              <w:tc>
                <w:tcPr>
                  <w:tcW w:w="849" w:type="pct"/>
                  <w:vMerge w:val="continue"/>
                  <w:tcBorders>
                    <w:left w:val="single" w:color="auto" w:sz="6" w:space="0"/>
                    <w:right w:val="single" w:color="auto" w:sz="6" w:space="0"/>
                  </w:tcBorders>
                  <w:noWrap w:val="0"/>
                  <w:vAlign w:val="center"/>
                </w:tcPr>
                <w:p w14:paraId="4F58BB14">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eastAsia="zh-CN"/>
                    </w:rPr>
                  </w:pPr>
                </w:p>
              </w:tc>
              <w:tc>
                <w:tcPr>
                  <w:tcW w:w="823" w:type="pct"/>
                  <w:tcBorders>
                    <w:top w:val="single" w:color="auto" w:sz="6" w:space="0"/>
                    <w:left w:val="single" w:color="auto" w:sz="6" w:space="0"/>
                    <w:right w:val="single" w:color="auto" w:sz="6" w:space="0"/>
                  </w:tcBorders>
                  <w:shd w:val="clear" w:color="auto" w:fill="auto"/>
                  <w:noWrap w:val="0"/>
                  <w:vAlign w:val="center"/>
                </w:tcPr>
                <w:p w14:paraId="2B59240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臭气浓度</w:t>
                  </w:r>
                </w:p>
              </w:tc>
              <w:tc>
                <w:tcPr>
                  <w:tcW w:w="725" w:type="pct"/>
                  <w:tcBorders>
                    <w:top w:val="single" w:color="auto" w:sz="6" w:space="0"/>
                    <w:left w:val="single" w:color="auto" w:sz="6" w:space="0"/>
                    <w:right w:val="single" w:color="auto" w:sz="6" w:space="0"/>
                  </w:tcBorders>
                  <w:noWrap w:val="0"/>
                  <w:vAlign w:val="center"/>
                </w:tcPr>
                <w:p w14:paraId="6A7F9F0C">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1次/年</w:t>
                  </w:r>
                </w:p>
              </w:tc>
              <w:tc>
                <w:tcPr>
                  <w:tcW w:w="2258" w:type="pct"/>
                  <w:vMerge w:val="continue"/>
                  <w:tcBorders>
                    <w:left w:val="single" w:color="auto" w:sz="6" w:space="0"/>
                    <w:right w:val="nil"/>
                  </w:tcBorders>
                  <w:noWrap w:val="0"/>
                  <w:vAlign w:val="center"/>
                </w:tcPr>
                <w:p w14:paraId="3276CA3E">
                  <w:pPr>
                    <w:pStyle w:val="21"/>
                    <w:keepNext w:val="0"/>
                    <w:keepLines w:val="0"/>
                    <w:suppressLineNumbers w:val="0"/>
                    <w:spacing w:before="0" w:beforeAutospacing="0" w:after="0" w:afterAutospacing="0"/>
                    <w:ind w:left="0" w:right="0"/>
                    <w:rPr>
                      <w:rFonts w:hint="default"/>
                      <w:color w:val="auto"/>
                      <w:highlight w:val="none"/>
                    </w:rPr>
                  </w:pPr>
                </w:p>
              </w:tc>
            </w:tr>
            <w:tr w14:paraId="6913921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42" w:type="pct"/>
                  <w:vMerge w:val="continue"/>
                  <w:tcBorders>
                    <w:left w:val="nil"/>
                    <w:right w:val="single" w:color="auto" w:sz="6" w:space="0"/>
                  </w:tcBorders>
                  <w:noWrap w:val="0"/>
                  <w:vAlign w:val="center"/>
                </w:tcPr>
                <w:p w14:paraId="79452C9F">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p>
              </w:tc>
              <w:tc>
                <w:tcPr>
                  <w:tcW w:w="849" w:type="pct"/>
                  <w:tcBorders>
                    <w:left w:val="single" w:color="auto" w:sz="6" w:space="0"/>
                    <w:right w:val="single" w:color="auto" w:sz="6" w:space="0"/>
                  </w:tcBorders>
                  <w:noWrap w:val="0"/>
                  <w:vAlign w:val="center"/>
                </w:tcPr>
                <w:p w14:paraId="04427757">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厂区内</w:t>
                  </w:r>
                </w:p>
              </w:tc>
              <w:tc>
                <w:tcPr>
                  <w:tcW w:w="823" w:type="pct"/>
                  <w:tcBorders>
                    <w:top w:val="single" w:color="auto" w:sz="6" w:space="0"/>
                    <w:left w:val="single" w:color="auto" w:sz="6" w:space="0"/>
                    <w:right w:val="single" w:color="auto" w:sz="6" w:space="0"/>
                  </w:tcBorders>
                  <w:noWrap w:val="0"/>
                  <w:vAlign w:val="center"/>
                </w:tcPr>
                <w:p w14:paraId="1A66A569">
                  <w:pPr>
                    <w:pStyle w:val="21"/>
                    <w:keepNext w:val="0"/>
                    <w:keepLines w:val="0"/>
                    <w:suppressLineNumbers w:val="0"/>
                    <w:spacing w:before="0" w:beforeAutospacing="0" w:after="0" w:afterAutospacing="0"/>
                    <w:ind w:left="0" w:right="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非甲烷总烃</w:t>
                  </w:r>
                </w:p>
              </w:tc>
              <w:tc>
                <w:tcPr>
                  <w:tcW w:w="725" w:type="pct"/>
                  <w:tcBorders>
                    <w:left w:val="single" w:color="auto" w:sz="6" w:space="0"/>
                    <w:right w:val="single" w:color="auto" w:sz="6" w:space="0"/>
                  </w:tcBorders>
                  <w:noWrap w:val="0"/>
                  <w:vAlign w:val="center"/>
                </w:tcPr>
                <w:p w14:paraId="63961102">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1次/年</w:t>
                  </w:r>
                </w:p>
              </w:tc>
              <w:tc>
                <w:tcPr>
                  <w:tcW w:w="2258" w:type="pct"/>
                  <w:tcBorders>
                    <w:left w:val="single" w:color="auto" w:sz="6" w:space="0"/>
                    <w:right w:val="nil"/>
                  </w:tcBorders>
                  <w:noWrap w:val="0"/>
                  <w:vAlign w:val="center"/>
                </w:tcPr>
                <w:p w14:paraId="0D8241CF">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r>
                    <w:rPr>
                      <w:rFonts w:hint="eastAsia" w:ascii="Times New Roman" w:hAnsi="Times New Roman" w:eastAsia="宋体"/>
                      <w:color w:val="auto"/>
                      <w:highlight w:val="none"/>
                      <w:lang w:val="en-US" w:eastAsia="zh-CN"/>
                    </w:rPr>
                    <w:t>《挥发性有机物无组织排放控制标准》（GB37822</w:t>
                  </w:r>
                  <w:r>
                    <w:rPr>
                      <w:rFonts w:hint="eastAsia"/>
                      <w:color w:val="auto"/>
                      <w:highlight w:val="none"/>
                      <w:lang w:val="en-US" w:eastAsia="zh-CN"/>
                    </w:rPr>
                    <w:t>-</w:t>
                  </w:r>
                  <w:r>
                    <w:rPr>
                      <w:rFonts w:hint="eastAsia" w:ascii="Times New Roman" w:hAnsi="Times New Roman" w:eastAsia="宋体"/>
                      <w:color w:val="auto"/>
                      <w:highlight w:val="none"/>
                      <w:lang w:val="en-US" w:eastAsia="zh-CN"/>
                    </w:rPr>
                    <w:t>2019）</w:t>
                  </w:r>
                  <w:r>
                    <w:rPr>
                      <w:rFonts w:hint="eastAsia"/>
                      <w:color w:val="auto"/>
                      <w:highlight w:val="none"/>
                      <w:lang w:val="en-US" w:eastAsia="zh-CN"/>
                    </w:rPr>
                    <w:t>附录A表A.1限值</w:t>
                  </w:r>
                </w:p>
              </w:tc>
            </w:tr>
          </w:tbl>
          <w:p w14:paraId="2ECC00AA">
            <w:pPr>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lang w:val="en-US" w:eastAsia="zh-CN"/>
              </w:rPr>
            </w:pPr>
            <w:r>
              <w:rPr>
                <w:rFonts w:hint="default" w:ascii="Times New Roman" w:hAnsi="Times New Roman" w:eastAsia="宋体"/>
                <w:color w:val="auto"/>
                <w:highlight w:val="none"/>
                <w:lang w:val="en-US" w:eastAsia="zh-CN"/>
              </w:rPr>
              <w:t>（6）大气环境影响分析结论</w:t>
            </w:r>
          </w:p>
          <w:p w14:paraId="6E70941A">
            <w:pPr>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lang w:val="en-US" w:eastAsia="zh-CN"/>
              </w:rPr>
            </w:pPr>
            <w:r>
              <w:rPr>
                <w:rFonts w:hint="default" w:ascii="Times New Roman" w:hAnsi="Times New Roman" w:eastAsia="宋体"/>
                <w:color w:val="auto"/>
                <w:highlight w:val="none"/>
                <w:lang w:val="en-US" w:eastAsia="zh-CN"/>
              </w:rPr>
              <w:t>根据现场踏勘情况，本项目周边500m范围内</w:t>
            </w:r>
            <w:r>
              <w:rPr>
                <w:rFonts w:hint="eastAsia"/>
                <w:color w:val="auto"/>
                <w:highlight w:val="none"/>
                <w:lang w:val="en-US" w:eastAsia="zh-CN"/>
              </w:rPr>
              <w:t>无大气环境保护</w:t>
            </w:r>
            <w:r>
              <w:rPr>
                <w:rFonts w:hint="default" w:ascii="Times New Roman" w:hAnsi="Times New Roman" w:eastAsia="宋体"/>
                <w:color w:val="auto"/>
                <w:highlight w:val="none"/>
                <w:lang w:val="en-US" w:eastAsia="zh-CN"/>
              </w:rPr>
              <w:t>目标，本项目废气经收集处理后通过</w:t>
            </w:r>
            <w:r>
              <w:rPr>
                <w:rFonts w:hint="eastAsia"/>
                <w:color w:val="auto"/>
                <w:highlight w:val="none"/>
                <w:lang w:val="en-US" w:eastAsia="zh-CN"/>
              </w:rPr>
              <w:t>DA001排气筒</w:t>
            </w:r>
            <w:r>
              <w:rPr>
                <w:rFonts w:hint="default" w:ascii="Times New Roman" w:hAnsi="Times New Roman" w:eastAsia="宋体"/>
                <w:color w:val="auto"/>
                <w:highlight w:val="none"/>
                <w:lang w:val="en-US" w:eastAsia="zh-CN"/>
              </w:rPr>
              <w:t>达标排放，对区域环境空气质量影响较小。</w:t>
            </w:r>
          </w:p>
          <w:p w14:paraId="089E7F2F">
            <w:pPr>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建议企业日常运营过程中要加强管理，定期对废气处理措施进行检修，定期更换活性炭，确保废气稳定达标排放，以减轻项目对周围大气环境的影响。</w:t>
            </w:r>
          </w:p>
          <w:p w14:paraId="00150E4E">
            <w:pPr>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2、废水</w:t>
            </w:r>
          </w:p>
          <w:p w14:paraId="42D26E6C">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（1）废水污染源强</w:t>
            </w:r>
          </w:p>
          <w:p w14:paraId="1DE305E5">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本项目运营期废水主要为生活污水、</w:t>
            </w:r>
            <w:r>
              <w:rPr>
                <w:rFonts w:hint="eastAsia" w:ascii="Times New Roman" w:hAnsi="Times New Roman" w:eastAsia="宋体"/>
                <w:color w:val="auto"/>
                <w:highlight w:val="none"/>
                <w:lang w:val="en-US" w:eastAsia="zh-CN"/>
              </w:rPr>
              <w:t>食堂废水、</w:t>
            </w:r>
            <w:r>
              <w:rPr>
                <w:rFonts w:hint="eastAsia"/>
                <w:color w:val="auto"/>
                <w:highlight w:val="none"/>
                <w:lang w:val="en-US" w:eastAsia="zh-CN"/>
              </w:rPr>
              <w:t>设备清洗废水、地面冲洗废水和纯水制备浓水</w:t>
            </w:r>
            <w:r>
              <w:rPr>
                <w:rFonts w:hint="eastAsia" w:ascii="Times New Roman" w:hAnsi="Times New Roman" w:eastAsia="宋体"/>
                <w:color w:val="auto"/>
                <w:highlight w:val="none"/>
                <w:lang w:val="en-US"/>
              </w:rPr>
              <w:t>。</w:t>
            </w:r>
          </w:p>
          <w:p w14:paraId="2965EF72">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1）生活污水</w:t>
            </w:r>
          </w:p>
          <w:p w14:paraId="469FA64E">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根据水平衡分析，本项目产生生活污水约</w:t>
            </w:r>
            <w:r>
              <w:rPr>
                <w:rFonts w:hint="eastAsia"/>
                <w:color w:val="auto"/>
                <w:highlight w:val="none"/>
                <w:lang w:val="en-US" w:eastAsia="zh-CN"/>
              </w:rPr>
              <w:t>96</w:t>
            </w:r>
            <w:r>
              <w:rPr>
                <w:rFonts w:hint="eastAsia" w:ascii="Times New Roman" w:hAnsi="Times New Roman" w:eastAsia="宋体"/>
                <w:color w:val="auto"/>
                <w:highlight w:val="none"/>
                <w:lang w:val="en-US"/>
              </w:rPr>
              <w:t>0t/a，主要污染物为COD400mg/L、</w:t>
            </w:r>
            <w:r>
              <w:rPr>
                <w:rFonts w:hint="eastAsia"/>
                <w:color w:val="auto"/>
                <w:highlight w:val="none"/>
                <w:lang w:val="en-US" w:eastAsia="zh-CN"/>
              </w:rPr>
              <w:t>BOD</w:t>
            </w:r>
            <w:r>
              <w:rPr>
                <w:rFonts w:hint="eastAsia"/>
                <w:color w:val="auto"/>
                <w:highlight w:val="none"/>
                <w:vertAlign w:val="subscript"/>
                <w:lang w:val="en-US" w:eastAsia="zh-CN"/>
              </w:rPr>
              <w:t>5</w:t>
            </w:r>
            <w:r>
              <w:rPr>
                <w:rFonts w:hint="eastAsia"/>
                <w:color w:val="auto"/>
                <w:highlight w:val="none"/>
                <w:vertAlign w:val="baseline"/>
                <w:lang w:val="en-US" w:eastAsia="zh-CN"/>
              </w:rPr>
              <w:t>300</w:t>
            </w:r>
            <w:r>
              <w:rPr>
                <w:rFonts w:hint="eastAsia" w:ascii="Times New Roman" w:hAnsi="Times New Roman" w:eastAsia="宋体"/>
                <w:color w:val="auto"/>
                <w:highlight w:val="none"/>
                <w:lang w:val="en-US"/>
              </w:rPr>
              <w:t>mg/L</w:t>
            </w:r>
            <w:r>
              <w:rPr>
                <w:rFonts w:hint="eastAsia"/>
                <w:color w:val="auto"/>
                <w:highlight w:val="none"/>
                <w:vertAlign w:val="baseline"/>
                <w:lang w:val="en-US" w:eastAsia="zh-CN"/>
              </w:rPr>
              <w:t>、</w:t>
            </w:r>
            <w:r>
              <w:rPr>
                <w:rFonts w:hint="eastAsia" w:ascii="Times New Roman" w:hAnsi="Times New Roman" w:eastAsia="宋体"/>
                <w:color w:val="auto"/>
                <w:highlight w:val="none"/>
                <w:lang w:val="en-US"/>
              </w:rPr>
              <w:t>SS</w:t>
            </w:r>
            <w:r>
              <w:rPr>
                <w:rFonts w:hint="eastAsia" w:ascii="Times New Roman" w:hAnsi="Times New Roman" w:eastAsia="宋体"/>
                <w:color w:val="auto"/>
                <w:highlight w:val="none"/>
                <w:lang w:val="en-US" w:eastAsia="zh-CN"/>
              </w:rPr>
              <w:t>2</w:t>
            </w:r>
            <w:r>
              <w:rPr>
                <w:rFonts w:hint="eastAsia" w:ascii="Times New Roman" w:hAnsi="Times New Roman" w:eastAsia="宋体"/>
                <w:color w:val="auto"/>
                <w:highlight w:val="none"/>
                <w:lang w:val="en-US"/>
              </w:rPr>
              <w:t>50mg/L、氨氮</w:t>
            </w:r>
            <w:r>
              <w:rPr>
                <w:rFonts w:hint="eastAsia"/>
                <w:color w:val="auto"/>
                <w:highlight w:val="none"/>
                <w:lang w:val="en-US" w:eastAsia="zh-CN"/>
              </w:rPr>
              <w:t>25</w:t>
            </w:r>
            <w:r>
              <w:rPr>
                <w:rFonts w:hint="eastAsia" w:ascii="Times New Roman" w:hAnsi="Times New Roman" w:eastAsia="宋体"/>
                <w:color w:val="auto"/>
                <w:highlight w:val="none"/>
                <w:lang w:val="en-US"/>
              </w:rPr>
              <w:t>mg/L、总氮3</w:t>
            </w:r>
            <w:r>
              <w:rPr>
                <w:rFonts w:hint="eastAsia"/>
                <w:color w:val="auto"/>
                <w:highlight w:val="none"/>
                <w:lang w:val="en-US" w:eastAsia="zh-CN"/>
              </w:rPr>
              <w:t>5</w:t>
            </w:r>
            <w:r>
              <w:rPr>
                <w:rFonts w:hint="eastAsia" w:ascii="Times New Roman" w:hAnsi="Times New Roman" w:eastAsia="宋体"/>
                <w:color w:val="auto"/>
                <w:highlight w:val="none"/>
                <w:lang w:val="en-US"/>
              </w:rPr>
              <w:t>mg/L、总磷</w:t>
            </w:r>
            <w:r>
              <w:rPr>
                <w:rFonts w:hint="eastAsia"/>
                <w:color w:val="auto"/>
                <w:highlight w:val="none"/>
                <w:lang w:val="en-US" w:eastAsia="zh-CN"/>
              </w:rPr>
              <w:t>5</w:t>
            </w:r>
            <w:r>
              <w:rPr>
                <w:rFonts w:hint="eastAsia" w:ascii="Times New Roman" w:hAnsi="Times New Roman" w:eastAsia="宋体"/>
                <w:color w:val="auto"/>
                <w:highlight w:val="none"/>
                <w:lang w:val="en-US"/>
              </w:rPr>
              <w:t>mg/L，经化粪池</w:t>
            </w:r>
            <w:r>
              <w:rPr>
                <w:rFonts w:hint="eastAsia"/>
                <w:color w:val="auto"/>
                <w:highlight w:val="none"/>
                <w:lang w:val="en-US" w:eastAsia="zh-CN"/>
              </w:rPr>
              <w:t>和租赁厂区污水处理厂</w:t>
            </w:r>
            <w:r>
              <w:rPr>
                <w:rFonts w:hint="eastAsia" w:ascii="Times New Roman" w:hAnsi="Times New Roman" w:eastAsia="宋体"/>
                <w:color w:val="auto"/>
                <w:highlight w:val="none"/>
                <w:lang w:val="en-US"/>
              </w:rPr>
              <w:t>预处理后接管至</w:t>
            </w:r>
            <w:r>
              <w:rPr>
                <w:rFonts w:hint="eastAsia"/>
                <w:color w:val="auto"/>
                <w:highlight w:val="none"/>
                <w:lang w:val="en-US" w:eastAsia="zh-CN"/>
              </w:rPr>
              <w:t>空港</w:t>
            </w:r>
            <w:r>
              <w:rPr>
                <w:rFonts w:hint="eastAsia" w:ascii="Times New Roman" w:hAnsi="Times New Roman" w:eastAsia="宋体"/>
                <w:color w:val="auto"/>
                <w:highlight w:val="none"/>
                <w:lang w:val="en-US"/>
              </w:rPr>
              <w:t>污水处理厂集中处理。</w:t>
            </w:r>
          </w:p>
          <w:p w14:paraId="75BBD985">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2）</w:t>
            </w:r>
            <w:r>
              <w:rPr>
                <w:rFonts w:hint="eastAsia" w:ascii="Times New Roman" w:hAnsi="Times New Roman" w:eastAsia="宋体"/>
                <w:color w:val="auto"/>
                <w:highlight w:val="none"/>
                <w:lang w:val="en-US" w:eastAsia="zh-CN"/>
              </w:rPr>
              <w:t>食堂废水</w:t>
            </w:r>
          </w:p>
          <w:p w14:paraId="4294C5B1">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根据水平衡分析，本项目产生</w:t>
            </w:r>
            <w:r>
              <w:rPr>
                <w:rFonts w:hint="eastAsia" w:ascii="Times New Roman" w:hAnsi="Times New Roman" w:eastAsia="宋体"/>
                <w:color w:val="auto"/>
                <w:highlight w:val="none"/>
                <w:lang w:val="en-US" w:eastAsia="zh-CN"/>
              </w:rPr>
              <w:t>食堂废水</w:t>
            </w:r>
            <w:r>
              <w:rPr>
                <w:rFonts w:hint="eastAsia" w:ascii="Times New Roman" w:hAnsi="Times New Roman" w:eastAsia="宋体"/>
                <w:color w:val="auto"/>
                <w:highlight w:val="none"/>
                <w:lang w:val="en-US"/>
              </w:rPr>
              <w:t>约</w:t>
            </w:r>
            <w:r>
              <w:rPr>
                <w:rFonts w:hint="eastAsia"/>
                <w:color w:val="auto"/>
                <w:highlight w:val="none"/>
                <w:lang w:val="en-US" w:eastAsia="zh-CN"/>
              </w:rPr>
              <w:t>480</w:t>
            </w:r>
            <w:r>
              <w:rPr>
                <w:rFonts w:hint="eastAsia" w:ascii="Times New Roman" w:hAnsi="Times New Roman" w:eastAsia="宋体"/>
                <w:color w:val="auto"/>
                <w:highlight w:val="none"/>
                <w:lang w:val="en-US"/>
              </w:rPr>
              <w:t>t/a，主要污染物为COD400mg/L、</w:t>
            </w:r>
            <w:r>
              <w:rPr>
                <w:rFonts w:hint="eastAsia"/>
                <w:color w:val="auto"/>
                <w:highlight w:val="none"/>
                <w:lang w:val="en-US" w:eastAsia="zh-CN"/>
              </w:rPr>
              <w:t>BOD</w:t>
            </w:r>
            <w:r>
              <w:rPr>
                <w:rFonts w:hint="eastAsia"/>
                <w:color w:val="auto"/>
                <w:highlight w:val="none"/>
                <w:vertAlign w:val="subscript"/>
                <w:lang w:val="en-US" w:eastAsia="zh-CN"/>
              </w:rPr>
              <w:t>5</w:t>
            </w:r>
            <w:r>
              <w:rPr>
                <w:rFonts w:hint="eastAsia"/>
                <w:color w:val="auto"/>
                <w:highlight w:val="none"/>
                <w:vertAlign w:val="baseline"/>
                <w:lang w:val="en-US" w:eastAsia="zh-CN"/>
              </w:rPr>
              <w:t>300</w:t>
            </w:r>
            <w:r>
              <w:rPr>
                <w:rFonts w:hint="eastAsia" w:ascii="Times New Roman" w:hAnsi="Times New Roman" w:eastAsia="宋体"/>
                <w:color w:val="auto"/>
                <w:highlight w:val="none"/>
                <w:lang w:val="en-US"/>
              </w:rPr>
              <w:t>mg/L</w:t>
            </w:r>
            <w:r>
              <w:rPr>
                <w:rFonts w:hint="eastAsia"/>
                <w:color w:val="auto"/>
                <w:highlight w:val="none"/>
                <w:vertAlign w:val="baseline"/>
                <w:lang w:val="en-US" w:eastAsia="zh-CN"/>
              </w:rPr>
              <w:t>、</w:t>
            </w:r>
            <w:r>
              <w:rPr>
                <w:rFonts w:hint="eastAsia" w:ascii="Times New Roman" w:hAnsi="Times New Roman" w:eastAsia="宋体"/>
                <w:color w:val="auto"/>
                <w:highlight w:val="none"/>
                <w:lang w:val="en-US"/>
              </w:rPr>
              <w:t>SS</w:t>
            </w:r>
            <w:r>
              <w:rPr>
                <w:rFonts w:hint="eastAsia" w:ascii="Times New Roman" w:hAnsi="Times New Roman" w:eastAsia="宋体"/>
                <w:color w:val="auto"/>
                <w:highlight w:val="none"/>
                <w:lang w:val="en-US" w:eastAsia="zh-CN"/>
              </w:rPr>
              <w:t>2</w:t>
            </w:r>
            <w:r>
              <w:rPr>
                <w:rFonts w:hint="eastAsia" w:ascii="Times New Roman" w:hAnsi="Times New Roman" w:eastAsia="宋体"/>
                <w:color w:val="auto"/>
                <w:highlight w:val="none"/>
                <w:lang w:val="en-US"/>
              </w:rPr>
              <w:t>50mg/L、氨氮</w:t>
            </w:r>
            <w:r>
              <w:rPr>
                <w:rFonts w:hint="eastAsia" w:ascii="Times New Roman" w:hAnsi="Times New Roman" w:eastAsia="宋体"/>
                <w:color w:val="auto"/>
                <w:highlight w:val="none"/>
                <w:lang w:val="en-US" w:eastAsia="zh-CN"/>
              </w:rPr>
              <w:t>2</w:t>
            </w:r>
            <w:r>
              <w:rPr>
                <w:rFonts w:hint="eastAsia"/>
                <w:color w:val="auto"/>
                <w:highlight w:val="none"/>
                <w:lang w:val="en-US" w:eastAsia="zh-CN"/>
              </w:rPr>
              <w:t>5</w:t>
            </w:r>
            <w:r>
              <w:rPr>
                <w:rFonts w:hint="eastAsia" w:ascii="Times New Roman" w:hAnsi="Times New Roman" w:eastAsia="宋体"/>
                <w:color w:val="auto"/>
                <w:highlight w:val="none"/>
                <w:lang w:val="en-US"/>
              </w:rPr>
              <w:t>mg/L、总氮3</w:t>
            </w:r>
            <w:r>
              <w:rPr>
                <w:rFonts w:hint="eastAsia"/>
                <w:color w:val="auto"/>
                <w:highlight w:val="none"/>
                <w:lang w:val="en-US" w:eastAsia="zh-CN"/>
              </w:rPr>
              <w:t>5</w:t>
            </w:r>
            <w:r>
              <w:rPr>
                <w:rFonts w:hint="eastAsia" w:ascii="Times New Roman" w:hAnsi="Times New Roman" w:eastAsia="宋体"/>
                <w:color w:val="auto"/>
                <w:highlight w:val="none"/>
                <w:lang w:val="en-US"/>
              </w:rPr>
              <w:t>mg/L、总磷</w:t>
            </w:r>
            <w:r>
              <w:rPr>
                <w:rFonts w:hint="eastAsia"/>
                <w:color w:val="auto"/>
                <w:highlight w:val="none"/>
                <w:lang w:val="en-US" w:eastAsia="zh-CN"/>
              </w:rPr>
              <w:t>5</w:t>
            </w:r>
            <w:r>
              <w:rPr>
                <w:rFonts w:hint="eastAsia" w:ascii="Times New Roman" w:hAnsi="Times New Roman" w:eastAsia="宋体"/>
                <w:color w:val="auto"/>
                <w:highlight w:val="none"/>
                <w:lang w:val="en-US"/>
              </w:rPr>
              <w:t>mg/L</w:t>
            </w:r>
            <w:r>
              <w:rPr>
                <w:rFonts w:hint="eastAsia" w:ascii="Times New Roman" w:hAnsi="Times New Roman" w:eastAsia="宋体"/>
                <w:color w:val="auto"/>
                <w:highlight w:val="none"/>
                <w:lang w:val="en-US" w:eastAsia="zh-CN"/>
              </w:rPr>
              <w:t>、动植物油160mg/L</w:t>
            </w:r>
            <w:r>
              <w:rPr>
                <w:rFonts w:hint="eastAsia" w:ascii="Times New Roman" w:hAnsi="Times New Roman" w:eastAsia="宋体"/>
                <w:color w:val="auto"/>
                <w:highlight w:val="none"/>
                <w:lang w:val="en-US"/>
              </w:rPr>
              <w:t>，经</w:t>
            </w:r>
            <w:r>
              <w:rPr>
                <w:rFonts w:hint="eastAsia"/>
                <w:color w:val="auto"/>
                <w:highlight w:val="none"/>
                <w:lang w:val="en-US" w:eastAsia="zh-CN"/>
              </w:rPr>
              <w:t>租赁厂区隔油池和污水处理厂</w:t>
            </w:r>
            <w:r>
              <w:rPr>
                <w:rFonts w:hint="eastAsia" w:ascii="Times New Roman" w:hAnsi="Times New Roman" w:eastAsia="宋体"/>
                <w:color w:val="auto"/>
                <w:highlight w:val="none"/>
                <w:lang w:val="en-US"/>
              </w:rPr>
              <w:t>预处理后接管至</w:t>
            </w:r>
            <w:r>
              <w:rPr>
                <w:rFonts w:hint="eastAsia"/>
                <w:color w:val="auto"/>
                <w:highlight w:val="none"/>
                <w:lang w:val="en-US" w:eastAsia="zh-CN"/>
              </w:rPr>
              <w:t>空港</w:t>
            </w:r>
            <w:r>
              <w:rPr>
                <w:rFonts w:hint="eastAsia" w:ascii="Times New Roman" w:hAnsi="Times New Roman" w:eastAsia="宋体"/>
                <w:color w:val="auto"/>
                <w:highlight w:val="none"/>
                <w:lang w:val="en-US"/>
              </w:rPr>
              <w:t>污水处理厂集中处理。</w:t>
            </w:r>
          </w:p>
          <w:p w14:paraId="2DC5EDD3">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ascii="Times New Roman" w:hAnsi="Times New Roman" w:eastAsia="宋体"/>
                <w:color w:val="auto"/>
                <w:highlight w:val="none"/>
                <w:lang w:val="en-US" w:eastAsia="zh-CN"/>
              </w:rPr>
              <w:t>3）</w:t>
            </w:r>
            <w:r>
              <w:rPr>
                <w:rFonts w:hint="eastAsia"/>
                <w:color w:val="auto"/>
                <w:highlight w:val="none"/>
                <w:lang w:val="en-US" w:eastAsia="zh-CN"/>
              </w:rPr>
              <w:t>设备清洗和地面冲洗废水</w:t>
            </w:r>
          </w:p>
          <w:p w14:paraId="40B555A8">
            <w:pPr>
              <w:keepNext w:val="0"/>
              <w:keepLines w:val="0"/>
              <w:suppressLineNumbers w:val="0"/>
              <w:spacing w:before="0" w:beforeAutospacing="0" w:after="0" w:afterAutospacing="0"/>
              <w:ind w:left="0" w:right="0" w:firstLine="480"/>
              <w:rPr>
                <w:rFonts w:hint="eastAsia" w:eastAsia="宋体"/>
                <w:color w:val="auto"/>
                <w:highlight w:val="none"/>
                <w:lang w:val="en-US" w:eastAsia="zh-CN"/>
              </w:rPr>
            </w:pPr>
            <w:r>
              <w:rPr>
                <w:rFonts w:hint="eastAsia" w:ascii="Times New Roman" w:hAnsi="Times New Roman" w:eastAsia="宋体"/>
                <w:color w:val="auto"/>
                <w:highlight w:val="none"/>
                <w:lang w:val="en-US"/>
              </w:rPr>
              <w:t>根据水平衡分析，本项目产生</w:t>
            </w:r>
            <w:r>
              <w:rPr>
                <w:rFonts w:hint="eastAsia"/>
                <w:color w:val="auto"/>
                <w:highlight w:val="none"/>
                <w:lang w:val="en-US" w:eastAsia="zh-CN"/>
              </w:rPr>
              <w:t>设备清洗废水和地面冲洗废水共27446t/a，类比同类项目，设备清洗和地面冲洗废水主要污染物及浓度约为</w:t>
            </w:r>
            <w:r>
              <w:rPr>
                <w:rFonts w:hint="eastAsia" w:ascii="Times New Roman" w:hAnsi="Times New Roman" w:eastAsia="宋体"/>
                <w:color w:val="auto"/>
                <w:highlight w:val="none"/>
                <w:lang w:val="en-US"/>
              </w:rPr>
              <w:t>COD</w:t>
            </w:r>
            <w:r>
              <w:rPr>
                <w:rFonts w:hint="eastAsia"/>
                <w:color w:val="auto"/>
                <w:highlight w:val="none"/>
                <w:lang w:val="en-US" w:eastAsia="zh-CN"/>
              </w:rPr>
              <w:t>10</w:t>
            </w:r>
            <w:r>
              <w:rPr>
                <w:rFonts w:hint="eastAsia" w:ascii="Times New Roman" w:hAnsi="Times New Roman" w:eastAsia="宋体"/>
                <w:color w:val="auto"/>
                <w:highlight w:val="none"/>
                <w:lang w:val="en-US"/>
              </w:rPr>
              <w:t>00mg/L、</w:t>
            </w:r>
            <w:r>
              <w:rPr>
                <w:rFonts w:hint="eastAsia"/>
                <w:color w:val="auto"/>
                <w:highlight w:val="none"/>
                <w:lang w:val="en-US" w:eastAsia="zh-CN"/>
              </w:rPr>
              <w:t>BOD</w:t>
            </w:r>
            <w:r>
              <w:rPr>
                <w:rFonts w:hint="eastAsia"/>
                <w:color w:val="auto"/>
                <w:highlight w:val="none"/>
                <w:vertAlign w:val="subscript"/>
                <w:lang w:val="en-US" w:eastAsia="zh-CN"/>
              </w:rPr>
              <w:t>5</w:t>
            </w:r>
            <w:r>
              <w:rPr>
                <w:rFonts w:hint="eastAsia"/>
                <w:color w:val="auto"/>
                <w:highlight w:val="none"/>
                <w:vertAlign w:val="baseline"/>
                <w:lang w:val="en-US" w:eastAsia="zh-CN"/>
              </w:rPr>
              <w:t>600</w:t>
            </w:r>
            <w:r>
              <w:rPr>
                <w:rFonts w:hint="eastAsia" w:ascii="Times New Roman" w:hAnsi="Times New Roman" w:eastAsia="宋体"/>
                <w:color w:val="auto"/>
                <w:highlight w:val="none"/>
                <w:lang w:val="en-US"/>
              </w:rPr>
              <w:t>mg/L</w:t>
            </w:r>
            <w:r>
              <w:rPr>
                <w:rFonts w:hint="eastAsia"/>
                <w:color w:val="auto"/>
                <w:highlight w:val="none"/>
                <w:vertAlign w:val="baseline"/>
                <w:lang w:val="en-US" w:eastAsia="zh-CN"/>
              </w:rPr>
              <w:t>、</w:t>
            </w:r>
            <w:r>
              <w:rPr>
                <w:rFonts w:hint="eastAsia" w:ascii="Times New Roman" w:hAnsi="Times New Roman" w:eastAsia="宋体"/>
                <w:color w:val="auto"/>
                <w:highlight w:val="none"/>
                <w:lang w:val="en-US"/>
              </w:rPr>
              <w:t>SS</w:t>
            </w:r>
            <w:r>
              <w:rPr>
                <w:rFonts w:hint="eastAsia"/>
                <w:color w:val="auto"/>
                <w:highlight w:val="none"/>
                <w:lang w:val="en-US" w:eastAsia="zh-CN"/>
              </w:rPr>
              <w:t>60</w:t>
            </w:r>
            <w:r>
              <w:rPr>
                <w:rFonts w:hint="eastAsia" w:ascii="Times New Roman" w:hAnsi="Times New Roman" w:eastAsia="宋体"/>
                <w:color w:val="auto"/>
                <w:highlight w:val="none"/>
                <w:lang w:val="en-US"/>
              </w:rPr>
              <w:t>0mg/L、氨氮</w:t>
            </w:r>
            <w:r>
              <w:rPr>
                <w:rFonts w:hint="eastAsia"/>
                <w:color w:val="auto"/>
                <w:highlight w:val="none"/>
                <w:lang w:val="en-US" w:eastAsia="zh-CN"/>
              </w:rPr>
              <w:t>45</w:t>
            </w:r>
            <w:r>
              <w:rPr>
                <w:rFonts w:hint="eastAsia" w:ascii="Times New Roman" w:hAnsi="Times New Roman" w:eastAsia="宋体"/>
                <w:color w:val="auto"/>
                <w:highlight w:val="none"/>
                <w:lang w:val="en-US"/>
              </w:rPr>
              <w:t>mg/L、总氮</w:t>
            </w:r>
            <w:r>
              <w:rPr>
                <w:rFonts w:hint="eastAsia"/>
                <w:color w:val="auto"/>
                <w:highlight w:val="none"/>
                <w:lang w:val="en-US" w:eastAsia="zh-CN"/>
              </w:rPr>
              <w:t>60</w:t>
            </w:r>
            <w:r>
              <w:rPr>
                <w:rFonts w:hint="eastAsia" w:ascii="Times New Roman" w:hAnsi="Times New Roman" w:eastAsia="宋体"/>
                <w:color w:val="auto"/>
                <w:highlight w:val="none"/>
                <w:lang w:val="en-US"/>
              </w:rPr>
              <w:t>mg/L、总磷</w:t>
            </w:r>
            <w:r>
              <w:rPr>
                <w:rFonts w:hint="eastAsia"/>
                <w:color w:val="auto"/>
                <w:highlight w:val="none"/>
                <w:lang w:val="en-US" w:eastAsia="zh-CN"/>
              </w:rPr>
              <w:t>20</w:t>
            </w:r>
            <w:r>
              <w:rPr>
                <w:rFonts w:hint="eastAsia" w:ascii="Times New Roman" w:hAnsi="Times New Roman" w:eastAsia="宋体"/>
                <w:color w:val="auto"/>
                <w:highlight w:val="none"/>
                <w:lang w:val="en-US"/>
              </w:rPr>
              <w:t>mg/L，经</w:t>
            </w:r>
            <w:r>
              <w:rPr>
                <w:rFonts w:hint="eastAsia"/>
                <w:color w:val="auto"/>
                <w:highlight w:val="none"/>
                <w:lang w:val="en-US" w:eastAsia="zh-CN"/>
              </w:rPr>
              <w:t>租赁厂区污水处理厂</w:t>
            </w:r>
            <w:r>
              <w:rPr>
                <w:rFonts w:hint="eastAsia" w:ascii="Times New Roman" w:hAnsi="Times New Roman" w:eastAsia="宋体"/>
                <w:color w:val="auto"/>
                <w:highlight w:val="none"/>
                <w:lang w:val="en-US"/>
              </w:rPr>
              <w:t>预处理后接管至</w:t>
            </w:r>
            <w:r>
              <w:rPr>
                <w:rFonts w:hint="eastAsia"/>
                <w:color w:val="auto"/>
                <w:highlight w:val="none"/>
                <w:lang w:val="en-US" w:eastAsia="zh-CN"/>
              </w:rPr>
              <w:t>空港</w:t>
            </w:r>
            <w:r>
              <w:rPr>
                <w:rFonts w:hint="eastAsia" w:ascii="Times New Roman" w:hAnsi="Times New Roman" w:eastAsia="宋体"/>
                <w:color w:val="auto"/>
                <w:highlight w:val="none"/>
                <w:lang w:val="en-US"/>
              </w:rPr>
              <w:t>污水处理厂集中处理。</w:t>
            </w:r>
          </w:p>
          <w:p w14:paraId="4AD0B07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eastAsia="zh-CN"/>
              </w:rPr>
            </w:pPr>
            <w:r>
              <w:rPr>
                <w:rFonts w:hint="eastAsia"/>
                <w:color w:val="auto"/>
                <w:highlight w:val="none"/>
                <w:lang w:val="en-US" w:eastAsia="zh-CN"/>
              </w:rPr>
              <w:t>4）纯水制备浓水</w:t>
            </w:r>
          </w:p>
          <w:p w14:paraId="28479B29">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rPr>
              <w:t>根据水平衡分析，本项目</w:t>
            </w:r>
            <w:r>
              <w:rPr>
                <w:rFonts w:hint="eastAsia"/>
                <w:color w:val="auto"/>
                <w:highlight w:val="none"/>
                <w:lang w:val="en-US" w:eastAsia="zh-CN"/>
              </w:rPr>
              <w:t>纯水制备浓水产生量</w:t>
            </w:r>
            <w:r>
              <w:rPr>
                <w:rFonts w:hint="eastAsia" w:ascii="Times New Roman" w:hAnsi="Times New Roman" w:eastAsia="宋体"/>
                <w:color w:val="auto"/>
                <w:highlight w:val="none"/>
                <w:lang w:val="en-US"/>
              </w:rPr>
              <w:t>约</w:t>
            </w:r>
            <w:r>
              <w:rPr>
                <w:rFonts w:hint="eastAsia"/>
                <w:color w:val="auto"/>
                <w:highlight w:val="none"/>
                <w:lang w:val="en-US" w:eastAsia="zh-CN"/>
              </w:rPr>
              <w:t>111797</w:t>
            </w:r>
            <w:r>
              <w:rPr>
                <w:rFonts w:hint="eastAsia" w:ascii="Times New Roman" w:hAnsi="Times New Roman" w:eastAsia="宋体"/>
                <w:color w:val="auto"/>
                <w:highlight w:val="none"/>
                <w:lang w:val="en-US"/>
              </w:rPr>
              <w:t>t/a</w:t>
            </w:r>
            <w:r>
              <w:rPr>
                <w:rFonts w:hint="eastAsia" w:ascii="Times New Roman" w:hAnsi="Times New Roman" w:eastAsia="宋体"/>
                <w:color w:val="auto"/>
                <w:highlight w:val="none"/>
                <w:lang w:val="en-US" w:eastAsia="zh-CN"/>
              </w:rPr>
              <w:t>，</w:t>
            </w:r>
            <w:r>
              <w:rPr>
                <w:rFonts w:hint="eastAsia" w:ascii="Times New Roman" w:hAnsi="Times New Roman" w:eastAsia="宋体"/>
                <w:color w:val="auto"/>
                <w:highlight w:val="none"/>
                <w:lang w:val="en-US"/>
              </w:rPr>
              <w:t>主要污染物为</w:t>
            </w:r>
            <w:r>
              <w:rPr>
                <w:rFonts w:hint="eastAsia" w:ascii="Times New Roman" w:hAnsi="Times New Roman" w:eastAsia="宋体"/>
                <w:color w:val="auto"/>
                <w:highlight w:val="none"/>
                <w:lang w:val="en-US" w:eastAsia="zh-CN"/>
              </w:rPr>
              <w:t>COD</w:t>
            </w:r>
            <w:r>
              <w:rPr>
                <w:rFonts w:hint="eastAsia"/>
                <w:color w:val="auto"/>
                <w:highlight w:val="none"/>
                <w:lang w:val="en-US" w:eastAsia="zh-CN"/>
              </w:rPr>
              <w:t>100mg/L</w:t>
            </w:r>
            <w:r>
              <w:rPr>
                <w:rFonts w:hint="eastAsia" w:ascii="Times New Roman" w:hAnsi="Times New Roman" w:eastAsia="宋体"/>
                <w:color w:val="auto"/>
                <w:highlight w:val="none"/>
                <w:lang w:val="en-US" w:eastAsia="zh-CN"/>
              </w:rPr>
              <w:t>、SS</w:t>
            </w:r>
            <w:r>
              <w:rPr>
                <w:rFonts w:hint="eastAsia"/>
                <w:color w:val="auto"/>
                <w:highlight w:val="none"/>
                <w:lang w:val="en-US" w:eastAsia="zh-CN"/>
              </w:rPr>
              <w:t>50mg/L</w:t>
            </w:r>
            <w:r>
              <w:rPr>
                <w:rFonts w:hint="eastAsia" w:ascii="Times New Roman" w:hAnsi="Times New Roman" w:eastAsia="宋体"/>
                <w:color w:val="auto"/>
                <w:highlight w:val="none"/>
                <w:lang w:val="en-US"/>
              </w:rPr>
              <w:t>、氨氮</w:t>
            </w:r>
            <w:r>
              <w:rPr>
                <w:rFonts w:hint="eastAsia"/>
                <w:color w:val="auto"/>
                <w:highlight w:val="none"/>
                <w:lang w:val="en-US" w:eastAsia="zh-CN"/>
              </w:rPr>
              <w:t>1.25</w:t>
            </w:r>
            <w:r>
              <w:rPr>
                <w:rFonts w:hint="eastAsia" w:ascii="Times New Roman" w:hAnsi="Times New Roman" w:eastAsia="宋体"/>
                <w:color w:val="auto"/>
                <w:highlight w:val="none"/>
                <w:lang w:val="en-US"/>
              </w:rPr>
              <w:t>mg/L、总氮</w:t>
            </w:r>
            <w:r>
              <w:rPr>
                <w:rFonts w:hint="eastAsia"/>
                <w:color w:val="auto"/>
                <w:highlight w:val="none"/>
                <w:lang w:val="en-US" w:eastAsia="zh-CN"/>
              </w:rPr>
              <w:t>2.5</w:t>
            </w:r>
            <w:r>
              <w:rPr>
                <w:rFonts w:hint="eastAsia" w:ascii="Times New Roman" w:hAnsi="Times New Roman" w:eastAsia="宋体"/>
                <w:color w:val="auto"/>
                <w:highlight w:val="none"/>
                <w:lang w:val="en-US"/>
              </w:rPr>
              <w:t>mg/L、总磷</w:t>
            </w:r>
            <w:r>
              <w:rPr>
                <w:rFonts w:hint="eastAsia"/>
                <w:color w:val="auto"/>
                <w:highlight w:val="none"/>
                <w:lang w:val="en-US" w:eastAsia="zh-CN"/>
              </w:rPr>
              <w:t>1</w:t>
            </w:r>
            <w:r>
              <w:rPr>
                <w:rFonts w:hint="eastAsia" w:ascii="Times New Roman" w:hAnsi="Times New Roman" w:eastAsia="宋体"/>
                <w:color w:val="auto"/>
                <w:highlight w:val="none"/>
                <w:lang w:val="en-US"/>
              </w:rPr>
              <w:t>mg/L</w:t>
            </w:r>
            <w:r>
              <w:rPr>
                <w:rFonts w:hint="eastAsia" w:ascii="Times New Roman" w:hAnsi="Times New Roman" w:eastAsia="宋体"/>
                <w:color w:val="auto"/>
                <w:highlight w:val="none"/>
                <w:lang w:val="en-US" w:eastAsia="zh-CN"/>
              </w:rPr>
              <w:t>，</w:t>
            </w:r>
            <w:r>
              <w:rPr>
                <w:rFonts w:hint="eastAsia"/>
                <w:color w:val="auto"/>
                <w:highlight w:val="none"/>
                <w:lang w:val="en-US" w:eastAsia="zh-CN"/>
              </w:rPr>
              <w:t>直接</w:t>
            </w:r>
            <w:r>
              <w:rPr>
                <w:rFonts w:hint="eastAsia" w:ascii="Times New Roman" w:hAnsi="Times New Roman" w:eastAsia="宋体"/>
                <w:color w:val="auto"/>
                <w:highlight w:val="none"/>
                <w:lang w:val="en-US"/>
              </w:rPr>
              <w:t>接管至</w:t>
            </w:r>
            <w:r>
              <w:rPr>
                <w:rFonts w:hint="eastAsia"/>
                <w:color w:val="auto"/>
                <w:highlight w:val="none"/>
                <w:lang w:val="en-US" w:eastAsia="zh-CN"/>
              </w:rPr>
              <w:t>空港</w:t>
            </w:r>
            <w:r>
              <w:rPr>
                <w:rFonts w:hint="eastAsia" w:ascii="Times New Roman" w:hAnsi="Times New Roman" w:eastAsia="宋体"/>
                <w:color w:val="auto"/>
                <w:highlight w:val="none"/>
                <w:lang w:val="en-US"/>
              </w:rPr>
              <w:t>污水处理厂集中处理。</w:t>
            </w:r>
          </w:p>
          <w:p w14:paraId="6070F33C">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（2）废水污染源强核算结果一览表</w:t>
            </w:r>
          </w:p>
          <w:p w14:paraId="68304020">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rPr>
            </w:pPr>
            <w:r>
              <w:rPr>
                <w:rFonts w:hint="default" w:ascii="Times New Roman" w:hAnsi="Times New Roman" w:eastAsia="宋体"/>
                <w:color w:val="auto"/>
                <w:highlight w:val="none"/>
                <w:lang w:val="en-US"/>
              </w:rPr>
              <w:t>本项目废水污染源强核算结果一览见下表</w:t>
            </w:r>
            <w:r>
              <w:rPr>
                <w:rFonts w:hint="eastAsia" w:ascii="Times New Roman" w:hAnsi="Times New Roman" w:eastAsia="宋体"/>
                <w:color w:val="auto"/>
                <w:highlight w:val="none"/>
                <w:lang w:val="en-US"/>
              </w:rPr>
              <w:t>：</w:t>
            </w:r>
          </w:p>
          <w:p w14:paraId="1DA6376C">
            <w:pPr>
              <w:pStyle w:val="23"/>
              <w:keepNext w:val="0"/>
              <w:keepLines w:val="0"/>
              <w:suppressLineNumbers w:val="0"/>
              <w:bidi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表4-</w:t>
            </w:r>
            <w:r>
              <w:rPr>
                <w:rFonts w:hint="eastAsia"/>
                <w:color w:val="auto"/>
                <w:highlight w:val="none"/>
                <w:lang w:val="en-US" w:eastAsia="zh-CN"/>
              </w:rPr>
              <w:t>10</w:t>
            </w:r>
            <w:r>
              <w:rPr>
                <w:rFonts w:hint="default" w:ascii="Times New Roman" w:hAnsi="Times New Roman" w:eastAsia="宋体"/>
                <w:color w:val="auto"/>
                <w:highlight w:val="none"/>
              </w:rPr>
              <w:t>本项目废水产生及排放情况一览表</w:t>
            </w:r>
          </w:p>
          <w:tbl>
            <w:tblPr>
              <w:tblStyle w:val="16"/>
              <w:tblW w:w="7822"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853"/>
              <w:gridCol w:w="875"/>
              <w:gridCol w:w="820"/>
              <w:gridCol w:w="694"/>
              <w:gridCol w:w="444"/>
              <w:gridCol w:w="486"/>
              <w:gridCol w:w="862"/>
              <w:gridCol w:w="833"/>
              <w:gridCol w:w="653"/>
              <w:gridCol w:w="807"/>
              <w:gridCol w:w="495"/>
            </w:tblGrid>
            <w:tr w14:paraId="796B2CB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restart"/>
                  <w:tcBorders>
                    <w:tl2br w:val="nil"/>
                    <w:tr2bl w:val="nil"/>
                  </w:tcBorders>
                  <w:shd w:val="clear" w:color="auto" w:fill="auto"/>
                  <w:vAlign w:val="center"/>
                </w:tcPr>
                <w:p w14:paraId="0CA8F4B7">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eastAsia" w:ascii="Times New Roman" w:hAnsi="Times New Roman" w:eastAsia="宋体"/>
                      <w:b/>
                      <w:bCs/>
                      <w:color w:val="auto"/>
                      <w:highlight w:val="none"/>
                      <w:lang w:val="en-US"/>
                    </w:rPr>
                    <w:t>污染源</w:t>
                  </w:r>
                </w:p>
              </w:tc>
              <w:tc>
                <w:tcPr>
                  <w:tcW w:w="875" w:type="dxa"/>
                  <w:vMerge w:val="restart"/>
                  <w:tcBorders>
                    <w:tl2br w:val="nil"/>
                    <w:tr2bl w:val="nil"/>
                  </w:tcBorders>
                  <w:shd w:val="clear" w:color="auto" w:fill="auto"/>
                  <w:vAlign w:val="center"/>
                </w:tcPr>
                <w:p w14:paraId="48C0D916">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eastAsia" w:ascii="Times New Roman" w:hAnsi="Times New Roman" w:eastAsia="宋体"/>
                      <w:b/>
                      <w:bCs/>
                      <w:color w:val="auto"/>
                      <w:highlight w:val="none"/>
                      <w:lang w:val="en-US"/>
                    </w:rPr>
                    <w:t>污染物名称</w:t>
                  </w:r>
                </w:p>
              </w:tc>
              <w:tc>
                <w:tcPr>
                  <w:tcW w:w="1514" w:type="dxa"/>
                  <w:gridSpan w:val="2"/>
                  <w:tcBorders>
                    <w:tl2br w:val="nil"/>
                    <w:tr2bl w:val="nil"/>
                  </w:tcBorders>
                  <w:shd w:val="clear" w:color="auto" w:fill="auto"/>
                  <w:vAlign w:val="center"/>
                </w:tcPr>
                <w:p w14:paraId="2954FB35">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eastAsia" w:ascii="Times New Roman" w:hAnsi="Times New Roman" w:eastAsia="宋体"/>
                      <w:b/>
                      <w:bCs/>
                      <w:color w:val="auto"/>
                      <w:highlight w:val="none"/>
                      <w:lang w:val="en-US"/>
                    </w:rPr>
                    <w:t>产生量</w:t>
                  </w:r>
                </w:p>
              </w:tc>
              <w:tc>
                <w:tcPr>
                  <w:tcW w:w="444" w:type="dxa"/>
                  <w:vMerge w:val="restart"/>
                  <w:tcBorders>
                    <w:tl2br w:val="nil"/>
                    <w:tr2bl w:val="nil"/>
                  </w:tcBorders>
                  <w:shd w:val="clear" w:color="auto" w:fill="auto"/>
                  <w:vAlign w:val="center"/>
                </w:tcPr>
                <w:p w14:paraId="3C35EE68">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eastAsia" w:ascii="Times New Roman" w:hAnsi="Times New Roman" w:eastAsia="宋体"/>
                      <w:b/>
                      <w:bCs/>
                      <w:color w:val="auto"/>
                      <w:highlight w:val="none"/>
                      <w:lang w:val="en-US"/>
                    </w:rPr>
                    <w:t>治理措施</w:t>
                  </w:r>
                </w:p>
              </w:tc>
              <w:tc>
                <w:tcPr>
                  <w:tcW w:w="486" w:type="dxa"/>
                  <w:vMerge w:val="restart"/>
                  <w:tcBorders>
                    <w:tl2br w:val="nil"/>
                    <w:tr2bl w:val="nil"/>
                  </w:tcBorders>
                  <w:shd w:val="clear" w:color="auto" w:fill="auto"/>
                  <w:vAlign w:val="center"/>
                </w:tcPr>
                <w:p w14:paraId="7C07D090">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eastAsia" w:ascii="Times New Roman" w:hAnsi="Times New Roman" w:eastAsia="宋体"/>
                      <w:b/>
                      <w:bCs/>
                      <w:color w:val="auto"/>
                      <w:highlight w:val="none"/>
                      <w:lang w:val="en-US"/>
                    </w:rPr>
                    <w:t>处理效率%</w:t>
                  </w:r>
                </w:p>
              </w:tc>
              <w:tc>
                <w:tcPr>
                  <w:tcW w:w="862" w:type="dxa"/>
                  <w:vMerge w:val="restart"/>
                  <w:tcBorders>
                    <w:tl2br w:val="nil"/>
                    <w:tr2bl w:val="nil"/>
                  </w:tcBorders>
                  <w:shd w:val="clear" w:color="auto" w:fill="auto"/>
                  <w:vAlign w:val="center"/>
                </w:tcPr>
                <w:p w14:paraId="52D91AC6">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eastAsia" w:ascii="Times New Roman" w:hAnsi="Times New Roman" w:eastAsia="宋体"/>
                      <w:b/>
                      <w:bCs/>
                      <w:color w:val="auto"/>
                      <w:highlight w:val="none"/>
                      <w:lang w:val="en-US"/>
                    </w:rPr>
                    <w:t>污染物名称</w:t>
                  </w:r>
                </w:p>
              </w:tc>
              <w:tc>
                <w:tcPr>
                  <w:tcW w:w="1486" w:type="dxa"/>
                  <w:gridSpan w:val="2"/>
                  <w:tcBorders>
                    <w:tl2br w:val="nil"/>
                    <w:tr2bl w:val="nil"/>
                  </w:tcBorders>
                  <w:shd w:val="clear" w:color="auto" w:fill="auto"/>
                  <w:vAlign w:val="center"/>
                </w:tcPr>
                <w:p w14:paraId="6DE4FE83">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eastAsia" w:ascii="Times New Roman" w:hAnsi="Times New Roman" w:eastAsia="宋体"/>
                      <w:b/>
                      <w:bCs/>
                      <w:color w:val="auto"/>
                      <w:highlight w:val="none"/>
                      <w:lang w:val="en-US"/>
                    </w:rPr>
                    <w:t>接管量</w:t>
                  </w:r>
                </w:p>
              </w:tc>
              <w:tc>
                <w:tcPr>
                  <w:tcW w:w="807" w:type="dxa"/>
                  <w:vMerge w:val="restart"/>
                  <w:tcBorders>
                    <w:tl2br w:val="nil"/>
                    <w:tr2bl w:val="nil"/>
                  </w:tcBorders>
                  <w:shd w:val="clear" w:color="auto" w:fill="auto"/>
                  <w:vAlign w:val="center"/>
                </w:tcPr>
                <w:p w14:paraId="0504C69A">
                  <w:pPr>
                    <w:pStyle w:val="21"/>
                    <w:keepNext w:val="0"/>
                    <w:keepLines w:val="0"/>
                    <w:suppressLineNumbers w:val="0"/>
                    <w:spacing w:before="0" w:beforeAutospacing="0" w:after="0" w:afterAutospacing="0"/>
                    <w:ind w:left="0" w:right="0"/>
                    <w:rPr>
                      <w:rFonts w:hint="eastAsia" w:ascii="Times New Roman" w:hAnsi="Times New Roman" w:eastAsia="宋体"/>
                      <w:b/>
                      <w:bCs/>
                      <w:color w:val="auto"/>
                      <w:highlight w:val="none"/>
                      <w:lang w:val="en-US" w:eastAsia="zh-CN"/>
                    </w:rPr>
                  </w:pPr>
                  <w:r>
                    <w:rPr>
                      <w:rFonts w:hint="eastAsia" w:ascii="Times New Roman" w:hAnsi="Times New Roman" w:eastAsia="宋体"/>
                      <w:b/>
                      <w:bCs/>
                      <w:color w:val="auto"/>
                      <w:highlight w:val="none"/>
                      <w:lang w:val="en-US"/>
                    </w:rPr>
                    <w:t>标准浓度限值</w:t>
                  </w:r>
                  <w:r>
                    <w:rPr>
                      <w:rFonts w:hint="eastAsia" w:ascii="Times New Roman" w:hAnsi="Times New Roman" w:eastAsia="宋体"/>
                      <w:b/>
                      <w:bCs/>
                      <w:color w:val="auto"/>
                      <w:highlight w:val="none"/>
                      <w:lang w:val="en-US" w:eastAsia="zh-CN"/>
                    </w:rPr>
                    <w:t>（</w:t>
                  </w:r>
                  <w:r>
                    <w:rPr>
                      <w:rFonts w:hint="default" w:ascii="Times New Roman" w:hAnsi="Times New Roman" w:eastAsia="宋体"/>
                      <w:b/>
                      <w:bCs/>
                      <w:color w:val="auto"/>
                      <w:highlight w:val="none"/>
                      <w:lang w:val="en-US"/>
                    </w:rPr>
                    <w:t>mg/L</w:t>
                  </w:r>
                  <w:r>
                    <w:rPr>
                      <w:rFonts w:hint="eastAsia" w:ascii="Times New Roman" w:hAnsi="Times New Roman" w:eastAsia="宋体"/>
                      <w:b/>
                      <w:bCs/>
                      <w:color w:val="auto"/>
                      <w:highlight w:val="none"/>
                      <w:lang w:val="en-US" w:eastAsia="zh-CN"/>
                    </w:rPr>
                    <w:t>）</w:t>
                  </w:r>
                </w:p>
              </w:tc>
              <w:tc>
                <w:tcPr>
                  <w:tcW w:w="495" w:type="dxa"/>
                  <w:vMerge w:val="restart"/>
                  <w:tcBorders>
                    <w:tl2br w:val="nil"/>
                    <w:tr2bl w:val="nil"/>
                  </w:tcBorders>
                  <w:shd w:val="clear" w:color="auto" w:fill="auto"/>
                  <w:vAlign w:val="center"/>
                </w:tcPr>
                <w:p w14:paraId="2343C1B6">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eastAsia" w:ascii="Times New Roman" w:hAnsi="Times New Roman" w:eastAsia="宋体"/>
                      <w:b/>
                      <w:bCs/>
                      <w:color w:val="auto"/>
                      <w:highlight w:val="none"/>
                      <w:lang w:val="en-US"/>
                    </w:rPr>
                    <w:t>排放去向</w:t>
                  </w:r>
                </w:p>
              </w:tc>
            </w:tr>
            <w:tr w14:paraId="5D9B5D0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853" w:type="dxa"/>
                  <w:vMerge w:val="continue"/>
                  <w:tcBorders>
                    <w:tl2br w:val="nil"/>
                    <w:tr2bl w:val="nil"/>
                  </w:tcBorders>
                  <w:shd w:val="clear" w:color="auto" w:fill="auto"/>
                  <w:vAlign w:val="center"/>
                </w:tcPr>
                <w:p w14:paraId="1F9E90B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c>
                <w:tcPr>
                  <w:tcW w:w="875" w:type="dxa"/>
                  <w:vMerge w:val="continue"/>
                  <w:tcBorders>
                    <w:tl2br w:val="nil"/>
                    <w:tr2bl w:val="nil"/>
                  </w:tcBorders>
                  <w:shd w:val="clear" w:color="auto" w:fill="auto"/>
                  <w:vAlign w:val="center"/>
                </w:tcPr>
                <w:p w14:paraId="2123880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c>
                <w:tcPr>
                  <w:tcW w:w="820" w:type="dxa"/>
                  <w:tcBorders>
                    <w:tl2br w:val="nil"/>
                    <w:tr2bl w:val="nil"/>
                  </w:tcBorders>
                  <w:shd w:val="clear" w:color="auto" w:fill="auto"/>
                  <w:vAlign w:val="center"/>
                </w:tcPr>
                <w:p w14:paraId="6B26B841">
                  <w:pPr>
                    <w:pStyle w:val="21"/>
                    <w:keepNext w:val="0"/>
                    <w:keepLines w:val="0"/>
                    <w:suppressLineNumbers w:val="0"/>
                    <w:spacing w:before="0" w:beforeAutospacing="0" w:after="0" w:afterAutospacing="0"/>
                    <w:ind w:left="0" w:right="0"/>
                    <w:rPr>
                      <w:rFonts w:hint="eastAsia" w:ascii="Times New Roman" w:hAnsi="Times New Roman" w:eastAsia="宋体"/>
                      <w:b/>
                      <w:bCs/>
                      <w:color w:val="auto"/>
                      <w:highlight w:val="none"/>
                      <w:lang w:val="en-US" w:eastAsia="zh-CN"/>
                    </w:rPr>
                  </w:pPr>
                  <w:r>
                    <w:rPr>
                      <w:rFonts w:hint="eastAsia" w:ascii="Times New Roman" w:hAnsi="Times New Roman" w:eastAsia="宋体"/>
                      <w:b/>
                      <w:bCs/>
                      <w:color w:val="auto"/>
                      <w:highlight w:val="none"/>
                      <w:lang w:val="en-US"/>
                    </w:rPr>
                    <w:t>浓度</w:t>
                  </w:r>
                  <w:r>
                    <w:rPr>
                      <w:rFonts w:hint="eastAsia" w:ascii="Times New Roman" w:hAnsi="Times New Roman" w:eastAsia="宋体"/>
                      <w:b/>
                      <w:bCs/>
                      <w:color w:val="auto"/>
                      <w:highlight w:val="none"/>
                      <w:lang w:val="en-US" w:eastAsia="zh-CN"/>
                    </w:rPr>
                    <w:t>（</w:t>
                  </w:r>
                  <w:r>
                    <w:rPr>
                      <w:rFonts w:hint="default" w:ascii="Times New Roman" w:hAnsi="Times New Roman" w:eastAsia="宋体"/>
                      <w:b/>
                      <w:bCs/>
                      <w:color w:val="auto"/>
                      <w:highlight w:val="none"/>
                      <w:lang w:val="en-US"/>
                    </w:rPr>
                    <w:t>mg/L</w:t>
                  </w:r>
                  <w:r>
                    <w:rPr>
                      <w:rFonts w:hint="eastAsia" w:ascii="Times New Roman" w:hAnsi="Times New Roman" w:eastAsia="宋体"/>
                      <w:b/>
                      <w:bCs/>
                      <w:color w:val="auto"/>
                      <w:highlight w:val="none"/>
                      <w:lang w:val="en-US" w:eastAsia="zh-CN"/>
                    </w:rPr>
                    <w:t>）</w:t>
                  </w:r>
                </w:p>
              </w:tc>
              <w:tc>
                <w:tcPr>
                  <w:tcW w:w="694" w:type="dxa"/>
                  <w:tcBorders>
                    <w:tl2br w:val="nil"/>
                    <w:tr2bl w:val="nil"/>
                  </w:tcBorders>
                  <w:shd w:val="clear" w:color="auto" w:fill="auto"/>
                  <w:vAlign w:val="center"/>
                </w:tcPr>
                <w:p w14:paraId="47778089">
                  <w:pPr>
                    <w:pStyle w:val="21"/>
                    <w:keepNext w:val="0"/>
                    <w:keepLines w:val="0"/>
                    <w:suppressLineNumbers w:val="0"/>
                    <w:spacing w:before="0" w:beforeAutospacing="0" w:after="0" w:afterAutospacing="0"/>
                    <w:ind w:left="0" w:right="0"/>
                    <w:rPr>
                      <w:rFonts w:hint="eastAsia" w:ascii="Times New Roman" w:hAnsi="Times New Roman" w:eastAsia="宋体"/>
                      <w:b/>
                      <w:bCs/>
                      <w:color w:val="auto"/>
                      <w:highlight w:val="none"/>
                      <w:lang w:val="en-US" w:eastAsia="zh-CN"/>
                    </w:rPr>
                  </w:pPr>
                  <w:r>
                    <w:rPr>
                      <w:rFonts w:hint="eastAsia" w:ascii="Times New Roman" w:hAnsi="Times New Roman" w:eastAsia="宋体"/>
                      <w:b/>
                      <w:bCs/>
                      <w:color w:val="auto"/>
                      <w:highlight w:val="none"/>
                      <w:lang w:val="en-US"/>
                    </w:rPr>
                    <w:t>产生量</w:t>
                  </w:r>
                  <w:r>
                    <w:rPr>
                      <w:rFonts w:hint="eastAsia" w:ascii="Times New Roman" w:hAnsi="Times New Roman" w:eastAsia="宋体"/>
                      <w:b/>
                      <w:bCs/>
                      <w:color w:val="auto"/>
                      <w:highlight w:val="none"/>
                      <w:lang w:val="en-US" w:eastAsia="zh-CN"/>
                    </w:rPr>
                    <w:t>（</w:t>
                  </w:r>
                  <w:r>
                    <w:rPr>
                      <w:rFonts w:hint="default" w:ascii="Times New Roman" w:hAnsi="Times New Roman" w:eastAsia="宋体"/>
                      <w:b/>
                      <w:bCs/>
                      <w:color w:val="auto"/>
                      <w:highlight w:val="none"/>
                      <w:lang w:val="en-US"/>
                    </w:rPr>
                    <w:t>t/a</w:t>
                  </w:r>
                  <w:r>
                    <w:rPr>
                      <w:rFonts w:hint="eastAsia" w:ascii="Times New Roman" w:hAnsi="Times New Roman" w:eastAsia="宋体"/>
                      <w:b/>
                      <w:bCs/>
                      <w:color w:val="auto"/>
                      <w:highlight w:val="none"/>
                      <w:lang w:val="en-US" w:eastAsia="zh-CN"/>
                    </w:rPr>
                    <w:t>）</w:t>
                  </w:r>
                </w:p>
              </w:tc>
              <w:tc>
                <w:tcPr>
                  <w:tcW w:w="444" w:type="dxa"/>
                  <w:vMerge w:val="continue"/>
                  <w:tcBorders>
                    <w:tl2br w:val="nil"/>
                    <w:tr2bl w:val="nil"/>
                  </w:tcBorders>
                  <w:shd w:val="clear" w:color="auto" w:fill="auto"/>
                  <w:vAlign w:val="center"/>
                </w:tcPr>
                <w:p w14:paraId="4E8AE967">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p>
              </w:tc>
              <w:tc>
                <w:tcPr>
                  <w:tcW w:w="486" w:type="dxa"/>
                  <w:vMerge w:val="continue"/>
                  <w:tcBorders>
                    <w:tl2br w:val="nil"/>
                    <w:tr2bl w:val="nil"/>
                  </w:tcBorders>
                  <w:shd w:val="clear" w:color="auto" w:fill="auto"/>
                  <w:vAlign w:val="center"/>
                </w:tcPr>
                <w:p w14:paraId="4228E1E5">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p>
              </w:tc>
              <w:tc>
                <w:tcPr>
                  <w:tcW w:w="862" w:type="dxa"/>
                  <w:vMerge w:val="continue"/>
                  <w:tcBorders>
                    <w:tl2br w:val="nil"/>
                    <w:tr2bl w:val="nil"/>
                  </w:tcBorders>
                  <w:shd w:val="clear" w:color="auto" w:fill="auto"/>
                  <w:vAlign w:val="center"/>
                </w:tcPr>
                <w:p w14:paraId="356EE0FD">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p>
              </w:tc>
              <w:tc>
                <w:tcPr>
                  <w:tcW w:w="833" w:type="dxa"/>
                  <w:tcBorders>
                    <w:tl2br w:val="nil"/>
                    <w:tr2bl w:val="nil"/>
                  </w:tcBorders>
                  <w:shd w:val="clear" w:color="auto" w:fill="auto"/>
                  <w:vAlign w:val="center"/>
                </w:tcPr>
                <w:p w14:paraId="79BA18BB">
                  <w:pPr>
                    <w:pStyle w:val="21"/>
                    <w:keepNext w:val="0"/>
                    <w:keepLines w:val="0"/>
                    <w:suppressLineNumbers w:val="0"/>
                    <w:spacing w:before="0" w:beforeAutospacing="0" w:after="0" w:afterAutospacing="0"/>
                    <w:ind w:left="0" w:right="0"/>
                    <w:rPr>
                      <w:rFonts w:hint="eastAsia" w:ascii="Times New Roman" w:hAnsi="Times New Roman" w:eastAsia="宋体"/>
                      <w:b/>
                      <w:bCs/>
                      <w:color w:val="auto"/>
                      <w:highlight w:val="none"/>
                      <w:lang w:val="en-US" w:eastAsia="zh-CN"/>
                    </w:rPr>
                  </w:pPr>
                  <w:r>
                    <w:rPr>
                      <w:rFonts w:hint="eastAsia" w:ascii="Times New Roman" w:hAnsi="Times New Roman" w:eastAsia="宋体"/>
                      <w:b/>
                      <w:bCs/>
                      <w:color w:val="auto"/>
                      <w:highlight w:val="none"/>
                      <w:lang w:val="en-US"/>
                    </w:rPr>
                    <w:t>浓度</w:t>
                  </w:r>
                  <w:r>
                    <w:rPr>
                      <w:rFonts w:hint="eastAsia" w:ascii="Times New Roman" w:hAnsi="Times New Roman" w:eastAsia="宋体"/>
                      <w:b/>
                      <w:bCs/>
                      <w:color w:val="auto"/>
                      <w:highlight w:val="none"/>
                      <w:lang w:val="en-US" w:eastAsia="zh-CN"/>
                    </w:rPr>
                    <w:t>（</w:t>
                  </w:r>
                  <w:r>
                    <w:rPr>
                      <w:rFonts w:hint="default" w:ascii="Times New Roman" w:hAnsi="Times New Roman" w:eastAsia="宋体"/>
                      <w:b/>
                      <w:bCs/>
                      <w:color w:val="auto"/>
                      <w:highlight w:val="none"/>
                      <w:lang w:val="en-US"/>
                    </w:rPr>
                    <w:t>mg/L</w:t>
                  </w:r>
                  <w:r>
                    <w:rPr>
                      <w:rFonts w:hint="eastAsia" w:ascii="Times New Roman" w:hAnsi="Times New Roman" w:eastAsia="宋体"/>
                      <w:b/>
                      <w:bCs/>
                      <w:color w:val="auto"/>
                      <w:highlight w:val="none"/>
                      <w:lang w:val="en-US" w:eastAsia="zh-CN"/>
                    </w:rPr>
                    <w:t>）</w:t>
                  </w:r>
                </w:p>
              </w:tc>
              <w:tc>
                <w:tcPr>
                  <w:tcW w:w="653" w:type="dxa"/>
                  <w:tcBorders>
                    <w:tl2br w:val="nil"/>
                    <w:tr2bl w:val="nil"/>
                  </w:tcBorders>
                  <w:shd w:val="clear" w:color="auto" w:fill="auto"/>
                  <w:vAlign w:val="center"/>
                </w:tcPr>
                <w:p w14:paraId="7353C16E">
                  <w:pPr>
                    <w:pStyle w:val="21"/>
                    <w:keepNext w:val="0"/>
                    <w:keepLines w:val="0"/>
                    <w:suppressLineNumbers w:val="0"/>
                    <w:spacing w:before="0" w:beforeAutospacing="0" w:after="0" w:afterAutospacing="0"/>
                    <w:ind w:left="0" w:right="0"/>
                    <w:rPr>
                      <w:rFonts w:hint="eastAsia" w:ascii="Times New Roman" w:hAnsi="Times New Roman" w:eastAsia="宋体"/>
                      <w:b/>
                      <w:bCs/>
                      <w:color w:val="auto"/>
                      <w:highlight w:val="none"/>
                      <w:lang w:val="en-US" w:eastAsia="zh-CN"/>
                    </w:rPr>
                  </w:pPr>
                  <w:r>
                    <w:rPr>
                      <w:rFonts w:hint="eastAsia" w:ascii="Times New Roman" w:hAnsi="Times New Roman" w:eastAsia="宋体"/>
                      <w:b/>
                      <w:bCs/>
                      <w:color w:val="auto"/>
                      <w:highlight w:val="none"/>
                      <w:lang w:val="en-US"/>
                    </w:rPr>
                    <w:t>接管量</w:t>
                  </w:r>
                  <w:r>
                    <w:rPr>
                      <w:rFonts w:hint="eastAsia" w:ascii="Times New Roman" w:hAnsi="Times New Roman" w:eastAsia="宋体"/>
                      <w:b/>
                      <w:bCs/>
                      <w:color w:val="auto"/>
                      <w:highlight w:val="none"/>
                      <w:lang w:val="en-US" w:eastAsia="zh-CN"/>
                    </w:rPr>
                    <w:t>（</w:t>
                  </w:r>
                  <w:r>
                    <w:rPr>
                      <w:rFonts w:hint="default" w:ascii="Times New Roman" w:hAnsi="Times New Roman" w:eastAsia="宋体"/>
                      <w:b/>
                      <w:bCs/>
                      <w:color w:val="auto"/>
                      <w:highlight w:val="none"/>
                      <w:lang w:val="en-US"/>
                    </w:rPr>
                    <w:t>t/a</w:t>
                  </w:r>
                  <w:r>
                    <w:rPr>
                      <w:rFonts w:hint="eastAsia" w:ascii="Times New Roman" w:hAnsi="Times New Roman" w:eastAsia="宋体"/>
                      <w:b/>
                      <w:bCs/>
                      <w:color w:val="auto"/>
                      <w:highlight w:val="none"/>
                      <w:lang w:val="en-US" w:eastAsia="zh-CN"/>
                    </w:rPr>
                    <w:t>）</w:t>
                  </w:r>
                </w:p>
              </w:tc>
              <w:tc>
                <w:tcPr>
                  <w:tcW w:w="807" w:type="dxa"/>
                  <w:vMerge w:val="continue"/>
                  <w:tcBorders>
                    <w:tl2br w:val="nil"/>
                    <w:tr2bl w:val="nil"/>
                  </w:tcBorders>
                  <w:shd w:val="clear" w:color="auto" w:fill="auto"/>
                  <w:vAlign w:val="center"/>
                </w:tcPr>
                <w:p w14:paraId="6F3090C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c>
                <w:tcPr>
                  <w:tcW w:w="495" w:type="dxa"/>
                  <w:vMerge w:val="continue"/>
                  <w:tcBorders>
                    <w:tl2br w:val="nil"/>
                    <w:tr2bl w:val="nil"/>
                  </w:tcBorders>
                  <w:shd w:val="clear" w:color="auto" w:fill="auto"/>
                  <w:vAlign w:val="center"/>
                </w:tcPr>
                <w:p w14:paraId="352EC07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r>
            <w:tr w14:paraId="5C7E32E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restart"/>
                  <w:tcBorders>
                    <w:tl2br w:val="nil"/>
                    <w:tr2bl w:val="nil"/>
                  </w:tcBorders>
                  <w:shd w:val="clear" w:color="auto" w:fill="auto"/>
                  <w:vAlign w:val="center"/>
                </w:tcPr>
                <w:p w14:paraId="2C4D3C7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生活污水</w:t>
                  </w:r>
                  <w:r>
                    <w:rPr>
                      <w:rFonts w:hint="eastAsia"/>
                      <w:color w:val="auto"/>
                      <w:highlight w:val="none"/>
                      <w:lang w:val="en-US" w:eastAsia="zh-CN"/>
                    </w:rPr>
                    <w:t>96</w:t>
                  </w:r>
                  <w:r>
                    <w:rPr>
                      <w:rFonts w:hint="eastAsia" w:ascii="Times New Roman" w:hAnsi="Times New Roman" w:eastAsia="宋体"/>
                      <w:color w:val="auto"/>
                      <w:highlight w:val="none"/>
                      <w:lang w:val="en-US" w:eastAsia="zh-CN"/>
                    </w:rPr>
                    <w:t>0</w:t>
                  </w:r>
                  <w:r>
                    <w:rPr>
                      <w:rFonts w:hint="eastAsia" w:ascii="Times New Roman" w:hAnsi="Times New Roman" w:eastAsia="宋体"/>
                      <w:color w:val="auto"/>
                      <w:highlight w:val="none"/>
                      <w:lang w:val="en-US"/>
                    </w:rPr>
                    <w:t>t/a</w:t>
                  </w:r>
                </w:p>
              </w:tc>
              <w:tc>
                <w:tcPr>
                  <w:tcW w:w="875" w:type="dxa"/>
                  <w:tcBorders>
                    <w:tl2br w:val="nil"/>
                    <w:tr2bl w:val="nil"/>
                  </w:tcBorders>
                  <w:shd w:val="clear" w:color="auto" w:fill="auto"/>
                  <w:vAlign w:val="center"/>
                </w:tcPr>
                <w:p w14:paraId="2A15C0C1">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COD</w:t>
                  </w:r>
                </w:p>
              </w:tc>
              <w:tc>
                <w:tcPr>
                  <w:tcW w:w="820" w:type="dxa"/>
                  <w:tcBorders>
                    <w:tl2br w:val="nil"/>
                    <w:tr2bl w:val="nil"/>
                  </w:tcBorders>
                  <w:shd w:val="clear" w:color="auto" w:fill="auto"/>
                  <w:vAlign w:val="center"/>
                </w:tcPr>
                <w:p w14:paraId="1F907AF1">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400</w:t>
                  </w:r>
                </w:p>
              </w:tc>
              <w:tc>
                <w:tcPr>
                  <w:tcW w:w="694" w:type="dxa"/>
                  <w:tcBorders>
                    <w:tl2br w:val="nil"/>
                    <w:tr2bl w:val="nil"/>
                  </w:tcBorders>
                  <w:shd w:val="clear" w:color="auto" w:fill="auto"/>
                  <w:vAlign w:val="center"/>
                </w:tcPr>
                <w:p w14:paraId="04C92654">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0.384</w:t>
                  </w:r>
                </w:p>
              </w:tc>
              <w:tc>
                <w:tcPr>
                  <w:tcW w:w="444" w:type="dxa"/>
                  <w:vMerge w:val="restart"/>
                  <w:tcBorders>
                    <w:tl2br w:val="nil"/>
                    <w:tr2bl w:val="nil"/>
                  </w:tcBorders>
                  <w:shd w:val="clear" w:color="auto" w:fill="auto"/>
                  <w:vAlign w:val="center"/>
                </w:tcPr>
                <w:p w14:paraId="33D00F87">
                  <w:pPr>
                    <w:pStyle w:val="21"/>
                    <w:keepNext w:val="0"/>
                    <w:keepLines w:val="0"/>
                    <w:suppressLineNumbers w:val="0"/>
                    <w:bidi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生活污水经化粪池预处理，食堂废水经隔油池预处理后，与其他废水一起经租赁厂区污水处理站预处理</w:t>
                  </w:r>
                </w:p>
              </w:tc>
              <w:tc>
                <w:tcPr>
                  <w:tcW w:w="486" w:type="dxa"/>
                  <w:tcBorders>
                    <w:tl2br w:val="nil"/>
                    <w:tr2bl w:val="nil"/>
                  </w:tcBorders>
                  <w:shd w:val="clear" w:color="auto" w:fill="auto"/>
                  <w:vAlign w:val="center"/>
                </w:tcPr>
                <w:p w14:paraId="4FF06B8F">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75</w:t>
                  </w:r>
                </w:p>
              </w:tc>
              <w:tc>
                <w:tcPr>
                  <w:tcW w:w="862" w:type="dxa"/>
                  <w:tcBorders>
                    <w:tl2br w:val="nil"/>
                    <w:tr2bl w:val="nil"/>
                  </w:tcBorders>
                  <w:shd w:val="clear" w:color="auto" w:fill="auto"/>
                  <w:vAlign w:val="center"/>
                </w:tcPr>
                <w:p w14:paraId="555B2BA8">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COD</w:t>
                  </w:r>
                </w:p>
              </w:tc>
              <w:tc>
                <w:tcPr>
                  <w:tcW w:w="833" w:type="dxa"/>
                  <w:tcBorders>
                    <w:tl2br w:val="nil"/>
                    <w:tr2bl w:val="nil"/>
                  </w:tcBorders>
                  <w:shd w:val="clear" w:color="auto" w:fill="auto"/>
                  <w:vAlign w:val="center"/>
                </w:tcPr>
                <w:p w14:paraId="25A6BCA7">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100</w:t>
                  </w:r>
                </w:p>
              </w:tc>
              <w:tc>
                <w:tcPr>
                  <w:tcW w:w="653" w:type="dxa"/>
                  <w:tcBorders>
                    <w:tl2br w:val="nil"/>
                    <w:tr2bl w:val="nil"/>
                  </w:tcBorders>
                  <w:shd w:val="clear" w:color="auto" w:fill="auto"/>
                  <w:vAlign w:val="center"/>
                </w:tcPr>
                <w:p w14:paraId="08A0065F">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0.096</w:t>
                  </w:r>
                </w:p>
              </w:tc>
              <w:tc>
                <w:tcPr>
                  <w:tcW w:w="807" w:type="dxa"/>
                  <w:tcBorders>
                    <w:tl2br w:val="nil"/>
                    <w:tr2bl w:val="nil"/>
                  </w:tcBorders>
                  <w:shd w:val="clear" w:color="auto" w:fill="auto"/>
                  <w:vAlign w:val="center"/>
                </w:tcPr>
                <w:p w14:paraId="7E212AB9">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350</w:t>
                  </w:r>
                </w:p>
              </w:tc>
              <w:tc>
                <w:tcPr>
                  <w:tcW w:w="495" w:type="dxa"/>
                  <w:vMerge w:val="restart"/>
                  <w:tcBorders>
                    <w:tl2br w:val="nil"/>
                    <w:tr2bl w:val="nil"/>
                  </w:tcBorders>
                  <w:shd w:val="clear" w:color="auto" w:fill="auto"/>
                  <w:vAlign w:val="center"/>
                </w:tcPr>
                <w:p w14:paraId="0639D9B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color w:val="auto"/>
                      <w:highlight w:val="none"/>
                      <w:lang w:val="en-US" w:eastAsia="zh-CN"/>
                    </w:rPr>
                    <w:t>空港</w:t>
                  </w:r>
                  <w:r>
                    <w:rPr>
                      <w:rFonts w:hint="eastAsia" w:ascii="Times New Roman" w:hAnsi="Times New Roman" w:eastAsia="宋体"/>
                      <w:color w:val="auto"/>
                      <w:highlight w:val="none"/>
                      <w:lang w:val="en-US"/>
                    </w:rPr>
                    <w:t>污水处理厂</w:t>
                  </w:r>
                </w:p>
              </w:tc>
            </w:tr>
            <w:tr w14:paraId="78CC92F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13B45D4E">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875" w:type="dxa"/>
                  <w:tcBorders>
                    <w:tl2br w:val="nil"/>
                    <w:tr2bl w:val="nil"/>
                  </w:tcBorders>
                  <w:shd w:val="clear" w:color="auto" w:fill="auto"/>
                  <w:vAlign w:val="center"/>
                </w:tcPr>
                <w:p w14:paraId="0702230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BOD</w:t>
                  </w:r>
                  <w:r>
                    <w:rPr>
                      <w:rFonts w:hint="default"/>
                      <w:color w:val="auto"/>
                      <w:vertAlign w:val="subscript"/>
                      <w:lang w:val="en-US" w:eastAsia="zh-CN"/>
                    </w:rPr>
                    <w:t>5</w:t>
                  </w:r>
                </w:p>
              </w:tc>
              <w:tc>
                <w:tcPr>
                  <w:tcW w:w="820" w:type="dxa"/>
                  <w:tcBorders>
                    <w:tl2br w:val="nil"/>
                    <w:tr2bl w:val="nil"/>
                  </w:tcBorders>
                  <w:shd w:val="clear" w:color="auto" w:fill="auto"/>
                  <w:vAlign w:val="center"/>
                </w:tcPr>
                <w:p w14:paraId="66FC29D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300</w:t>
                  </w:r>
                </w:p>
              </w:tc>
              <w:tc>
                <w:tcPr>
                  <w:tcW w:w="694" w:type="dxa"/>
                  <w:tcBorders>
                    <w:tl2br w:val="nil"/>
                    <w:tr2bl w:val="nil"/>
                  </w:tcBorders>
                  <w:shd w:val="clear" w:color="auto" w:fill="auto"/>
                  <w:vAlign w:val="center"/>
                </w:tcPr>
                <w:p w14:paraId="76A716F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0.288</w:t>
                  </w:r>
                </w:p>
              </w:tc>
              <w:tc>
                <w:tcPr>
                  <w:tcW w:w="444" w:type="dxa"/>
                  <w:vMerge w:val="continue"/>
                  <w:tcBorders>
                    <w:tl2br w:val="nil"/>
                    <w:tr2bl w:val="nil"/>
                  </w:tcBorders>
                  <w:shd w:val="clear" w:color="auto" w:fill="auto"/>
                  <w:vAlign w:val="center"/>
                </w:tcPr>
                <w:p w14:paraId="592C6C52">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486" w:type="dxa"/>
                  <w:tcBorders>
                    <w:tl2br w:val="nil"/>
                    <w:tr2bl w:val="nil"/>
                  </w:tcBorders>
                  <w:shd w:val="clear" w:color="auto" w:fill="auto"/>
                  <w:vAlign w:val="center"/>
                </w:tcPr>
                <w:p w14:paraId="0B88702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70</w:t>
                  </w:r>
                </w:p>
              </w:tc>
              <w:tc>
                <w:tcPr>
                  <w:tcW w:w="862" w:type="dxa"/>
                  <w:tcBorders>
                    <w:tl2br w:val="nil"/>
                    <w:tr2bl w:val="nil"/>
                  </w:tcBorders>
                  <w:shd w:val="clear" w:color="auto" w:fill="auto"/>
                  <w:vAlign w:val="center"/>
                </w:tcPr>
                <w:p w14:paraId="23243103">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BOD</w:t>
                  </w:r>
                  <w:r>
                    <w:rPr>
                      <w:rFonts w:hint="default"/>
                      <w:color w:val="auto"/>
                      <w:vertAlign w:val="subscript"/>
                      <w:lang w:val="en-US" w:eastAsia="zh-CN"/>
                    </w:rPr>
                    <w:t>5</w:t>
                  </w:r>
                </w:p>
              </w:tc>
              <w:tc>
                <w:tcPr>
                  <w:tcW w:w="833" w:type="dxa"/>
                  <w:tcBorders>
                    <w:tl2br w:val="nil"/>
                    <w:tr2bl w:val="nil"/>
                  </w:tcBorders>
                  <w:shd w:val="clear" w:color="auto" w:fill="auto"/>
                  <w:vAlign w:val="center"/>
                </w:tcPr>
                <w:p w14:paraId="31E2FC8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90.0</w:t>
                  </w:r>
                </w:p>
              </w:tc>
              <w:tc>
                <w:tcPr>
                  <w:tcW w:w="653" w:type="dxa"/>
                  <w:tcBorders>
                    <w:tl2br w:val="nil"/>
                    <w:tr2bl w:val="nil"/>
                  </w:tcBorders>
                  <w:shd w:val="clear" w:color="auto" w:fill="auto"/>
                  <w:vAlign w:val="center"/>
                </w:tcPr>
                <w:p w14:paraId="6BB6168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0.086</w:t>
                  </w:r>
                </w:p>
              </w:tc>
              <w:tc>
                <w:tcPr>
                  <w:tcW w:w="807" w:type="dxa"/>
                  <w:tcBorders>
                    <w:tl2br w:val="nil"/>
                    <w:tr2bl w:val="nil"/>
                  </w:tcBorders>
                  <w:shd w:val="clear" w:color="auto" w:fill="auto"/>
                  <w:vAlign w:val="center"/>
                </w:tcPr>
                <w:p w14:paraId="6164349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300</w:t>
                  </w:r>
                </w:p>
              </w:tc>
              <w:tc>
                <w:tcPr>
                  <w:tcW w:w="495" w:type="dxa"/>
                  <w:vMerge w:val="continue"/>
                  <w:tcBorders>
                    <w:tl2br w:val="nil"/>
                    <w:tr2bl w:val="nil"/>
                  </w:tcBorders>
                  <w:shd w:val="clear" w:color="auto" w:fill="auto"/>
                  <w:vAlign w:val="center"/>
                </w:tcPr>
                <w:p w14:paraId="0F8CD4B0">
                  <w:pPr>
                    <w:pStyle w:val="21"/>
                    <w:keepNext w:val="0"/>
                    <w:keepLines w:val="0"/>
                    <w:suppressLineNumbers w:val="0"/>
                    <w:spacing w:before="0" w:beforeAutospacing="0" w:after="0" w:afterAutospacing="0"/>
                    <w:ind w:left="0" w:right="0"/>
                    <w:rPr>
                      <w:rFonts w:hint="eastAsia"/>
                      <w:color w:val="auto"/>
                      <w:highlight w:val="none"/>
                      <w:lang w:val="en-US" w:eastAsia="zh-CN"/>
                    </w:rPr>
                  </w:pPr>
                </w:p>
              </w:tc>
            </w:tr>
            <w:tr w14:paraId="0C89FC5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306BBB7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c>
                <w:tcPr>
                  <w:tcW w:w="875" w:type="dxa"/>
                  <w:tcBorders>
                    <w:tl2br w:val="nil"/>
                    <w:tr2bl w:val="nil"/>
                  </w:tcBorders>
                  <w:shd w:val="clear" w:color="auto" w:fill="auto"/>
                  <w:vAlign w:val="center"/>
                </w:tcPr>
                <w:p w14:paraId="495D99FA">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SS</w:t>
                  </w:r>
                </w:p>
              </w:tc>
              <w:tc>
                <w:tcPr>
                  <w:tcW w:w="820" w:type="dxa"/>
                  <w:tcBorders>
                    <w:tl2br w:val="nil"/>
                    <w:tr2bl w:val="nil"/>
                  </w:tcBorders>
                  <w:shd w:val="clear" w:color="auto" w:fill="auto"/>
                  <w:vAlign w:val="center"/>
                </w:tcPr>
                <w:p w14:paraId="26E8F266">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250</w:t>
                  </w:r>
                </w:p>
              </w:tc>
              <w:tc>
                <w:tcPr>
                  <w:tcW w:w="694" w:type="dxa"/>
                  <w:tcBorders>
                    <w:tl2br w:val="nil"/>
                    <w:tr2bl w:val="nil"/>
                  </w:tcBorders>
                  <w:shd w:val="clear" w:color="auto" w:fill="auto"/>
                  <w:vAlign w:val="center"/>
                </w:tcPr>
                <w:p w14:paraId="51A80015">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0.24</w:t>
                  </w:r>
                </w:p>
              </w:tc>
              <w:tc>
                <w:tcPr>
                  <w:tcW w:w="444" w:type="dxa"/>
                  <w:vMerge w:val="continue"/>
                  <w:tcBorders>
                    <w:tl2br w:val="nil"/>
                    <w:tr2bl w:val="nil"/>
                  </w:tcBorders>
                  <w:shd w:val="clear" w:color="auto" w:fill="auto"/>
                  <w:vAlign w:val="center"/>
                </w:tcPr>
                <w:p w14:paraId="3517F4FB">
                  <w:pPr>
                    <w:pStyle w:val="21"/>
                    <w:keepNext w:val="0"/>
                    <w:keepLines w:val="0"/>
                    <w:suppressLineNumbers w:val="0"/>
                    <w:bidi w:val="0"/>
                    <w:spacing w:before="0" w:beforeAutospacing="0" w:after="0" w:afterAutospacing="0"/>
                    <w:ind w:left="0" w:right="0"/>
                    <w:rPr>
                      <w:rFonts w:hint="default"/>
                      <w:color w:val="auto"/>
                      <w:highlight w:val="none"/>
                      <w:lang w:val="en-US"/>
                    </w:rPr>
                  </w:pPr>
                </w:p>
              </w:tc>
              <w:tc>
                <w:tcPr>
                  <w:tcW w:w="486" w:type="dxa"/>
                  <w:tcBorders>
                    <w:tl2br w:val="nil"/>
                    <w:tr2bl w:val="nil"/>
                  </w:tcBorders>
                  <w:shd w:val="clear" w:color="auto" w:fill="auto"/>
                  <w:vAlign w:val="center"/>
                </w:tcPr>
                <w:p w14:paraId="731E025E">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44</w:t>
                  </w:r>
                </w:p>
              </w:tc>
              <w:tc>
                <w:tcPr>
                  <w:tcW w:w="862" w:type="dxa"/>
                  <w:tcBorders>
                    <w:tl2br w:val="nil"/>
                    <w:tr2bl w:val="nil"/>
                  </w:tcBorders>
                  <w:shd w:val="clear" w:color="auto" w:fill="auto"/>
                  <w:vAlign w:val="center"/>
                </w:tcPr>
                <w:p w14:paraId="614DD166">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SS</w:t>
                  </w:r>
                </w:p>
              </w:tc>
              <w:tc>
                <w:tcPr>
                  <w:tcW w:w="833" w:type="dxa"/>
                  <w:tcBorders>
                    <w:tl2br w:val="nil"/>
                    <w:tr2bl w:val="nil"/>
                  </w:tcBorders>
                  <w:shd w:val="clear" w:color="auto" w:fill="auto"/>
                  <w:vAlign w:val="center"/>
                </w:tcPr>
                <w:p w14:paraId="01671CA3">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140.0</w:t>
                  </w:r>
                </w:p>
              </w:tc>
              <w:tc>
                <w:tcPr>
                  <w:tcW w:w="653" w:type="dxa"/>
                  <w:tcBorders>
                    <w:tl2br w:val="nil"/>
                    <w:tr2bl w:val="nil"/>
                  </w:tcBorders>
                  <w:shd w:val="clear" w:color="auto" w:fill="auto"/>
                  <w:vAlign w:val="center"/>
                </w:tcPr>
                <w:p w14:paraId="6BC23FE0">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0.134</w:t>
                  </w:r>
                </w:p>
              </w:tc>
              <w:tc>
                <w:tcPr>
                  <w:tcW w:w="807" w:type="dxa"/>
                  <w:tcBorders>
                    <w:tl2br w:val="nil"/>
                    <w:tr2bl w:val="nil"/>
                  </w:tcBorders>
                  <w:shd w:val="clear" w:color="auto" w:fill="auto"/>
                  <w:vAlign w:val="center"/>
                </w:tcPr>
                <w:p w14:paraId="16196A17">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250</w:t>
                  </w:r>
                </w:p>
              </w:tc>
              <w:tc>
                <w:tcPr>
                  <w:tcW w:w="495" w:type="dxa"/>
                  <w:vMerge w:val="continue"/>
                  <w:tcBorders>
                    <w:tl2br w:val="nil"/>
                    <w:tr2bl w:val="nil"/>
                  </w:tcBorders>
                  <w:shd w:val="clear" w:color="auto" w:fill="auto"/>
                  <w:vAlign w:val="center"/>
                </w:tcPr>
                <w:p w14:paraId="6807C12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r>
            <w:tr w14:paraId="2E62B29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24A2632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c>
                <w:tcPr>
                  <w:tcW w:w="875" w:type="dxa"/>
                  <w:tcBorders>
                    <w:tl2br w:val="nil"/>
                    <w:tr2bl w:val="nil"/>
                  </w:tcBorders>
                  <w:shd w:val="clear" w:color="auto" w:fill="auto"/>
                  <w:vAlign w:val="center"/>
                </w:tcPr>
                <w:p w14:paraId="04C2CF4D">
                  <w:pPr>
                    <w:pStyle w:val="21"/>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氨氮</w:t>
                  </w:r>
                </w:p>
              </w:tc>
              <w:tc>
                <w:tcPr>
                  <w:tcW w:w="820" w:type="dxa"/>
                  <w:tcBorders>
                    <w:tl2br w:val="nil"/>
                    <w:tr2bl w:val="nil"/>
                  </w:tcBorders>
                  <w:shd w:val="clear" w:color="auto" w:fill="auto"/>
                  <w:vAlign w:val="center"/>
                </w:tcPr>
                <w:p w14:paraId="40976150">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25</w:t>
                  </w:r>
                </w:p>
              </w:tc>
              <w:tc>
                <w:tcPr>
                  <w:tcW w:w="694" w:type="dxa"/>
                  <w:tcBorders>
                    <w:tl2br w:val="nil"/>
                    <w:tr2bl w:val="nil"/>
                  </w:tcBorders>
                  <w:shd w:val="clear" w:color="auto" w:fill="auto"/>
                  <w:vAlign w:val="center"/>
                </w:tcPr>
                <w:p w14:paraId="0A7D1794">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0.024</w:t>
                  </w:r>
                </w:p>
              </w:tc>
              <w:tc>
                <w:tcPr>
                  <w:tcW w:w="444" w:type="dxa"/>
                  <w:vMerge w:val="continue"/>
                  <w:tcBorders>
                    <w:tl2br w:val="nil"/>
                    <w:tr2bl w:val="nil"/>
                  </w:tcBorders>
                  <w:shd w:val="clear" w:color="auto" w:fill="auto"/>
                  <w:vAlign w:val="center"/>
                </w:tcPr>
                <w:p w14:paraId="7BFE3040">
                  <w:pPr>
                    <w:pStyle w:val="21"/>
                    <w:keepNext w:val="0"/>
                    <w:keepLines w:val="0"/>
                    <w:suppressLineNumbers w:val="0"/>
                    <w:bidi w:val="0"/>
                    <w:spacing w:before="0" w:beforeAutospacing="0" w:after="0" w:afterAutospacing="0"/>
                    <w:ind w:left="0" w:right="0"/>
                    <w:rPr>
                      <w:rFonts w:hint="default"/>
                      <w:color w:val="auto"/>
                      <w:highlight w:val="none"/>
                      <w:lang w:val="en-US"/>
                    </w:rPr>
                  </w:pPr>
                </w:p>
              </w:tc>
              <w:tc>
                <w:tcPr>
                  <w:tcW w:w="486" w:type="dxa"/>
                  <w:tcBorders>
                    <w:tl2br w:val="nil"/>
                    <w:tr2bl w:val="nil"/>
                  </w:tcBorders>
                  <w:shd w:val="clear" w:color="auto" w:fill="auto"/>
                  <w:vAlign w:val="center"/>
                </w:tcPr>
                <w:p w14:paraId="618DFCE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30</w:t>
                  </w:r>
                </w:p>
              </w:tc>
              <w:tc>
                <w:tcPr>
                  <w:tcW w:w="862" w:type="dxa"/>
                  <w:tcBorders>
                    <w:tl2br w:val="nil"/>
                    <w:tr2bl w:val="nil"/>
                  </w:tcBorders>
                  <w:shd w:val="clear" w:color="auto" w:fill="auto"/>
                  <w:vAlign w:val="center"/>
                </w:tcPr>
                <w:p w14:paraId="1F2B7133">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氨氮</w:t>
                  </w:r>
                </w:p>
              </w:tc>
              <w:tc>
                <w:tcPr>
                  <w:tcW w:w="833" w:type="dxa"/>
                  <w:tcBorders>
                    <w:tl2br w:val="nil"/>
                    <w:tr2bl w:val="nil"/>
                  </w:tcBorders>
                  <w:shd w:val="clear" w:color="auto" w:fill="auto"/>
                  <w:vAlign w:val="center"/>
                </w:tcPr>
                <w:p w14:paraId="60A2781C">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17.5</w:t>
                  </w:r>
                </w:p>
              </w:tc>
              <w:tc>
                <w:tcPr>
                  <w:tcW w:w="653" w:type="dxa"/>
                  <w:tcBorders>
                    <w:tl2br w:val="nil"/>
                    <w:tr2bl w:val="nil"/>
                  </w:tcBorders>
                  <w:shd w:val="clear" w:color="auto" w:fill="auto"/>
                  <w:vAlign w:val="center"/>
                </w:tcPr>
                <w:p w14:paraId="53E6A80E">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0.017</w:t>
                  </w:r>
                </w:p>
              </w:tc>
              <w:tc>
                <w:tcPr>
                  <w:tcW w:w="807" w:type="dxa"/>
                  <w:tcBorders>
                    <w:tl2br w:val="nil"/>
                    <w:tr2bl w:val="nil"/>
                  </w:tcBorders>
                  <w:shd w:val="clear" w:color="auto" w:fill="auto"/>
                  <w:vAlign w:val="center"/>
                </w:tcPr>
                <w:p w14:paraId="52CA11C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35</w:t>
                  </w:r>
                </w:p>
              </w:tc>
              <w:tc>
                <w:tcPr>
                  <w:tcW w:w="495" w:type="dxa"/>
                  <w:vMerge w:val="continue"/>
                  <w:tcBorders>
                    <w:tl2br w:val="nil"/>
                    <w:tr2bl w:val="nil"/>
                  </w:tcBorders>
                  <w:shd w:val="clear" w:color="auto" w:fill="auto"/>
                  <w:vAlign w:val="center"/>
                </w:tcPr>
                <w:p w14:paraId="2D18E05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r>
            <w:tr w14:paraId="6AD30AD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1B6AD81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c>
                <w:tcPr>
                  <w:tcW w:w="875" w:type="dxa"/>
                  <w:tcBorders>
                    <w:tl2br w:val="nil"/>
                    <w:tr2bl w:val="nil"/>
                  </w:tcBorders>
                  <w:shd w:val="clear" w:color="auto" w:fill="auto"/>
                  <w:vAlign w:val="center"/>
                </w:tcPr>
                <w:p w14:paraId="6CF01CBA">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TN</w:t>
                  </w:r>
                </w:p>
              </w:tc>
              <w:tc>
                <w:tcPr>
                  <w:tcW w:w="820" w:type="dxa"/>
                  <w:tcBorders>
                    <w:tl2br w:val="nil"/>
                    <w:tr2bl w:val="nil"/>
                  </w:tcBorders>
                  <w:shd w:val="clear" w:color="auto" w:fill="auto"/>
                  <w:vAlign w:val="center"/>
                </w:tcPr>
                <w:p w14:paraId="528B04E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35</w:t>
                  </w:r>
                </w:p>
              </w:tc>
              <w:tc>
                <w:tcPr>
                  <w:tcW w:w="694" w:type="dxa"/>
                  <w:tcBorders>
                    <w:tl2br w:val="nil"/>
                    <w:tr2bl w:val="nil"/>
                  </w:tcBorders>
                  <w:shd w:val="clear" w:color="auto" w:fill="auto"/>
                  <w:vAlign w:val="center"/>
                </w:tcPr>
                <w:p w14:paraId="3A470893">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0.034</w:t>
                  </w:r>
                </w:p>
              </w:tc>
              <w:tc>
                <w:tcPr>
                  <w:tcW w:w="444" w:type="dxa"/>
                  <w:vMerge w:val="continue"/>
                  <w:tcBorders>
                    <w:tl2br w:val="nil"/>
                    <w:tr2bl w:val="nil"/>
                  </w:tcBorders>
                  <w:shd w:val="clear" w:color="auto" w:fill="auto"/>
                  <w:vAlign w:val="center"/>
                </w:tcPr>
                <w:p w14:paraId="5220CB43">
                  <w:pPr>
                    <w:pStyle w:val="21"/>
                    <w:keepNext w:val="0"/>
                    <w:keepLines w:val="0"/>
                    <w:suppressLineNumbers w:val="0"/>
                    <w:bidi w:val="0"/>
                    <w:spacing w:before="0" w:beforeAutospacing="0" w:after="0" w:afterAutospacing="0"/>
                    <w:ind w:left="0" w:right="0"/>
                    <w:rPr>
                      <w:rFonts w:hint="default"/>
                      <w:color w:val="auto"/>
                      <w:highlight w:val="none"/>
                      <w:lang w:val="en-US"/>
                    </w:rPr>
                  </w:pPr>
                </w:p>
              </w:tc>
              <w:tc>
                <w:tcPr>
                  <w:tcW w:w="486" w:type="dxa"/>
                  <w:tcBorders>
                    <w:tl2br w:val="nil"/>
                    <w:tr2bl w:val="nil"/>
                  </w:tcBorders>
                  <w:shd w:val="clear" w:color="auto" w:fill="auto"/>
                  <w:vAlign w:val="center"/>
                </w:tcPr>
                <w:p w14:paraId="4F22BDB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30</w:t>
                  </w:r>
                </w:p>
              </w:tc>
              <w:tc>
                <w:tcPr>
                  <w:tcW w:w="862" w:type="dxa"/>
                  <w:tcBorders>
                    <w:tl2br w:val="nil"/>
                    <w:tr2bl w:val="nil"/>
                  </w:tcBorders>
                  <w:shd w:val="clear" w:color="auto" w:fill="auto"/>
                  <w:vAlign w:val="center"/>
                </w:tcPr>
                <w:p w14:paraId="02D47F9B">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TN</w:t>
                  </w:r>
                </w:p>
              </w:tc>
              <w:tc>
                <w:tcPr>
                  <w:tcW w:w="833" w:type="dxa"/>
                  <w:tcBorders>
                    <w:tl2br w:val="nil"/>
                    <w:tr2bl w:val="nil"/>
                  </w:tcBorders>
                  <w:shd w:val="clear" w:color="auto" w:fill="auto"/>
                  <w:vAlign w:val="center"/>
                </w:tcPr>
                <w:p w14:paraId="2D300F4A">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24.5</w:t>
                  </w:r>
                </w:p>
              </w:tc>
              <w:tc>
                <w:tcPr>
                  <w:tcW w:w="653" w:type="dxa"/>
                  <w:tcBorders>
                    <w:tl2br w:val="nil"/>
                    <w:tr2bl w:val="nil"/>
                  </w:tcBorders>
                  <w:shd w:val="clear" w:color="auto" w:fill="auto"/>
                  <w:vAlign w:val="center"/>
                </w:tcPr>
                <w:p w14:paraId="27C74348">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0.024</w:t>
                  </w:r>
                </w:p>
              </w:tc>
              <w:tc>
                <w:tcPr>
                  <w:tcW w:w="807" w:type="dxa"/>
                  <w:tcBorders>
                    <w:tl2br w:val="nil"/>
                    <w:tr2bl w:val="nil"/>
                  </w:tcBorders>
                  <w:shd w:val="clear" w:color="auto" w:fill="auto"/>
                  <w:vAlign w:val="center"/>
                </w:tcPr>
                <w:p w14:paraId="226CF0E2">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45</w:t>
                  </w:r>
                </w:p>
              </w:tc>
              <w:tc>
                <w:tcPr>
                  <w:tcW w:w="495" w:type="dxa"/>
                  <w:vMerge w:val="continue"/>
                  <w:tcBorders>
                    <w:tl2br w:val="nil"/>
                    <w:tr2bl w:val="nil"/>
                  </w:tcBorders>
                  <w:shd w:val="clear" w:color="auto" w:fill="auto"/>
                  <w:vAlign w:val="center"/>
                </w:tcPr>
                <w:p w14:paraId="4861CBC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r>
            <w:tr w14:paraId="2A6415B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3D540F3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c>
                <w:tcPr>
                  <w:tcW w:w="875" w:type="dxa"/>
                  <w:tcBorders>
                    <w:tl2br w:val="nil"/>
                    <w:tr2bl w:val="nil"/>
                  </w:tcBorders>
                  <w:shd w:val="clear" w:color="auto" w:fill="auto"/>
                  <w:vAlign w:val="center"/>
                </w:tcPr>
                <w:p w14:paraId="5CD83F24">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TP</w:t>
                  </w:r>
                </w:p>
              </w:tc>
              <w:tc>
                <w:tcPr>
                  <w:tcW w:w="820" w:type="dxa"/>
                  <w:tcBorders>
                    <w:tl2br w:val="nil"/>
                    <w:tr2bl w:val="nil"/>
                  </w:tcBorders>
                  <w:shd w:val="clear" w:color="auto" w:fill="auto"/>
                  <w:vAlign w:val="center"/>
                </w:tcPr>
                <w:p w14:paraId="6EFB2E94">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5</w:t>
                  </w:r>
                </w:p>
              </w:tc>
              <w:tc>
                <w:tcPr>
                  <w:tcW w:w="694" w:type="dxa"/>
                  <w:tcBorders>
                    <w:tl2br w:val="nil"/>
                    <w:tr2bl w:val="nil"/>
                  </w:tcBorders>
                  <w:shd w:val="clear" w:color="auto" w:fill="auto"/>
                  <w:vAlign w:val="center"/>
                </w:tcPr>
                <w:p w14:paraId="3536D030">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0.005</w:t>
                  </w:r>
                </w:p>
              </w:tc>
              <w:tc>
                <w:tcPr>
                  <w:tcW w:w="444" w:type="dxa"/>
                  <w:vMerge w:val="continue"/>
                  <w:tcBorders>
                    <w:tl2br w:val="nil"/>
                    <w:tr2bl w:val="nil"/>
                  </w:tcBorders>
                  <w:shd w:val="clear" w:color="auto" w:fill="auto"/>
                  <w:vAlign w:val="center"/>
                </w:tcPr>
                <w:p w14:paraId="12DD94FC">
                  <w:pPr>
                    <w:pStyle w:val="21"/>
                    <w:keepNext w:val="0"/>
                    <w:keepLines w:val="0"/>
                    <w:suppressLineNumbers w:val="0"/>
                    <w:bidi w:val="0"/>
                    <w:spacing w:before="0" w:beforeAutospacing="0" w:after="0" w:afterAutospacing="0"/>
                    <w:ind w:left="0" w:right="0"/>
                    <w:rPr>
                      <w:rFonts w:hint="default"/>
                      <w:color w:val="auto"/>
                      <w:highlight w:val="none"/>
                      <w:lang w:val="en-US"/>
                    </w:rPr>
                  </w:pPr>
                </w:p>
              </w:tc>
              <w:tc>
                <w:tcPr>
                  <w:tcW w:w="486" w:type="dxa"/>
                  <w:tcBorders>
                    <w:tl2br w:val="nil"/>
                    <w:tr2bl w:val="nil"/>
                  </w:tcBorders>
                  <w:shd w:val="clear" w:color="auto" w:fill="auto"/>
                  <w:vAlign w:val="center"/>
                </w:tcPr>
                <w:p w14:paraId="59A94F5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84</w:t>
                  </w:r>
                </w:p>
              </w:tc>
              <w:tc>
                <w:tcPr>
                  <w:tcW w:w="862" w:type="dxa"/>
                  <w:tcBorders>
                    <w:tl2br w:val="nil"/>
                    <w:tr2bl w:val="nil"/>
                  </w:tcBorders>
                  <w:shd w:val="clear" w:color="auto" w:fill="auto"/>
                  <w:vAlign w:val="center"/>
                </w:tcPr>
                <w:p w14:paraId="4F5523CE">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TP</w:t>
                  </w:r>
                </w:p>
              </w:tc>
              <w:tc>
                <w:tcPr>
                  <w:tcW w:w="833" w:type="dxa"/>
                  <w:tcBorders>
                    <w:tl2br w:val="nil"/>
                    <w:tr2bl w:val="nil"/>
                  </w:tcBorders>
                  <w:shd w:val="clear" w:color="auto" w:fill="auto"/>
                  <w:vAlign w:val="center"/>
                </w:tcPr>
                <w:p w14:paraId="104B6AF5">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0.80</w:t>
                  </w:r>
                </w:p>
              </w:tc>
              <w:tc>
                <w:tcPr>
                  <w:tcW w:w="653" w:type="dxa"/>
                  <w:tcBorders>
                    <w:tl2br w:val="nil"/>
                    <w:tr2bl w:val="nil"/>
                  </w:tcBorders>
                  <w:shd w:val="clear" w:color="auto" w:fill="auto"/>
                  <w:vAlign w:val="center"/>
                </w:tcPr>
                <w:p w14:paraId="3852F9AB">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0.001</w:t>
                  </w:r>
                </w:p>
              </w:tc>
              <w:tc>
                <w:tcPr>
                  <w:tcW w:w="807" w:type="dxa"/>
                  <w:tcBorders>
                    <w:tl2br w:val="nil"/>
                    <w:tr2bl w:val="nil"/>
                  </w:tcBorders>
                  <w:shd w:val="clear" w:color="auto" w:fill="auto"/>
                  <w:vAlign w:val="center"/>
                </w:tcPr>
                <w:p w14:paraId="6240E598">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4</w:t>
                  </w:r>
                </w:p>
              </w:tc>
              <w:tc>
                <w:tcPr>
                  <w:tcW w:w="495" w:type="dxa"/>
                  <w:vMerge w:val="continue"/>
                  <w:tcBorders>
                    <w:tl2br w:val="nil"/>
                    <w:tr2bl w:val="nil"/>
                  </w:tcBorders>
                  <w:shd w:val="clear" w:color="auto" w:fill="auto"/>
                  <w:vAlign w:val="center"/>
                </w:tcPr>
                <w:p w14:paraId="6EB4D53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r>
            <w:tr w14:paraId="7BB2E52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restart"/>
                  <w:tcBorders>
                    <w:tl2br w:val="nil"/>
                    <w:tr2bl w:val="nil"/>
                  </w:tcBorders>
                  <w:shd w:val="clear" w:color="auto" w:fill="auto"/>
                  <w:vAlign w:val="center"/>
                </w:tcPr>
                <w:p w14:paraId="517F2E3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食堂废水</w:t>
                  </w:r>
                  <w:r>
                    <w:rPr>
                      <w:rFonts w:hint="eastAsia"/>
                      <w:color w:val="auto"/>
                      <w:highlight w:val="none"/>
                      <w:lang w:val="en-US" w:eastAsia="zh-CN"/>
                    </w:rPr>
                    <w:t>480</w:t>
                  </w:r>
                  <w:r>
                    <w:rPr>
                      <w:rFonts w:hint="eastAsia" w:ascii="Times New Roman" w:hAnsi="Times New Roman" w:eastAsia="宋体"/>
                      <w:color w:val="auto"/>
                      <w:highlight w:val="none"/>
                      <w:lang w:val="en-US" w:eastAsia="zh-CN"/>
                    </w:rPr>
                    <w:t>t/a</w:t>
                  </w:r>
                </w:p>
              </w:tc>
              <w:tc>
                <w:tcPr>
                  <w:tcW w:w="875" w:type="dxa"/>
                  <w:tcBorders>
                    <w:tl2br w:val="nil"/>
                    <w:tr2bl w:val="nil"/>
                  </w:tcBorders>
                  <w:shd w:val="clear" w:color="auto" w:fill="auto"/>
                  <w:vAlign w:val="center"/>
                </w:tcPr>
                <w:p w14:paraId="130A8BF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COD</w:t>
                  </w:r>
                </w:p>
              </w:tc>
              <w:tc>
                <w:tcPr>
                  <w:tcW w:w="820" w:type="dxa"/>
                  <w:tcBorders>
                    <w:tl2br w:val="nil"/>
                    <w:tr2bl w:val="nil"/>
                  </w:tcBorders>
                  <w:shd w:val="clear" w:color="auto" w:fill="auto"/>
                  <w:vAlign w:val="center"/>
                </w:tcPr>
                <w:p w14:paraId="226A038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400</w:t>
                  </w:r>
                </w:p>
              </w:tc>
              <w:tc>
                <w:tcPr>
                  <w:tcW w:w="694" w:type="dxa"/>
                  <w:tcBorders>
                    <w:tl2br w:val="nil"/>
                    <w:tr2bl w:val="nil"/>
                  </w:tcBorders>
                  <w:shd w:val="clear" w:color="auto" w:fill="auto"/>
                  <w:vAlign w:val="center"/>
                </w:tcPr>
                <w:p w14:paraId="235BC1BC">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0.192</w:t>
                  </w:r>
                </w:p>
              </w:tc>
              <w:tc>
                <w:tcPr>
                  <w:tcW w:w="444" w:type="dxa"/>
                  <w:vMerge w:val="continue"/>
                  <w:tcBorders>
                    <w:tl2br w:val="nil"/>
                    <w:tr2bl w:val="nil"/>
                  </w:tcBorders>
                  <w:shd w:val="clear" w:color="auto" w:fill="auto"/>
                  <w:vAlign w:val="center"/>
                </w:tcPr>
                <w:p w14:paraId="3DEF4582">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486" w:type="dxa"/>
                  <w:tcBorders>
                    <w:tl2br w:val="nil"/>
                    <w:tr2bl w:val="nil"/>
                  </w:tcBorders>
                  <w:shd w:val="clear" w:color="auto" w:fill="auto"/>
                  <w:vAlign w:val="center"/>
                </w:tcPr>
                <w:p w14:paraId="46327C7F">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75</w:t>
                  </w:r>
                </w:p>
              </w:tc>
              <w:tc>
                <w:tcPr>
                  <w:tcW w:w="862" w:type="dxa"/>
                  <w:tcBorders>
                    <w:tl2br w:val="nil"/>
                    <w:tr2bl w:val="nil"/>
                  </w:tcBorders>
                  <w:shd w:val="clear" w:color="auto" w:fill="auto"/>
                  <w:vAlign w:val="center"/>
                </w:tcPr>
                <w:p w14:paraId="31512EF8">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COD</w:t>
                  </w:r>
                </w:p>
              </w:tc>
              <w:tc>
                <w:tcPr>
                  <w:tcW w:w="833" w:type="dxa"/>
                  <w:tcBorders>
                    <w:tl2br w:val="nil"/>
                    <w:tr2bl w:val="nil"/>
                  </w:tcBorders>
                  <w:shd w:val="clear" w:color="auto" w:fill="auto"/>
                  <w:vAlign w:val="center"/>
                </w:tcPr>
                <w:p w14:paraId="2A5D8106">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100</w:t>
                  </w:r>
                </w:p>
              </w:tc>
              <w:tc>
                <w:tcPr>
                  <w:tcW w:w="653" w:type="dxa"/>
                  <w:tcBorders>
                    <w:tl2br w:val="nil"/>
                    <w:tr2bl w:val="nil"/>
                  </w:tcBorders>
                  <w:shd w:val="clear" w:color="auto" w:fill="auto"/>
                  <w:vAlign w:val="center"/>
                </w:tcPr>
                <w:p w14:paraId="60B6A0B4">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0.048</w:t>
                  </w:r>
                </w:p>
              </w:tc>
              <w:tc>
                <w:tcPr>
                  <w:tcW w:w="807" w:type="dxa"/>
                  <w:tcBorders>
                    <w:tl2br w:val="nil"/>
                    <w:tr2bl w:val="nil"/>
                  </w:tcBorders>
                  <w:shd w:val="clear" w:color="auto" w:fill="auto"/>
                  <w:vAlign w:val="center"/>
                </w:tcPr>
                <w:p w14:paraId="5449EE3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350</w:t>
                  </w:r>
                </w:p>
              </w:tc>
              <w:tc>
                <w:tcPr>
                  <w:tcW w:w="495" w:type="dxa"/>
                  <w:vMerge w:val="continue"/>
                  <w:tcBorders>
                    <w:tl2br w:val="nil"/>
                    <w:tr2bl w:val="nil"/>
                  </w:tcBorders>
                  <w:shd w:val="clear" w:color="auto" w:fill="auto"/>
                  <w:vAlign w:val="center"/>
                </w:tcPr>
                <w:p w14:paraId="33EC5C0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r>
            <w:tr w14:paraId="3398B5A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4B483067">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875" w:type="dxa"/>
                  <w:tcBorders>
                    <w:tl2br w:val="nil"/>
                    <w:tr2bl w:val="nil"/>
                  </w:tcBorders>
                  <w:shd w:val="clear" w:color="auto" w:fill="auto"/>
                  <w:vAlign w:val="center"/>
                </w:tcPr>
                <w:p w14:paraId="64D0B8C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BOD</w:t>
                  </w:r>
                  <w:r>
                    <w:rPr>
                      <w:rFonts w:hint="default"/>
                      <w:color w:val="auto"/>
                      <w:vertAlign w:val="subscript"/>
                      <w:lang w:val="en-US" w:eastAsia="zh-CN"/>
                    </w:rPr>
                    <w:t>5</w:t>
                  </w:r>
                </w:p>
              </w:tc>
              <w:tc>
                <w:tcPr>
                  <w:tcW w:w="820" w:type="dxa"/>
                  <w:tcBorders>
                    <w:tl2br w:val="nil"/>
                    <w:tr2bl w:val="nil"/>
                  </w:tcBorders>
                  <w:shd w:val="clear" w:color="auto" w:fill="auto"/>
                  <w:vAlign w:val="center"/>
                </w:tcPr>
                <w:p w14:paraId="4C2314B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300</w:t>
                  </w:r>
                </w:p>
              </w:tc>
              <w:tc>
                <w:tcPr>
                  <w:tcW w:w="694" w:type="dxa"/>
                  <w:tcBorders>
                    <w:tl2br w:val="nil"/>
                    <w:tr2bl w:val="nil"/>
                  </w:tcBorders>
                  <w:shd w:val="clear" w:color="auto" w:fill="auto"/>
                  <w:vAlign w:val="center"/>
                </w:tcPr>
                <w:p w14:paraId="26C920F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0.144</w:t>
                  </w:r>
                </w:p>
              </w:tc>
              <w:tc>
                <w:tcPr>
                  <w:tcW w:w="444" w:type="dxa"/>
                  <w:vMerge w:val="continue"/>
                  <w:tcBorders>
                    <w:tl2br w:val="nil"/>
                    <w:tr2bl w:val="nil"/>
                  </w:tcBorders>
                  <w:shd w:val="clear" w:color="auto" w:fill="auto"/>
                  <w:vAlign w:val="center"/>
                </w:tcPr>
                <w:p w14:paraId="526B6CB8">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486" w:type="dxa"/>
                  <w:tcBorders>
                    <w:tl2br w:val="nil"/>
                    <w:tr2bl w:val="nil"/>
                  </w:tcBorders>
                  <w:shd w:val="clear" w:color="auto" w:fill="auto"/>
                  <w:vAlign w:val="center"/>
                </w:tcPr>
                <w:p w14:paraId="42A76AA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70</w:t>
                  </w:r>
                </w:p>
              </w:tc>
              <w:tc>
                <w:tcPr>
                  <w:tcW w:w="862" w:type="dxa"/>
                  <w:tcBorders>
                    <w:tl2br w:val="nil"/>
                    <w:tr2bl w:val="nil"/>
                  </w:tcBorders>
                  <w:shd w:val="clear" w:color="auto" w:fill="auto"/>
                  <w:vAlign w:val="center"/>
                </w:tcPr>
                <w:p w14:paraId="520EDEB2">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BOD</w:t>
                  </w:r>
                  <w:r>
                    <w:rPr>
                      <w:rFonts w:hint="default"/>
                      <w:color w:val="auto"/>
                      <w:vertAlign w:val="subscript"/>
                      <w:lang w:val="en-US" w:eastAsia="zh-CN"/>
                    </w:rPr>
                    <w:t>5</w:t>
                  </w:r>
                </w:p>
              </w:tc>
              <w:tc>
                <w:tcPr>
                  <w:tcW w:w="833" w:type="dxa"/>
                  <w:tcBorders>
                    <w:tl2br w:val="nil"/>
                    <w:tr2bl w:val="nil"/>
                  </w:tcBorders>
                  <w:shd w:val="clear" w:color="auto" w:fill="auto"/>
                  <w:vAlign w:val="center"/>
                </w:tcPr>
                <w:p w14:paraId="388AD85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90.0</w:t>
                  </w:r>
                </w:p>
              </w:tc>
              <w:tc>
                <w:tcPr>
                  <w:tcW w:w="653" w:type="dxa"/>
                  <w:tcBorders>
                    <w:tl2br w:val="nil"/>
                    <w:tr2bl w:val="nil"/>
                  </w:tcBorders>
                  <w:shd w:val="clear" w:color="auto" w:fill="auto"/>
                  <w:vAlign w:val="center"/>
                </w:tcPr>
                <w:p w14:paraId="15C011B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0.043</w:t>
                  </w:r>
                </w:p>
              </w:tc>
              <w:tc>
                <w:tcPr>
                  <w:tcW w:w="807" w:type="dxa"/>
                  <w:tcBorders>
                    <w:tl2br w:val="nil"/>
                    <w:tr2bl w:val="nil"/>
                  </w:tcBorders>
                  <w:shd w:val="clear" w:color="auto" w:fill="auto"/>
                  <w:vAlign w:val="center"/>
                </w:tcPr>
                <w:p w14:paraId="569D9EC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300</w:t>
                  </w:r>
                </w:p>
              </w:tc>
              <w:tc>
                <w:tcPr>
                  <w:tcW w:w="495" w:type="dxa"/>
                  <w:vMerge w:val="continue"/>
                  <w:tcBorders>
                    <w:tl2br w:val="nil"/>
                    <w:tr2bl w:val="nil"/>
                  </w:tcBorders>
                  <w:shd w:val="clear" w:color="auto" w:fill="auto"/>
                  <w:vAlign w:val="center"/>
                </w:tcPr>
                <w:p w14:paraId="4974366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r>
            <w:tr w14:paraId="536D9DD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3" w:hRule="atLeast"/>
                <w:jc w:val="center"/>
              </w:trPr>
              <w:tc>
                <w:tcPr>
                  <w:tcW w:w="853" w:type="dxa"/>
                  <w:vMerge w:val="continue"/>
                  <w:tcBorders>
                    <w:tl2br w:val="nil"/>
                    <w:tr2bl w:val="nil"/>
                  </w:tcBorders>
                  <w:shd w:val="clear" w:color="auto" w:fill="auto"/>
                  <w:vAlign w:val="center"/>
                </w:tcPr>
                <w:p w14:paraId="5249814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c>
                <w:tcPr>
                  <w:tcW w:w="875" w:type="dxa"/>
                  <w:tcBorders>
                    <w:tl2br w:val="nil"/>
                    <w:tr2bl w:val="nil"/>
                  </w:tcBorders>
                  <w:shd w:val="clear" w:color="auto" w:fill="auto"/>
                  <w:vAlign w:val="center"/>
                </w:tcPr>
                <w:p w14:paraId="047BC84C">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SS</w:t>
                  </w:r>
                </w:p>
              </w:tc>
              <w:tc>
                <w:tcPr>
                  <w:tcW w:w="820" w:type="dxa"/>
                  <w:tcBorders>
                    <w:tl2br w:val="nil"/>
                    <w:tr2bl w:val="nil"/>
                  </w:tcBorders>
                  <w:shd w:val="clear" w:color="auto" w:fill="auto"/>
                  <w:vAlign w:val="center"/>
                </w:tcPr>
                <w:p w14:paraId="1CDB675F">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250</w:t>
                  </w:r>
                </w:p>
              </w:tc>
              <w:tc>
                <w:tcPr>
                  <w:tcW w:w="694" w:type="dxa"/>
                  <w:tcBorders>
                    <w:tl2br w:val="nil"/>
                    <w:tr2bl w:val="nil"/>
                  </w:tcBorders>
                  <w:shd w:val="clear" w:color="auto" w:fill="auto"/>
                  <w:vAlign w:val="center"/>
                </w:tcPr>
                <w:p w14:paraId="0424B62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0.12</w:t>
                  </w:r>
                </w:p>
              </w:tc>
              <w:tc>
                <w:tcPr>
                  <w:tcW w:w="444" w:type="dxa"/>
                  <w:vMerge w:val="continue"/>
                  <w:tcBorders>
                    <w:tl2br w:val="nil"/>
                    <w:tr2bl w:val="nil"/>
                  </w:tcBorders>
                  <w:shd w:val="clear" w:color="auto" w:fill="auto"/>
                  <w:vAlign w:val="center"/>
                </w:tcPr>
                <w:p w14:paraId="231B3FB1">
                  <w:pPr>
                    <w:pStyle w:val="21"/>
                    <w:keepNext w:val="0"/>
                    <w:keepLines w:val="0"/>
                    <w:suppressLineNumbers w:val="0"/>
                    <w:bidi w:val="0"/>
                    <w:spacing w:before="0" w:beforeAutospacing="0" w:after="0" w:afterAutospacing="0"/>
                    <w:ind w:left="0" w:right="0"/>
                    <w:rPr>
                      <w:rFonts w:hint="default"/>
                      <w:color w:val="auto"/>
                      <w:highlight w:val="none"/>
                      <w:lang w:val="en-US"/>
                    </w:rPr>
                  </w:pPr>
                </w:p>
              </w:tc>
              <w:tc>
                <w:tcPr>
                  <w:tcW w:w="486" w:type="dxa"/>
                  <w:tcBorders>
                    <w:tl2br w:val="nil"/>
                    <w:tr2bl w:val="nil"/>
                  </w:tcBorders>
                  <w:shd w:val="clear" w:color="auto" w:fill="auto"/>
                  <w:vAlign w:val="center"/>
                </w:tcPr>
                <w:p w14:paraId="2D763B87">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44</w:t>
                  </w:r>
                </w:p>
              </w:tc>
              <w:tc>
                <w:tcPr>
                  <w:tcW w:w="862" w:type="dxa"/>
                  <w:tcBorders>
                    <w:tl2br w:val="nil"/>
                    <w:tr2bl w:val="nil"/>
                  </w:tcBorders>
                  <w:shd w:val="clear" w:color="auto" w:fill="auto"/>
                  <w:vAlign w:val="center"/>
                </w:tcPr>
                <w:p w14:paraId="5CC4B6EA">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SS</w:t>
                  </w:r>
                </w:p>
              </w:tc>
              <w:tc>
                <w:tcPr>
                  <w:tcW w:w="833" w:type="dxa"/>
                  <w:tcBorders>
                    <w:tl2br w:val="nil"/>
                    <w:tr2bl w:val="nil"/>
                  </w:tcBorders>
                  <w:shd w:val="clear" w:color="auto" w:fill="auto"/>
                  <w:vAlign w:val="center"/>
                </w:tcPr>
                <w:p w14:paraId="22D7244B">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140.0</w:t>
                  </w:r>
                </w:p>
              </w:tc>
              <w:tc>
                <w:tcPr>
                  <w:tcW w:w="653" w:type="dxa"/>
                  <w:tcBorders>
                    <w:tl2br w:val="nil"/>
                    <w:tr2bl w:val="nil"/>
                  </w:tcBorders>
                  <w:shd w:val="clear" w:color="auto" w:fill="auto"/>
                  <w:vAlign w:val="center"/>
                </w:tcPr>
                <w:p w14:paraId="1DE89A18">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0.067</w:t>
                  </w:r>
                </w:p>
              </w:tc>
              <w:tc>
                <w:tcPr>
                  <w:tcW w:w="807" w:type="dxa"/>
                  <w:tcBorders>
                    <w:tl2br w:val="nil"/>
                    <w:tr2bl w:val="nil"/>
                  </w:tcBorders>
                  <w:shd w:val="clear" w:color="auto" w:fill="auto"/>
                  <w:vAlign w:val="center"/>
                </w:tcPr>
                <w:p w14:paraId="5E9E3C9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250</w:t>
                  </w:r>
                </w:p>
              </w:tc>
              <w:tc>
                <w:tcPr>
                  <w:tcW w:w="495" w:type="dxa"/>
                  <w:vMerge w:val="continue"/>
                  <w:tcBorders>
                    <w:tl2br w:val="nil"/>
                    <w:tr2bl w:val="nil"/>
                  </w:tcBorders>
                  <w:shd w:val="clear" w:color="auto" w:fill="auto"/>
                  <w:vAlign w:val="center"/>
                </w:tcPr>
                <w:p w14:paraId="0FE1864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r>
            <w:tr w14:paraId="5C3DF30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75A9A15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c>
                <w:tcPr>
                  <w:tcW w:w="875" w:type="dxa"/>
                  <w:tcBorders>
                    <w:tl2br w:val="nil"/>
                    <w:tr2bl w:val="nil"/>
                  </w:tcBorders>
                  <w:shd w:val="clear" w:color="auto" w:fill="auto"/>
                  <w:vAlign w:val="center"/>
                </w:tcPr>
                <w:p w14:paraId="3E4C1D1B">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氨氮</w:t>
                  </w:r>
                </w:p>
              </w:tc>
              <w:tc>
                <w:tcPr>
                  <w:tcW w:w="820" w:type="dxa"/>
                  <w:tcBorders>
                    <w:tl2br w:val="nil"/>
                    <w:tr2bl w:val="nil"/>
                  </w:tcBorders>
                  <w:shd w:val="clear" w:color="auto" w:fill="auto"/>
                  <w:vAlign w:val="center"/>
                </w:tcPr>
                <w:p w14:paraId="6237FA4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25</w:t>
                  </w:r>
                </w:p>
              </w:tc>
              <w:tc>
                <w:tcPr>
                  <w:tcW w:w="694" w:type="dxa"/>
                  <w:tcBorders>
                    <w:tl2br w:val="nil"/>
                    <w:tr2bl w:val="nil"/>
                  </w:tcBorders>
                  <w:shd w:val="clear" w:color="auto" w:fill="auto"/>
                  <w:vAlign w:val="center"/>
                </w:tcPr>
                <w:p w14:paraId="204D9FB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0.012</w:t>
                  </w:r>
                </w:p>
              </w:tc>
              <w:tc>
                <w:tcPr>
                  <w:tcW w:w="444" w:type="dxa"/>
                  <w:vMerge w:val="continue"/>
                  <w:tcBorders>
                    <w:tl2br w:val="nil"/>
                    <w:tr2bl w:val="nil"/>
                  </w:tcBorders>
                  <w:shd w:val="clear" w:color="auto" w:fill="auto"/>
                  <w:vAlign w:val="center"/>
                </w:tcPr>
                <w:p w14:paraId="58FDB826">
                  <w:pPr>
                    <w:pStyle w:val="21"/>
                    <w:keepNext w:val="0"/>
                    <w:keepLines w:val="0"/>
                    <w:suppressLineNumbers w:val="0"/>
                    <w:bidi w:val="0"/>
                    <w:spacing w:before="0" w:beforeAutospacing="0" w:after="0" w:afterAutospacing="0"/>
                    <w:ind w:left="0" w:right="0"/>
                    <w:rPr>
                      <w:rFonts w:hint="default"/>
                      <w:color w:val="auto"/>
                      <w:highlight w:val="none"/>
                      <w:lang w:val="en-US"/>
                    </w:rPr>
                  </w:pPr>
                </w:p>
              </w:tc>
              <w:tc>
                <w:tcPr>
                  <w:tcW w:w="486" w:type="dxa"/>
                  <w:tcBorders>
                    <w:tl2br w:val="nil"/>
                    <w:tr2bl w:val="nil"/>
                  </w:tcBorders>
                  <w:shd w:val="clear" w:color="auto" w:fill="auto"/>
                  <w:vAlign w:val="center"/>
                </w:tcPr>
                <w:p w14:paraId="422F37E7">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30</w:t>
                  </w:r>
                </w:p>
              </w:tc>
              <w:tc>
                <w:tcPr>
                  <w:tcW w:w="862" w:type="dxa"/>
                  <w:tcBorders>
                    <w:tl2br w:val="nil"/>
                    <w:tr2bl w:val="nil"/>
                  </w:tcBorders>
                  <w:shd w:val="clear" w:color="auto" w:fill="auto"/>
                  <w:vAlign w:val="center"/>
                </w:tcPr>
                <w:p w14:paraId="31F1333B">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氨氮</w:t>
                  </w:r>
                </w:p>
              </w:tc>
              <w:tc>
                <w:tcPr>
                  <w:tcW w:w="833" w:type="dxa"/>
                  <w:tcBorders>
                    <w:tl2br w:val="nil"/>
                    <w:tr2bl w:val="nil"/>
                  </w:tcBorders>
                  <w:shd w:val="clear" w:color="auto" w:fill="auto"/>
                  <w:vAlign w:val="center"/>
                </w:tcPr>
                <w:p w14:paraId="1BAD6F40">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17.5</w:t>
                  </w:r>
                </w:p>
              </w:tc>
              <w:tc>
                <w:tcPr>
                  <w:tcW w:w="653" w:type="dxa"/>
                  <w:tcBorders>
                    <w:tl2br w:val="nil"/>
                    <w:tr2bl w:val="nil"/>
                  </w:tcBorders>
                  <w:shd w:val="clear" w:color="auto" w:fill="auto"/>
                  <w:vAlign w:val="center"/>
                </w:tcPr>
                <w:p w14:paraId="4AD0E46E">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0.008</w:t>
                  </w:r>
                </w:p>
              </w:tc>
              <w:tc>
                <w:tcPr>
                  <w:tcW w:w="807" w:type="dxa"/>
                  <w:tcBorders>
                    <w:tl2br w:val="nil"/>
                    <w:tr2bl w:val="nil"/>
                  </w:tcBorders>
                  <w:shd w:val="clear" w:color="auto" w:fill="auto"/>
                  <w:vAlign w:val="center"/>
                </w:tcPr>
                <w:p w14:paraId="4B0DA2EC">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35</w:t>
                  </w:r>
                </w:p>
              </w:tc>
              <w:tc>
                <w:tcPr>
                  <w:tcW w:w="495" w:type="dxa"/>
                  <w:vMerge w:val="continue"/>
                  <w:tcBorders>
                    <w:tl2br w:val="nil"/>
                    <w:tr2bl w:val="nil"/>
                  </w:tcBorders>
                  <w:shd w:val="clear" w:color="auto" w:fill="auto"/>
                  <w:vAlign w:val="center"/>
                </w:tcPr>
                <w:p w14:paraId="7AA6BC7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r>
            <w:tr w14:paraId="64AC450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5B1569C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c>
                <w:tcPr>
                  <w:tcW w:w="875" w:type="dxa"/>
                  <w:tcBorders>
                    <w:tl2br w:val="nil"/>
                    <w:tr2bl w:val="nil"/>
                  </w:tcBorders>
                  <w:shd w:val="clear" w:color="auto" w:fill="auto"/>
                  <w:vAlign w:val="center"/>
                </w:tcPr>
                <w:p w14:paraId="17F5A00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TN</w:t>
                  </w:r>
                </w:p>
              </w:tc>
              <w:tc>
                <w:tcPr>
                  <w:tcW w:w="820" w:type="dxa"/>
                  <w:tcBorders>
                    <w:tl2br w:val="nil"/>
                    <w:tr2bl w:val="nil"/>
                  </w:tcBorders>
                  <w:shd w:val="clear" w:color="auto" w:fill="auto"/>
                  <w:vAlign w:val="center"/>
                </w:tcPr>
                <w:p w14:paraId="6CADD81C">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35</w:t>
                  </w:r>
                </w:p>
              </w:tc>
              <w:tc>
                <w:tcPr>
                  <w:tcW w:w="694" w:type="dxa"/>
                  <w:tcBorders>
                    <w:tl2br w:val="nil"/>
                    <w:tr2bl w:val="nil"/>
                  </w:tcBorders>
                  <w:shd w:val="clear" w:color="auto" w:fill="auto"/>
                  <w:vAlign w:val="center"/>
                </w:tcPr>
                <w:p w14:paraId="2E9FEF72">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0.017</w:t>
                  </w:r>
                </w:p>
              </w:tc>
              <w:tc>
                <w:tcPr>
                  <w:tcW w:w="444" w:type="dxa"/>
                  <w:vMerge w:val="continue"/>
                  <w:tcBorders>
                    <w:tl2br w:val="nil"/>
                    <w:tr2bl w:val="nil"/>
                  </w:tcBorders>
                  <w:shd w:val="clear" w:color="auto" w:fill="auto"/>
                  <w:vAlign w:val="center"/>
                </w:tcPr>
                <w:p w14:paraId="54D8CE8C">
                  <w:pPr>
                    <w:pStyle w:val="21"/>
                    <w:keepNext w:val="0"/>
                    <w:keepLines w:val="0"/>
                    <w:suppressLineNumbers w:val="0"/>
                    <w:bidi w:val="0"/>
                    <w:spacing w:before="0" w:beforeAutospacing="0" w:after="0" w:afterAutospacing="0"/>
                    <w:ind w:left="0" w:right="0"/>
                    <w:rPr>
                      <w:rFonts w:hint="default"/>
                      <w:color w:val="auto"/>
                      <w:highlight w:val="none"/>
                      <w:lang w:val="en-US"/>
                    </w:rPr>
                  </w:pPr>
                </w:p>
              </w:tc>
              <w:tc>
                <w:tcPr>
                  <w:tcW w:w="486" w:type="dxa"/>
                  <w:tcBorders>
                    <w:tl2br w:val="nil"/>
                    <w:tr2bl w:val="nil"/>
                  </w:tcBorders>
                  <w:shd w:val="clear" w:color="auto" w:fill="auto"/>
                  <w:vAlign w:val="center"/>
                </w:tcPr>
                <w:p w14:paraId="7A241F95">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30</w:t>
                  </w:r>
                </w:p>
              </w:tc>
              <w:tc>
                <w:tcPr>
                  <w:tcW w:w="862" w:type="dxa"/>
                  <w:tcBorders>
                    <w:tl2br w:val="nil"/>
                    <w:tr2bl w:val="nil"/>
                  </w:tcBorders>
                  <w:shd w:val="clear" w:color="auto" w:fill="auto"/>
                  <w:vAlign w:val="center"/>
                </w:tcPr>
                <w:p w14:paraId="0093AC53">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TN</w:t>
                  </w:r>
                </w:p>
              </w:tc>
              <w:tc>
                <w:tcPr>
                  <w:tcW w:w="833" w:type="dxa"/>
                  <w:tcBorders>
                    <w:tl2br w:val="nil"/>
                    <w:tr2bl w:val="nil"/>
                  </w:tcBorders>
                  <w:shd w:val="clear" w:color="auto" w:fill="auto"/>
                  <w:vAlign w:val="center"/>
                </w:tcPr>
                <w:p w14:paraId="4285124A">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24.5</w:t>
                  </w:r>
                </w:p>
              </w:tc>
              <w:tc>
                <w:tcPr>
                  <w:tcW w:w="653" w:type="dxa"/>
                  <w:tcBorders>
                    <w:tl2br w:val="nil"/>
                    <w:tr2bl w:val="nil"/>
                  </w:tcBorders>
                  <w:shd w:val="clear" w:color="auto" w:fill="auto"/>
                  <w:vAlign w:val="center"/>
                </w:tcPr>
                <w:p w14:paraId="5117E094">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0.012</w:t>
                  </w:r>
                </w:p>
              </w:tc>
              <w:tc>
                <w:tcPr>
                  <w:tcW w:w="807" w:type="dxa"/>
                  <w:tcBorders>
                    <w:tl2br w:val="nil"/>
                    <w:tr2bl w:val="nil"/>
                  </w:tcBorders>
                  <w:shd w:val="clear" w:color="auto" w:fill="auto"/>
                  <w:vAlign w:val="center"/>
                </w:tcPr>
                <w:p w14:paraId="35A04E3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45</w:t>
                  </w:r>
                </w:p>
              </w:tc>
              <w:tc>
                <w:tcPr>
                  <w:tcW w:w="495" w:type="dxa"/>
                  <w:vMerge w:val="continue"/>
                  <w:tcBorders>
                    <w:tl2br w:val="nil"/>
                    <w:tr2bl w:val="nil"/>
                  </w:tcBorders>
                  <w:shd w:val="clear" w:color="auto" w:fill="auto"/>
                  <w:vAlign w:val="center"/>
                </w:tcPr>
                <w:p w14:paraId="3F85B9E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r>
            <w:tr w14:paraId="334C83E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79364DA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c>
                <w:tcPr>
                  <w:tcW w:w="875" w:type="dxa"/>
                  <w:tcBorders>
                    <w:tl2br w:val="nil"/>
                    <w:tr2bl w:val="nil"/>
                  </w:tcBorders>
                  <w:shd w:val="clear" w:color="auto" w:fill="auto"/>
                  <w:vAlign w:val="center"/>
                </w:tcPr>
                <w:p w14:paraId="7A59852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TP</w:t>
                  </w:r>
                </w:p>
              </w:tc>
              <w:tc>
                <w:tcPr>
                  <w:tcW w:w="820" w:type="dxa"/>
                  <w:tcBorders>
                    <w:tl2br w:val="nil"/>
                    <w:tr2bl w:val="nil"/>
                  </w:tcBorders>
                  <w:shd w:val="clear" w:color="auto" w:fill="auto"/>
                  <w:vAlign w:val="center"/>
                </w:tcPr>
                <w:p w14:paraId="6005D2FB">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5</w:t>
                  </w:r>
                </w:p>
              </w:tc>
              <w:tc>
                <w:tcPr>
                  <w:tcW w:w="694" w:type="dxa"/>
                  <w:tcBorders>
                    <w:tl2br w:val="nil"/>
                    <w:tr2bl w:val="nil"/>
                  </w:tcBorders>
                  <w:shd w:val="clear" w:color="auto" w:fill="auto"/>
                  <w:vAlign w:val="center"/>
                </w:tcPr>
                <w:p w14:paraId="7E435D4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0.002</w:t>
                  </w:r>
                </w:p>
              </w:tc>
              <w:tc>
                <w:tcPr>
                  <w:tcW w:w="444" w:type="dxa"/>
                  <w:vMerge w:val="continue"/>
                  <w:tcBorders>
                    <w:tl2br w:val="nil"/>
                    <w:tr2bl w:val="nil"/>
                  </w:tcBorders>
                  <w:shd w:val="clear" w:color="auto" w:fill="auto"/>
                  <w:vAlign w:val="center"/>
                </w:tcPr>
                <w:p w14:paraId="7C29869C">
                  <w:pPr>
                    <w:pStyle w:val="21"/>
                    <w:keepNext w:val="0"/>
                    <w:keepLines w:val="0"/>
                    <w:suppressLineNumbers w:val="0"/>
                    <w:bidi w:val="0"/>
                    <w:spacing w:before="0" w:beforeAutospacing="0" w:after="0" w:afterAutospacing="0"/>
                    <w:ind w:left="0" w:right="0"/>
                    <w:rPr>
                      <w:rFonts w:hint="default"/>
                      <w:color w:val="auto"/>
                      <w:highlight w:val="none"/>
                      <w:lang w:val="en-US"/>
                    </w:rPr>
                  </w:pPr>
                </w:p>
              </w:tc>
              <w:tc>
                <w:tcPr>
                  <w:tcW w:w="486" w:type="dxa"/>
                  <w:tcBorders>
                    <w:tl2br w:val="nil"/>
                    <w:tr2bl w:val="nil"/>
                  </w:tcBorders>
                  <w:shd w:val="clear" w:color="auto" w:fill="auto"/>
                  <w:vAlign w:val="center"/>
                </w:tcPr>
                <w:p w14:paraId="215B22FA">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84</w:t>
                  </w:r>
                </w:p>
              </w:tc>
              <w:tc>
                <w:tcPr>
                  <w:tcW w:w="862" w:type="dxa"/>
                  <w:tcBorders>
                    <w:tl2br w:val="nil"/>
                    <w:tr2bl w:val="nil"/>
                  </w:tcBorders>
                  <w:shd w:val="clear" w:color="auto" w:fill="auto"/>
                  <w:vAlign w:val="center"/>
                </w:tcPr>
                <w:p w14:paraId="12E1F140">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TP</w:t>
                  </w:r>
                </w:p>
              </w:tc>
              <w:tc>
                <w:tcPr>
                  <w:tcW w:w="833" w:type="dxa"/>
                  <w:tcBorders>
                    <w:tl2br w:val="nil"/>
                    <w:tr2bl w:val="nil"/>
                  </w:tcBorders>
                  <w:shd w:val="clear" w:color="auto" w:fill="auto"/>
                  <w:vAlign w:val="center"/>
                </w:tcPr>
                <w:p w14:paraId="477CD25A">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0.80</w:t>
                  </w:r>
                </w:p>
              </w:tc>
              <w:tc>
                <w:tcPr>
                  <w:tcW w:w="653" w:type="dxa"/>
                  <w:tcBorders>
                    <w:tl2br w:val="nil"/>
                    <w:tr2bl w:val="nil"/>
                  </w:tcBorders>
                  <w:shd w:val="clear" w:color="auto" w:fill="auto"/>
                  <w:vAlign w:val="center"/>
                </w:tcPr>
                <w:p w14:paraId="4C6E3F43">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0.000</w:t>
                  </w:r>
                </w:p>
              </w:tc>
              <w:tc>
                <w:tcPr>
                  <w:tcW w:w="807" w:type="dxa"/>
                  <w:tcBorders>
                    <w:tl2br w:val="nil"/>
                    <w:tr2bl w:val="nil"/>
                  </w:tcBorders>
                  <w:shd w:val="clear" w:color="auto" w:fill="auto"/>
                  <w:vAlign w:val="center"/>
                </w:tcPr>
                <w:p w14:paraId="7D4E6A8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w:t>
                  </w:r>
                </w:p>
              </w:tc>
              <w:tc>
                <w:tcPr>
                  <w:tcW w:w="495" w:type="dxa"/>
                  <w:vMerge w:val="continue"/>
                  <w:tcBorders>
                    <w:tl2br w:val="nil"/>
                    <w:tr2bl w:val="nil"/>
                  </w:tcBorders>
                  <w:shd w:val="clear" w:color="auto" w:fill="auto"/>
                  <w:vAlign w:val="center"/>
                </w:tcPr>
                <w:p w14:paraId="4D0589E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r>
            <w:tr w14:paraId="05B0E3A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71364A1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c>
                <w:tcPr>
                  <w:tcW w:w="875" w:type="dxa"/>
                  <w:tcBorders>
                    <w:tl2br w:val="nil"/>
                    <w:tr2bl w:val="nil"/>
                  </w:tcBorders>
                  <w:shd w:val="clear" w:color="auto" w:fill="auto"/>
                  <w:vAlign w:val="center"/>
                </w:tcPr>
                <w:p w14:paraId="74F2522B">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动植物油</w:t>
                  </w:r>
                </w:p>
              </w:tc>
              <w:tc>
                <w:tcPr>
                  <w:tcW w:w="820" w:type="dxa"/>
                  <w:tcBorders>
                    <w:tl2br w:val="nil"/>
                    <w:tr2bl w:val="nil"/>
                  </w:tcBorders>
                  <w:shd w:val="clear" w:color="auto" w:fill="auto"/>
                  <w:vAlign w:val="center"/>
                </w:tcPr>
                <w:p w14:paraId="61DF99E0">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160</w:t>
                  </w:r>
                </w:p>
              </w:tc>
              <w:tc>
                <w:tcPr>
                  <w:tcW w:w="694" w:type="dxa"/>
                  <w:tcBorders>
                    <w:tl2br w:val="nil"/>
                    <w:tr2bl w:val="nil"/>
                  </w:tcBorders>
                  <w:shd w:val="clear" w:color="auto" w:fill="auto"/>
                  <w:vAlign w:val="center"/>
                </w:tcPr>
                <w:p w14:paraId="03D35FC7">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0.077</w:t>
                  </w:r>
                </w:p>
              </w:tc>
              <w:tc>
                <w:tcPr>
                  <w:tcW w:w="444" w:type="dxa"/>
                  <w:vMerge w:val="continue"/>
                  <w:tcBorders>
                    <w:tl2br w:val="nil"/>
                    <w:tr2bl w:val="nil"/>
                  </w:tcBorders>
                  <w:shd w:val="clear" w:color="auto" w:fill="auto"/>
                  <w:vAlign w:val="center"/>
                </w:tcPr>
                <w:p w14:paraId="3096F708">
                  <w:pPr>
                    <w:pStyle w:val="21"/>
                    <w:keepNext w:val="0"/>
                    <w:keepLines w:val="0"/>
                    <w:suppressLineNumbers w:val="0"/>
                    <w:bidi w:val="0"/>
                    <w:spacing w:before="0" w:beforeAutospacing="0" w:after="0" w:afterAutospacing="0"/>
                    <w:ind w:left="0" w:right="0"/>
                    <w:rPr>
                      <w:rFonts w:hint="default"/>
                      <w:color w:val="auto"/>
                      <w:highlight w:val="none"/>
                      <w:lang w:val="en-US"/>
                    </w:rPr>
                  </w:pPr>
                </w:p>
              </w:tc>
              <w:tc>
                <w:tcPr>
                  <w:tcW w:w="486" w:type="dxa"/>
                  <w:tcBorders>
                    <w:tl2br w:val="nil"/>
                    <w:tr2bl w:val="nil"/>
                  </w:tcBorders>
                  <w:shd w:val="clear" w:color="auto" w:fill="auto"/>
                  <w:vAlign w:val="center"/>
                </w:tcPr>
                <w:p w14:paraId="5C6B844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90</w:t>
                  </w:r>
                </w:p>
              </w:tc>
              <w:tc>
                <w:tcPr>
                  <w:tcW w:w="862" w:type="dxa"/>
                  <w:tcBorders>
                    <w:tl2br w:val="nil"/>
                    <w:tr2bl w:val="nil"/>
                  </w:tcBorders>
                  <w:shd w:val="clear" w:color="auto" w:fill="auto"/>
                  <w:vAlign w:val="center"/>
                </w:tcPr>
                <w:p w14:paraId="5DF231C2">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动植物油</w:t>
                  </w:r>
                </w:p>
              </w:tc>
              <w:tc>
                <w:tcPr>
                  <w:tcW w:w="833" w:type="dxa"/>
                  <w:tcBorders>
                    <w:tl2br w:val="nil"/>
                    <w:tr2bl w:val="nil"/>
                  </w:tcBorders>
                  <w:shd w:val="clear" w:color="auto" w:fill="auto"/>
                  <w:vAlign w:val="center"/>
                </w:tcPr>
                <w:p w14:paraId="77A66375">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16.00</w:t>
                  </w:r>
                </w:p>
              </w:tc>
              <w:tc>
                <w:tcPr>
                  <w:tcW w:w="653" w:type="dxa"/>
                  <w:tcBorders>
                    <w:tl2br w:val="nil"/>
                    <w:tr2bl w:val="nil"/>
                  </w:tcBorders>
                  <w:shd w:val="clear" w:color="auto" w:fill="auto"/>
                  <w:vAlign w:val="center"/>
                </w:tcPr>
                <w:p w14:paraId="6AD5580B">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0.008</w:t>
                  </w:r>
                </w:p>
              </w:tc>
              <w:tc>
                <w:tcPr>
                  <w:tcW w:w="807" w:type="dxa"/>
                  <w:tcBorders>
                    <w:tl2br w:val="nil"/>
                    <w:tr2bl w:val="nil"/>
                  </w:tcBorders>
                  <w:shd w:val="clear" w:color="auto" w:fill="auto"/>
                  <w:vAlign w:val="center"/>
                </w:tcPr>
                <w:p w14:paraId="4C7471C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20</w:t>
                  </w:r>
                </w:p>
              </w:tc>
              <w:tc>
                <w:tcPr>
                  <w:tcW w:w="495" w:type="dxa"/>
                  <w:vMerge w:val="continue"/>
                  <w:tcBorders>
                    <w:tl2br w:val="nil"/>
                    <w:tr2bl w:val="nil"/>
                  </w:tcBorders>
                  <w:shd w:val="clear" w:color="auto" w:fill="auto"/>
                  <w:vAlign w:val="center"/>
                </w:tcPr>
                <w:p w14:paraId="2DB857F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r>
            <w:tr w14:paraId="3AC4701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restart"/>
                  <w:tcBorders>
                    <w:tl2br w:val="nil"/>
                    <w:tr2bl w:val="nil"/>
                  </w:tcBorders>
                  <w:shd w:val="clear" w:color="auto" w:fill="auto"/>
                  <w:vAlign w:val="center"/>
                </w:tcPr>
                <w:p w14:paraId="5CA0ED0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设备清洗和地面冲洗废水27446</w:t>
                  </w:r>
                  <w:r>
                    <w:rPr>
                      <w:rFonts w:hint="eastAsia" w:ascii="Times New Roman" w:hAnsi="Times New Roman" w:eastAsia="宋体"/>
                      <w:color w:val="auto"/>
                      <w:highlight w:val="none"/>
                      <w:lang w:val="en-US" w:eastAsia="zh-CN"/>
                    </w:rPr>
                    <w:t>t/a</w:t>
                  </w:r>
                </w:p>
              </w:tc>
              <w:tc>
                <w:tcPr>
                  <w:tcW w:w="875" w:type="dxa"/>
                  <w:tcBorders>
                    <w:tl2br w:val="nil"/>
                    <w:tr2bl w:val="nil"/>
                  </w:tcBorders>
                  <w:shd w:val="clear" w:color="auto" w:fill="auto"/>
                  <w:vAlign w:val="center"/>
                </w:tcPr>
                <w:p w14:paraId="24B3366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COD</w:t>
                  </w:r>
                </w:p>
              </w:tc>
              <w:tc>
                <w:tcPr>
                  <w:tcW w:w="820" w:type="dxa"/>
                  <w:tcBorders>
                    <w:tl2br w:val="nil"/>
                    <w:tr2bl w:val="nil"/>
                  </w:tcBorders>
                  <w:shd w:val="clear" w:color="auto" w:fill="auto"/>
                  <w:vAlign w:val="center"/>
                </w:tcPr>
                <w:p w14:paraId="0A3B2B72">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1000</w:t>
                  </w:r>
                </w:p>
              </w:tc>
              <w:tc>
                <w:tcPr>
                  <w:tcW w:w="694" w:type="dxa"/>
                  <w:tcBorders>
                    <w:tl2br w:val="nil"/>
                    <w:tr2bl w:val="nil"/>
                  </w:tcBorders>
                  <w:shd w:val="clear" w:color="auto" w:fill="auto"/>
                  <w:vAlign w:val="center"/>
                </w:tcPr>
                <w:p w14:paraId="1AFE6AF7">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27.446</w:t>
                  </w:r>
                </w:p>
              </w:tc>
              <w:tc>
                <w:tcPr>
                  <w:tcW w:w="444" w:type="dxa"/>
                  <w:vMerge w:val="continue"/>
                  <w:tcBorders>
                    <w:tl2br w:val="nil"/>
                    <w:tr2bl w:val="nil"/>
                  </w:tcBorders>
                  <w:shd w:val="clear" w:color="auto" w:fill="auto"/>
                  <w:vAlign w:val="center"/>
                </w:tcPr>
                <w:p w14:paraId="2D5A4233">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486" w:type="dxa"/>
                  <w:tcBorders>
                    <w:tl2br w:val="nil"/>
                    <w:tr2bl w:val="nil"/>
                  </w:tcBorders>
                  <w:shd w:val="clear" w:color="auto" w:fill="auto"/>
                  <w:vAlign w:val="center"/>
                </w:tcPr>
                <w:p w14:paraId="7AAA686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75</w:t>
                  </w:r>
                </w:p>
              </w:tc>
              <w:tc>
                <w:tcPr>
                  <w:tcW w:w="862" w:type="dxa"/>
                  <w:tcBorders>
                    <w:tl2br w:val="nil"/>
                    <w:tr2bl w:val="nil"/>
                  </w:tcBorders>
                  <w:shd w:val="clear" w:color="auto" w:fill="auto"/>
                  <w:vAlign w:val="center"/>
                </w:tcPr>
                <w:p w14:paraId="76743B5D">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COD</w:t>
                  </w:r>
                </w:p>
              </w:tc>
              <w:tc>
                <w:tcPr>
                  <w:tcW w:w="833" w:type="dxa"/>
                  <w:tcBorders>
                    <w:tl2br w:val="nil"/>
                    <w:tr2bl w:val="nil"/>
                  </w:tcBorders>
                  <w:shd w:val="clear" w:color="auto" w:fill="auto"/>
                  <w:vAlign w:val="center"/>
                </w:tcPr>
                <w:p w14:paraId="64165A0A">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250</w:t>
                  </w:r>
                </w:p>
              </w:tc>
              <w:tc>
                <w:tcPr>
                  <w:tcW w:w="653" w:type="dxa"/>
                  <w:tcBorders>
                    <w:tl2br w:val="nil"/>
                    <w:tr2bl w:val="nil"/>
                  </w:tcBorders>
                  <w:shd w:val="clear" w:color="auto" w:fill="auto"/>
                  <w:vAlign w:val="center"/>
                </w:tcPr>
                <w:p w14:paraId="48892A31">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6.862</w:t>
                  </w:r>
                </w:p>
              </w:tc>
              <w:tc>
                <w:tcPr>
                  <w:tcW w:w="807" w:type="dxa"/>
                  <w:tcBorders>
                    <w:tl2br w:val="nil"/>
                    <w:tr2bl w:val="nil"/>
                  </w:tcBorders>
                  <w:shd w:val="clear" w:color="auto" w:fill="auto"/>
                  <w:vAlign w:val="center"/>
                </w:tcPr>
                <w:p w14:paraId="51247D9B">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350</w:t>
                  </w:r>
                </w:p>
              </w:tc>
              <w:tc>
                <w:tcPr>
                  <w:tcW w:w="495" w:type="dxa"/>
                  <w:vMerge w:val="continue"/>
                  <w:tcBorders>
                    <w:tl2br w:val="nil"/>
                    <w:tr2bl w:val="nil"/>
                  </w:tcBorders>
                  <w:shd w:val="clear" w:color="auto" w:fill="auto"/>
                  <w:vAlign w:val="center"/>
                </w:tcPr>
                <w:p w14:paraId="7FF37B0C">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r>
            <w:tr w14:paraId="1D6EBEB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1C31F414">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875" w:type="dxa"/>
                  <w:tcBorders>
                    <w:tl2br w:val="nil"/>
                    <w:tr2bl w:val="nil"/>
                  </w:tcBorders>
                  <w:shd w:val="clear" w:color="auto" w:fill="auto"/>
                  <w:vAlign w:val="center"/>
                </w:tcPr>
                <w:p w14:paraId="4274DD9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BOD</w:t>
                  </w:r>
                  <w:r>
                    <w:rPr>
                      <w:rFonts w:hint="default"/>
                      <w:color w:val="auto"/>
                      <w:vertAlign w:val="subscript"/>
                      <w:lang w:val="en-US" w:eastAsia="zh-CN"/>
                    </w:rPr>
                    <w:t>5</w:t>
                  </w:r>
                </w:p>
              </w:tc>
              <w:tc>
                <w:tcPr>
                  <w:tcW w:w="820" w:type="dxa"/>
                  <w:tcBorders>
                    <w:tl2br w:val="nil"/>
                    <w:tr2bl w:val="nil"/>
                  </w:tcBorders>
                  <w:shd w:val="clear" w:color="auto" w:fill="auto"/>
                  <w:vAlign w:val="center"/>
                </w:tcPr>
                <w:p w14:paraId="200FF38C">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600</w:t>
                  </w:r>
                </w:p>
              </w:tc>
              <w:tc>
                <w:tcPr>
                  <w:tcW w:w="694" w:type="dxa"/>
                  <w:tcBorders>
                    <w:tl2br w:val="nil"/>
                    <w:tr2bl w:val="nil"/>
                  </w:tcBorders>
                  <w:shd w:val="clear" w:color="auto" w:fill="auto"/>
                  <w:vAlign w:val="center"/>
                </w:tcPr>
                <w:p w14:paraId="59EF84AC">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16.468</w:t>
                  </w:r>
                </w:p>
              </w:tc>
              <w:tc>
                <w:tcPr>
                  <w:tcW w:w="444" w:type="dxa"/>
                  <w:vMerge w:val="continue"/>
                  <w:tcBorders>
                    <w:tl2br w:val="nil"/>
                    <w:tr2bl w:val="nil"/>
                  </w:tcBorders>
                  <w:shd w:val="clear" w:color="auto" w:fill="auto"/>
                  <w:vAlign w:val="center"/>
                </w:tcPr>
                <w:p w14:paraId="03EED7BE">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486" w:type="dxa"/>
                  <w:tcBorders>
                    <w:tl2br w:val="nil"/>
                    <w:tr2bl w:val="nil"/>
                  </w:tcBorders>
                  <w:shd w:val="clear" w:color="auto" w:fill="auto"/>
                  <w:vAlign w:val="center"/>
                </w:tcPr>
                <w:p w14:paraId="3508517C">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70</w:t>
                  </w:r>
                </w:p>
              </w:tc>
              <w:tc>
                <w:tcPr>
                  <w:tcW w:w="862" w:type="dxa"/>
                  <w:tcBorders>
                    <w:tl2br w:val="nil"/>
                    <w:tr2bl w:val="nil"/>
                  </w:tcBorders>
                  <w:shd w:val="clear" w:color="auto" w:fill="auto"/>
                  <w:vAlign w:val="center"/>
                </w:tcPr>
                <w:p w14:paraId="67061C0F">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BOD</w:t>
                  </w:r>
                  <w:r>
                    <w:rPr>
                      <w:rFonts w:hint="default"/>
                      <w:color w:val="auto"/>
                      <w:vertAlign w:val="subscript"/>
                      <w:lang w:val="en-US" w:eastAsia="zh-CN"/>
                    </w:rPr>
                    <w:t>5</w:t>
                  </w:r>
                </w:p>
              </w:tc>
              <w:tc>
                <w:tcPr>
                  <w:tcW w:w="833" w:type="dxa"/>
                  <w:tcBorders>
                    <w:tl2br w:val="nil"/>
                    <w:tr2bl w:val="nil"/>
                  </w:tcBorders>
                  <w:shd w:val="clear" w:color="auto" w:fill="auto"/>
                  <w:vAlign w:val="center"/>
                </w:tcPr>
                <w:p w14:paraId="3314F6F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180</w:t>
                  </w:r>
                </w:p>
              </w:tc>
              <w:tc>
                <w:tcPr>
                  <w:tcW w:w="653" w:type="dxa"/>
                  <w:tcBorders>
                    <w:tl2br w:val="nil"/>
                    <w:tr2bl w:val="nil"/>
                  </w:tcBorders>
                  <w:shd w:val="clear" w:color="auto" w:fill="auto"/>
                  <w:vAlign w:val="center"/>
                </w:tcPr>
                <w:p w14:paraId="61D758AF">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4.940</w:t>
                  </w:r>
                </w:p>
              </w:tc>
              <w:tc>
                <w:tcPr>
                  <w:tcW w:w="807" w:type="dxa"/>
                  <w:tcBorders>
                    <w:tl2br w:val="nil"/>
                    <w:tr2bl w:val="nil"/>
                  </w:tcBorders>
                  <w:shd w:val="clear" w:color="auto" w:fill="auto"/>
                  <w:vAlign w:val="center"/>
                </w:tcPr>
                <w:p w14:paraId="03F0C10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300</w:t>
                  </w:r>
                </w:p>
              </w:tc>
              <w:tc>
                <w:tcPr>
                  <w:tcW w:w="495" w:type="dxa"/>
                  <w:vMerge w:val="continue"/>
                  <w:tcBorders>
                    <w:tl2br w:val="nil"/>
                    <w:tr2bl w:val="nil"/>
                  </w:tcBorders>
                  <w:shd w:val="clear" w:color="auto" w:fill="auto"/>
                  <w:vAlign w:val="center"/>
                </w:tcPr>
                <w:p w14:paraId="0BCE0A12">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r>
            <w:tr w14:paraId="3C9309E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54C53BF1">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875" w:type="dxa"/>
                  <w:tcBorders>
                    <w:tl2br w:val="nil"/>
                    <w:tr2bl w:val="nil"/>
                  </w:tcBorders>
                  <w:shd w:val="clear" w:color="auto" w:fill="auto"/>
                  <w:vAlign w:val="center"/>
                </w:tcPr>
                <w:p w14:paraId="0F07A21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SS</w:t>
                  </w:r>
                </w:p>
              </w:tc>
              <w:tc>
                <w:tcPr>
                  <w:tcW w:w="820" w:type="dxa"/>
                  <w:tcBorders>
                    <w:tl2br w:val="nil"/>
                    <w:tr2bl w:val="nil"/>
                  </w:tcBorders>
                  <w:shd w:val="clear" w:color="auto" w:fill="auto"/>
                  <w:vAlign w:val="center"/>
                </w:tcPr>
                <w:p w14:paraId="575B6D3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600</w:t>
                  </w:r>
                </w:p>
              </w:tc>
              <w:tc>
                <w:tcPr>
                  <w:tcW w:w="694" w:type="dxa"/>
                  <w:tcBorders>
                    <w:tl2br w:val="nil"/>
                    <w:tr2bl w:val="nil"/>
                  </w:tcBorders>
                  <w:shd w:val="clear" w:color="auto" w:fill="auto"/>
                  <w:vAlign w:val="center"/>
                </w:tcPr>
                <w:p w14:paraId="64BF525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16.468</w:t>
                  </w:r>
                </w:p>
              </w:tc>
              <w:tc>
                <w:tcPr>
                  <w:tcW w:w="444" w:type="dxa"/>
                  <w:vMerge w:val="continue"/>
                  <w:tcBorders>
                    <w:tl2br w:val="nil"/>
                    <w:tr2bl w:val="nil"/>
                  </w:tcBorders>
                  <w:shd w:val="clear" w:color="auto" w:fill="auto"/>
                  <w:vAlign w:val="center"/>
                </w:tcPr>
                <w:p w14:paraId="4B16A351">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486" w:type="dxa"/>
                  <w:tcBorders>
                    <w:tl2br w:val="nil"/>
                    <w:tr2bl w:val="nil"/>
                  </w:tcBorders>
                  <w:shd w:val="clear" w:color="auto" w:fill="auto"/>
                  <w:vAlign w:val="center"/>
                </w:tcPr>
                <w:p w14:paraId="4688B4BB">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44</w:t>
                  </w:r>
                </w:p>
              </w:tc>
              <w:tc>
                <w:tcPr>
                  <w:tcW w:w="862" w:type="dxa"/>
                  <w:tcBorders>
                    <w:tl2br w:val="nil"/>
                    <w:tr2bl w:val="nil"/>
                  </w:tcBorders>
                  <w:shd w:val="clear" w:color="auto" w:fill="auto"/>
                  <w:vAlign w:val="center"/>
                </w:tcPr>
                <w:p w14:paraId="05C43B01">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SS</w:t>
                  </w:r>
                </w:p>
              </w:tc>
              <w:tc>
                <w:tcPr>
                  <w:tcW w:w="833" w:type="dxa"/>
                  <w:tcBorders>
                    <w:tl2br w:val="nil"/>
                    <w:tr2bl w:val="nil"/>
                  </w:tcBorders>
                  <w:shd w:val="clear" w:color="auto" w:fill="auto"/>
                  <w:vAlign w:val="center"/>
                </w:tcPr>
                <w:p w14:paraId="18D79E69">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336.0</w:t>
                  </w:r>
                </w:p>
              </w:tc>
              <w:tc>
                <w:tcPr>
                  <w:tcW w:w="653" w:type="dxa"/>
                  <w:tcBorders>
                    <w:tl2br w:val="nil"/>
                    <w:tr2bl w:val="nil"/>
                  </w:tcBorders>
                  <w:shd w:val="clear" w:color="auto" w:fill="auto"/>
                  <w:vAlign w:val="center"/>
                </w:tcPr>
                <w:p w14:paraId="0784B432">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9.222</w:t>
                  </w:r>
                </w:p>
              </w:tc>
              <w:tc>
                <w:tcPr>
                  <w:tcW w:w="807" w:type="dxa"/>
                  <w:tcBorders>
                    <w:tl2br w:val="nil"/>
                    <w:tr2bl w:val="nil"/>
                  </w:tcBorders>
                  <w:shd w:val="clear" w:color="auto" w:fill="auto"/>
                  <w:vAlign w:val="center"/>
                </w:tcPr>
                <w:p w14:paraId="456F2361">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250</w:t>
                  </w:r>
                </w:p>
              </w:tc>
              <w:tc>
                <w:tcPr>
                  <w:tcW w:w="495" w:type="dxa"/>
                  <w:vMerge w:val="continue"/>
                  <w:tcBorders>
                    <w:tl2br w:val="nil"/>
                    <w:tr2bl w:val="nil"/>
                  </w:tcBorders>
                  <w:shd w:val="clear" w:color="auto" w:fill="auto"/>
                  <w:vAlign w:val="center"/>
                </w:tcPr>
                <w:p w14:paraId="4DEDD5B7">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r>
            <w:tr w14:paraId="08DD36F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5BB15713">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875" w:type="dxa"/>
                  <w:tcBorders>
                    <w:tl2br w:val="nil"/>
                    <w:tr2bl w:val="nil"/>
                  </w:tcBorders>
                  <w:shd w:val="clear" w:color="auto" w:fill="auto"/>
                  <w:vAlign w:val="center"/>
                </w:tcPr>
                <w:p w14:paraId="023492BF">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氨氮</w:t>
                  </w:r>
                </w:p>
              </w:tc>
              <w:tc>
                <w:tcPr>
                  <w:tcW w:w="820" w:type="dxa"/>
                  <w:tcBorders>
                    <w:tl2br w:val="nil"/>
                    <w:tr2bl w:val="nil"/>
                  </w:tcBorders>
                  <w:shd w:val="clear" w:color="auto" w:fill="auto"/>
                  <w:vAlign w:val="center"/>
                </w:tcPr>
                <w:p w14:paraId="47F9F24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45</w:t>
                  </w:r>
                </w:p>
              </w:tc>
              <w:tc>
                <w:tcPr>
                  <w:tcW w:w="694" w:type="dxa"/>
                  <w:tcBorders>
                    <w:tl2br w:val="nil"/>
                    <w:tr2bl w:val="nil"/>
                  </w:tcBorders>
                  <w:shd w:val="clear" w:color="auto" w:fill="auto"/>
                  <w:vAlign w:val="center"/>
                </w:tcPr>
                <w:p w14:paraId="786FD270">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1.235</w:t>
                  </w:r>
                </w:p>
              </w:tc>
              <w:tc>
                <w:tcPr>
                  <w:tcW w:w="444" w:type="dxa"/>
                  <w:vMerge w:val="continue"/>
                  <w:tcBorders>
                    <w:tl2br w:val="nil"/>
                    <w:tr2bl w:val="nil"/>
                  </w:tcBorders>
                  <w:shd w:val="clear" w:color="auto" w:fill="auto"/>
                  <w:vAlign w:val="center"/>
                </w:tcPr>
                <w:p w14:paraId="3FCC828F">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486" w:type="dxa"/>
                  <w:tcBorders>
                    <w:tl2br w:val="nil"/>
                    <w:tr2bl w:val="nil"/>
                  </w:tcBorders>
                  <w:shd w:val="clear" w:color="auto" w:fill="auto"/>
                  <w:vAlign w:val="center"/>
                </w:tcPr>
                <w:p w14:paraId="2590FD3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30</w:t>
                  </w:r>
                </w:p>
              </w:tc>
              <w:tc>
                <w:tcPr>
                  <w:tcW w:w="862" w:type="dxa"/>
                  <w:tcBorders>
                    <w:tl2br w:val="nil"/>
                    <w:tr2bl w:val="nil"/>
                  </w:tcBorders>
                  <w:shd w:val="clear" w:color="auto" w:fill="auto"/>
                  <w:vAlign w:val="center"/>
                </w:tcPr>
                <w:p w14:paraId="6A863C8F">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氨氮</w:t>
                  </w:r>
                </w:p>
              </w:tc>
              <w:tc>
                <w:tcPr>
                  <w:tcW w:w="833" w:type="dxa"/>
                  <w:tcBorders>
                    <w:tl2br w:val="nil"/>
                    <w:tr2bl w:val="nil"/>
                  </w:tcBorders>
                  <w:shd w:val="clear" w:color="auto" w:fill="auto"/>
                  <w:vAlign w:val="center"/>
                </w:tcPr>
                <w:p w14:paraId="3FBC1887">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31.5</w:t>
                  </w:r>
                </w:p>
              </w:tc>
              <w:tc>
                <w:tcPr>
                  <w:tcW w:w="653" w:type="dxa"/>
                  <w:tcBorders>
                    <w:tl2br w:val="nil"/>
                    <w:tr2bl w:val="nil"/>
                  </w:tcBorders>
                  <w:shd w:val="clear" w:color="auto" w:fill="auto"/>
                  <w:vAlign w:val="center"/>
                </w:tcPr>
                <w:p w14:paraId="06BD208F">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0.865</w:t>
                  </w:r>
                </w:p>
              </w:tc>
              <w:tc>
                <w:tcPr>
                  <w:tcW w:w="807" w:type="dxa"/>
                  <w:tcBorders>
                    <w:tl2br w:val="nil"/>
                    <w:tr2bl w:val="nil"/>
                  </w:tcBorders>
                  <w:shd w:val="clear" w:color="auto" w:fill="auto"/>
                  <w:vAlign w:val="center"/>
                </w:tcPr>
                <w:p w14:paraId="7D93FF2D">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35</w:t>
                  </w:r>
                </w:p>
              </w:tc>
              <w:tc>
                <w:tcPr>
                  <w:tcW w:w="495" w:type="dxa"/>
                  <w:vMerge w:val="continue"/>
                  <w:tcBorders>
                    <w:tl2br w:val="nil"/>
                    <w:tr2bl w:val="nil"/>
                  </w:tcBorders>
                  <w:shd w:val="clear" w:color="auto" w:fill="auto"/>
                  <w:vAlign w:val="center"/>
                </w:tcPr>
                <w:p w14:paraId="07C61501">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r>
            <w:tr w14:paraId="27C7844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03C4A483">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875" w:type="dxa"/>
                  <w:tcBorders>
                    <w:tl2br w:val="nil"/>
                    <w:tr2bl w:val="nil"/>
                  </w:tcBorders>
                  <w:shd w:val="clear" w:color="auto" w:fill="auto"/>
                  <w:vAlign w:val="center"/>
                </w:tcPr>
                <w:p w14:paraId="2CF53C8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TN</w:t>
                  </w:r>
                </w:p>
              </w:tc>
              <w:tc>
                <w:tcPr>
                  <w:tcW w:w="820" w:type="dxa"/>
                  <w:tcBorders>
                    <w:tl2br w:val="nil"/>
                    <w:tr2bl w:val="nil"/>
                  </w:tcBorders>
                  <w:shd w:val="clear" w:color="auto" w:fill="auto"/>
                  <w:vAlign w:val="center"/>
                </w:tcPr>
                <w:p w14:paraId="4C7A144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60</w:t>
                  </w:r>
                </w:p>
              </w:tc>
              <w:tc>
                <w:tcPr>
                  <w:tcW w:w="694" w:type="dxa"/>
                  <w:tcBorders>
                    <w:tl2br w:val="nil"/>
                    <w:tr2bl w:val="nil"/>
                  </w:tcBorders>
                  <w:shd w:val="clear" w:color="auto" w:fill="auto"/>
                  <w:vAlign w:val="center"/>
                </w:tcPr>
                <w:p w14:paraId="5556711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1.647</w:t>
                  </w:r>
                </w:p>
              </w:tc>
              <w:tc>
                <w:tcPr>
                  <w:tcW w:w="444" w:type="dxa"/>
                  <w:vMerge w:val="continue"/>
                  <w:tcBorders>
                    <w:tl2br w:val="nil"/>
                    <w:tr2bl w:val="nil"/>
                  </w:tcBorders>
                  <w:shd w:val="clear" w:color="auto" w:fill="auto"/>
                  <w:vAlign w:val="center"/>
                </w:tcPr>
                <w:p w14:paraId="258D470F">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486" w:type="dxa"/>
                  <w:tcBorders>
                    <w:tl2br w:val="nil"/>
                    <w:tr2bl w:val="nil"/>
                  </w:tcBorders>
                  <w:shd w:val="clear" w:color="auto" w:fill="auto"/>
                  <w:vAlign w:val="center"/>
                </w:tcPr>
                <w:p w14:paraId="30E3CF4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30</w:t>
                  </w:r>
                </w:p>
              </w:tc>
              <w:tc>
                <w:tcPr>
                  <w:tcW w:w="862" w:type="dxa"/>
                  <w:tcBorders>
                    <w:tl2br w:val="nil"/>
                    <w:tr2bl w:val="nil"/>
                  </w:tcBorders>
                  <w:shd w:val="clear" w:color="auto" w:fill="auto"/>
                  <w:vAlign w:val="center"/>
                </w:tcPr>
                <w:p w14:paraId="3B41F827">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TN</w:t>
                  </w:r>
                </w:p>
              </w:tc>
              <w:tc>
                <w:tcPr>
                  <w:tcW w:w="833" w:type="dxa"/>
                  <w:tcBorders>
                    <w:tl2br w:val="nil"/>
                    <w:tr2bl w:val="nil"/>
                  </w:tcBorders>
                  <w:shd w:val="clear" w:color="auto" w:fill="auto"/>
                  <w:vAlign w:val="center"/>
                </w:tcPr>
                <w:p w14:paraId="4A1650FD">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42.0</w:t>
                  </w:r>
                </w:p>
              </w:tc>
              <w:tc>
                <w:tcPr>
                  <w:tcW w:w="653" w:type="dxa"/>
                  <w:tcBorders>
                    <w:tl2br w:val="nil"/>
                    <w:tr2bl w:val="nil"/>
                  </w:tcBorders>
                  <w:shd w:val="clear" w:color="auto" w:fill="auto"/>
                  <w:vAlign w:val="center"/>
                </w:tcPr>
                <w:p w14:paraId="59E0208E">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1.153</w:t>
                  </w:r>
                </w:p>
              </w:tc>
              <w:tc>
                <w:tcPr>
                  <w:tcW w:w="807" w:type="dxa"/>
                  <w:tcBorders>
                    <w:tl2br w:val="nil"/>
                    <w:tr2bl w:val="nil"/>
                  </w:tcBorders>
                  <w:shd w:val="clear" w:color="auto" w:fill="auto"/>
                  <w:vAlign w:val="center"/>
                </w:tcPr>
                <w:p w14:paraId="0196A6EF">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45</w:t>
                  </w:r>
                </w:p>
              </w:tc>
              <w:tc>
                <w:tcPr>
                  <w:tcW w:w="495" w:type="dxa"/>
                  <w:vMerge w:val="continue"/>
                  <w:tcBorders>
                    <w:tl2br w:val="nil"/>
                    <w:tr2bl w:val="nil"/>
                  </w:tcBorders>
                  <w:shd w:val="clear" w:color="auto" w:fill="auto"/>
                  <w:vAlign w:val="center"/>
                </w:tcPr>
                <w:p w14:paraId="69C7C098">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r>
            <w:tr w14:paraId="46EC6ED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6219BC5B">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875" w:type="dxa"/>
                  <w:tcBorders>
                    <w:tl2br w:val="nil"/>
                    <w:tr2bl w:val="nil"/>
                  </w:tcBorders>
                  <w:shd w:val="clear" w:color="auto" w:fill="auto"/>
                  <w:vAlign w:val="center"/>
                </w:tcPr>
                <w:p w14:paraId="119F228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TP</w:t>
                  </w:r>
                </w:p>
              </w:tc>
              <w:tc>
                <w:tcPr>
                  <w:tcW w:w="820" w:type="dxa"/>
                  <w:tcBorders>
                    <w:tl2br w:val="nil"/>
                    <w:tr2bl w:val="nil"/>
                  </w:tcBorders>
                  <w:shd w:val="clear" w:color="auto" w:fill="auto"/>
                  <w:vAlign w:val="center"/>
                </w:tcPr>
                <w:p w14:paraId="2DCA0EA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20</w:t>
                  </w:r>
                </w:p>
              </w:tc>
              <w:tc>
                <w:tcPr>
                  <w:tcW w:w="694" w:type="dxa"/>
                  <w:tcBorders>
                    <w:tl2br w:val="nil"/>
                    <w:tr2bl w:val="nil"/>
                  </w:tcBorders>
                  <w:shd w:val="clear" w:color="auto" w:fill="auto"/>
                  <w:vAlign w:val="center"/>
                </w:tcPr>
                <w:p w14:paraId="6ADFCF00">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0.549</w:t>
                  </w:r>
                </w:p>
              </w:tc>
              <w:tc>
                <w:tcPr>
                  <w:tcW w:w="444" w:type="dxa"/>
                  <w:vMerge w:val="continue"/>
                  <w:tcBorders>
                    <w:tl2br w:val="nil"/>
                    <w:tr2bl w:val="nil"/>
                  </w:tcBorders>
                  <w:shd w:val="clear" w:color="auto" w:fill="auto"/>
                  <w:vAlign w:val="center"/>
                </w:tcPr>
                <w:p w14:paraId="1FB15FD3">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486" w:type="dxa"/>
                  <w:tcBorders>
                    <w:tl2br w:val="nil"/>
                    <w:tr2bl w:val="nil"/>
                  </w:tcBorders>
                  <w:shd w:val="clear" w:color="auto" w:fill="auto"/>
                  <w:vAlign w:val="center"/>
                </w:tcPr>
                <w:p w14:paraId="1F735B5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84</w:t>
                  </w:r>
                </w:p>
              </w:tc>
              <w:tc>
                <w:tcPr>
                  <w:tcW w:w="862" w:type="dxa"/>
                  <w:tcBorders>
                    <w:tl2br w:val="nil"/>
                    <w:tr2bl w:val="nil"/>
                  </w:tcBorders>
                  <w:shd w:val="clear" w:color="auto" w:fill="auto"/>
                  <w:vAlign w:val="center"/>
                </w:tcPr>
                <w:p w14:paraId="145F7153">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TP</w:t>
                  </w:r>
                </w:p>
              </w:tc>
              <w:tc>
                <w:tcPr>
                  <w:tcW w:w="833" w:type="dxa"/>
                  <w:tcBorders>
                    <w:tl2br w:val="nil"/>
                    <w:tr2bl w:val="nil"/>
                  </w:tcBorders>
                  <w:shd w:val="clear" w:color="auto" w:fill="auto"/>
                  <w:vAlign w:val="center"/>
                </w:tcPr>
                <w:p w14:paraId="055C554D">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3.20</w:t>
                  </w:r>
                </w:p>
              </w:tc>
              <w:tc>
                <w:tcPr>
                  <w:tcW w:w="653" w:type="dxa"/>
                  <w:tcBorders>
                    <w:tl2br w:val="nil"/>
                    <w:tr2bl w:val="nil"/>
                  </w:tcBorders>
                  <w:shd w:val="clear" w:color="auto" w:fill="auto"/>
                  <w:vAlign w:val="center"/>
                </w:tcPr>
                <w:p w14:paraId="53BF1AA7">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0.088</w:t>
                  </w:r>
                </w:p>
              </w:tc>
              <w:tc>
                <w:tcPr>
                  <w:tcW w:w="807" w:type="dxa"/>
                  <w:tcBorders>
                    <w:tl2br w:val="nil"/>
                    <w:tr2bl w:val="nil"/>
                  </w:tcBorders>
                  <w:shd w:val="clear" w:color="auto" w:fill="auto"/>
                  <w:vAlign w:val="center"/>
                </w:tcPr>
                <w:p w14:paraId="42E388DF">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4</w:t>
                  </w:r>
                </w:p>
              </w:tc>
              <w:tc>
                <w:tcPr>
                  <w:tcW w:w="495" w:type="dxa"/>
                  <w:vMerge w:val="continue"/>
                  <w:tcBorders>
                    <w:tl2br w:val="nil"/>
                    <w:tr2bl w:val="nil"/>
                  </w:tcBorders>
                  <w:shd w:val="clear" w:color="auto" w:fill="auto"/>
                  <w:vAlign w:val="center"/>
                </w:tcPr>
                <w:p w14:paraId="7A80FCD2">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r>
            <w:tr w14:paraId="38AE7BF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restart"/>
                  <w:tcBorders>
                    <w:tl2br w:val="nil"/>
                    <w:tr2bl w:val="nil"/>
                  </w:tcBorders>
                  <w:shd w:val="clear" w:color="auto" w:fill="auto"/>
                  <w:vAlign w:val="center"/>
                </w:tcPr>
                <w:p w14:paraId="6195F054">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排入南京娃哈哈饮料有限公司污水处理站废水28886t/a</w:t>
                  </w:r>
                </w:p>
              </w:tc>
              <w:tc>
                <w:tcPr>
                  <w:tcW w:w="875" w:type="dxa"/>
                  <w:tcBorders>
                    <w:tl2br w:val="nil"/>
                    <w:tr2bl w:val="nil"/>
                  </w:tcBorders>
                  <w:shd w:val="clear" w:color="auto" w:fill="auto"/>
                  <w:vAlign w:val="center"/>
                </w:tcPr>
                <w:p w14:paraId="5D00478C">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COD</w:t>
                  </w:r>
                </w:p>
              </w:tc>
              <w:tc>
                <w:tcPr>
                  <w:tcW w:w="820" w:type="dxa"/>
                  <w:tcBorders>
                    <w:tl2br w:val="nil"/>
                    <w:tr2bl w:val="nil"/>
                  </w:tcBorders>
                  <w:shd w:val="clear" w:color="auto" w:fill="auto"/>
                  <w:vAlign w:val="center"/>
                </w:tcPr>
                <w:p w14:paraId="6321CD9E">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970</w:t>
                  </w:r>
                </w:p>
              </w:tc>
              <w:tc>
                <w:tcPr>
                  <w:tcW w:w="694" w:type="dxa"/>
                  <w:tcBorders>
                    <w:tl2br w:val="nil"/>
                    <w:tr2bl w:val="nil"/>
                  </w:tcBorders>
                  <w:shd w:val="clear" w:color="auto" w:fill="auto"/>
                  <w:vAlign w:val="center"/>
                </w:tcPr>
                <w:p w14:paraId="56830C9B">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28.022</w:t>
                  </w:r>
                </w:p>
              </w:tc>
              <w:tc>
                <w:tcPr>
                  <w:tcW w:w="444" w:type="dxa"/>
                  <w:vMerge w:val="continue"/>
                  <w:tcBorders>
                    <w:tl2br w:val="nil"/>
                    <w:tr2bl w:val="nil"/>
                  </w:tcBorders>
                  <w:shd w:val="clear" w:color="auto" w:fill="auto"/>
                  <w:vAlign w:val="center"/>
                </w:tcPr>
                <w:p w14:paraId="0DAFB807">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486" w:type="dxa"/>
                  <w:tcBorders>
                    <w:tl2br w:val="nil"/>
                    <w:tr2bl w:val="nil"/>
                  </w:tcBorders>
                  <w:shd w:val="clear" w:color="auto" w:fill="auto"/>
                  <w:vAlign w:val="center"/>
                </w:tcPr>
                <w:p w14:paraId="00FAB579">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75</w:t>
                  </w:r>
                </w:p>
              </w:tc>
              <w:tc>
                <w:tcPr>
                  <w:tcW w:w="862" w:type="dxa"/>
                  <w:tcBorders>
                    <w:tl2br w:val="nil"/>
                    <w:tr2bl w:val="nil"/>
                  </w:tcBorders>
                  <w:shd w:val="clear" w:color="auto" w:fill="auto"/>
                  <w:vAlign w:val="center"/>
                </w:tcPr>
                <w:p w14:paraId="398DD5F9">
                  <w:pPr>
                    <w:pStyle w:val="21"/>
                    <w:keepNext w:val="0"/>
                    <w:keepLines w:val="0"/>
                    <w:suppressLineNumbers w:val="0"/>
                    <w:bidi w:val="0"/>
                    <w:spacing w:before="0" w:beforeAutospacing="0" w:after="0" w:afterAutospacing="0"/>
                    <w:ind w:left="0" w:right="0" w:firstLine="0" w:firstLineChars="0"/>
                    <w:rPr>
                      <w:rFonts w:hint="default"/>
                      <w:color w:val="auto"/>
                      <w:lang w:val="en-US"/>
                    </w:rPr>
                  </w:pPr>
                  <w:r>
                    <w:rPr>
                      <w:rFonts w:hint="default"/>
                      <w:color w:val="auto"/>
                      <w:lang w:val="en-US" w:eastAsia="zh-CN"/>
                    </w:rPr>
                    <w:t>COD</w:t>
                  </w:r>
                </w:p>
              </w:tc>
              <w:tc>
                <w:tcPr>
                  <w:tcW w:w="833" w:type="dxa"/>
                  <w:tcBorders>
                    <w:tl2br w:val="nil"/>
                    <w:tr2bl w:val="nil"/>
                  </w:tcBorders>
                  <w:shd w:val="clear" w:color="auto" w:fill="auto"/>
                  <w:vAlign w:val="center"/>
                </w:tcPr>
                <w:p w14:paraId="177EE41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24</w:t>
                  </w:r>
                  <w:r>
                    <w:rPr>
                      <w:rFonts w:hint="eastAsia"/>
                      <w:color w:val="auto"/>
                      <w:lang w:val="en-US" w:eastAsia="zh-CN"/>
                    </w:rPr>
                    <w:t>3</w:t>
                  </w:r>
                </w:p>
              </w:tc>
              <w:tc>
                <w:tcPr>
                  <w:tcW w:w="653" w:type="dxa"/>
                  <w:tcBorders>
                    <w:tl2br w:val="nil"/>
                    <w:tr2bl w:val="nil"/>
                  </w:tcBorders>
                  <w:shd w:val="clear" w:color="auto" w:fill="auto"/>
                  <w:vAlign w:val="center"/>
                </w:tcPr>
                <w:p w14:paraId="6F952F8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7.005</w:t>
                  </w:r>
                </w:p>
              </w:tc>
              <w:tc>
                <w:tcPr>
                  <w:tcW w:w="807" w:type="dxa"/>
                  <w:tcBorders>
                    <w:tl2br w:val="nil"/>
                    <w:tr2bl w:val="nil"/>
                  </w:tcBorders>
                  <w:shd w:val="clear" w:color="auto" w:fill="auto"/>
                  <w:vAlign w:val="center"/>
                </w:tcPr>
                <w:p w14:paraId="3BF83A9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350</w:t>
                  </w:r>
                </w:p>
              </w:tc>
              <w:tc>
                <w:tcPr>
                  <w:tcW w:w="495" w:type="dxa"/>
                  <w:vMerge w:val="continue"/>
                  <w:tcBorders>
                    <w:tl2br w:val="nil"/>
                    <w:tr2bl w:val="nil"/>
                  </w:tcBorders>
                  <w:shd w:val="clear" w:color="auto" w:fill="auto"/>
                  <w:vAlign w:val="center"/>
                </w:tcPr>
                <w:p w14:paraId="1C10ACF5">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r>
            <w:tr w14:paraId="0DFF462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67F0D471">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875" w:type="dxa"/>
                  <w:tcBorders>
                    <w:tl2br w:val="nil"/>
                    <w:tr2bl w:val="nil"/>
                  </w:tcBorders>
                  <w:shd w:val="clear" w:color="auto" w:fill="auto"/>
                  <w:vAlign w:val="center"/>
                </w:tcPr>
                <w:p w14:paraId="5100C82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BOD</w:t>
                  </w:r>
                  <w:r>
                    <w:rPr>
                      <w:rFonts w:hint="default"/>
                      <w:color w:val="auto"/>
                      <w:vertAlign w:val="subscript"/>
                      <w:lang w:val="en-US" w:eastAsia="zh-CN"/>
                    </w:rPr>
                    <w:t>5</w:t>
                  </w:r>
                </w:p>
              </w:tc>
              <w:tc>
                <w:tcPr>
                  <w:tcW w:w="820" w:type="dxa"/>
                  <w:tcBorders>
                    <w:tl2br w:val="nil"/>
                    <w:tr2bl w:val="nil"/>
                  </w:tcBorders>
                  <w:shd w:val="clear" w:color="auto" w:fill="auto"/>
                  <w:vAlign w:val="center"/>
                </w:tcPr>
                <w:p w14:paraId="5EA4AC4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585</w:t>
                  </w:r>
                </w:p>
              </w:tc>
              <w:tc>
                <w:tcPr>
                  <w:tcW w:w="694" w:type="dxa"/>
                  <w:tcBorders>
                    <w:tl2br w:val="nil"/>
                    <w:tr2bl w:val="nil"/>
                  </w:tcBorders>
                  <w:shd w:val="clear" w:color="auto" w:fill="auto"/>
                  <w:vAlign w:val="center"/>
                </w:tcPr>
                <w:p w14:paraId="42F42D3E">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16.9</w:t>
                  </w:r>
                </w:p>
              </w:tc>
              <w:tc>
                <w:tcPr>
                  <w:tcW w:w="444" w:type="dxa"/>
                  <w:vMerge w:val="continue"/>
                  <w:tcBorders>
                    <w:tl2br w:val="nil"/>
                    <w:tr2bl w:val="nil"/>
                  </w:tcBorders>
                  <w:shd w:val="clear" w:color="auto" w:fill="auto"/>
                  <w:vAlign w:val="center"/>
                </w:tcPr>
                <w:p w14:paraId="3C528B2A">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486" w:type="dxa"/>
                  <w:tcBorders>
                    <w:tl2br w:val="nil"/>
                    <w:tr2bl w:val="nil"/>
                  </w:tcBorders>
                  <w:shd w:val="clear" w:color="auto" w:fill="auto"/>
                  <w:vAlign w:val="center"/>
                </w:tcPr>
                <w:p w14:paraId="69B604A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70</w:t>
                  </w:r>
                </w:p>
              </w:tc>
              <w:tc>
                <w:tcPr>
                  <w:tcW w:w="862" w:type="dxa"/>
                  <w:tcBorders>
                    <w:tl2br w:val="nil"/>
                    <w:tr2bl w:val="nil"/>
                  </w:tcBorders>
                  <w:shd w:val="clear" w:color="auto" w:fill="auto"/>
                  <w:vAlign w:val="center"/>
                </w:tcPr>
                <w:p w14:paraId="2FD31090">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BOD</w:t>
                  </w:r>
                  <w:r>
                    <w:rPr>
                      <w:rFonts w:hint="default"/>
                      <w:color w:val="auto"/>
                      <w:vertAlign w:val="subscript"/>
                      <w:lang w:val="en-US" w:eastAsia="zh-CN"/>
                    </w:rPr>
                    <w:t>5</w:t>
                  </w:r>
                </w:p>
              </w:tc>
              <w:tc>
                <w:tcPr>
                  <w:tcW w:w="833" w:type="dxa"/>
                  <w:tcBorders>
                    <w:tl2br w:val="nil"/>
                    <w:tr2bl w:val="nil"/>
                  </w:tcBorders>
                  <w:shd w:val="clear" w:color="auto" w:fill="auto"/>
                  <w:vAlign w:val="center"/>
                </w:tcPr>
                <w:p w14:paraId="30F2DD2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17</w:t>
                  </w:r>
                  <w:r>
                    <w:rPr>
                      <w:rFonts w:hint="eastAsia"/>
                      <w:color w:val="auto"/>
                      <w:lang w:val="en-US" w:eastAsia="zh-CN"/>
                    </w:rPr>
                    <w:t>6</w:t>
                  </w:r>
                </w:p>
              </w:tc>
              <w:tc>
                <w:tcPr>
                  <w:tcW w:w="653" w:type="dxa"/>
                  <w:tcBorders>
                    <w:tl2br w:val="nil"/>
                    <w:tr2bl w:val="nil"/>
                  </w:tcBorders>
                  <w:shd w:val="clear" w:color="auto" w:fill="auto"/>
                  <w:vAlign w:val="center"/>
                </w:tcPr>
                <w:p w14:paraId="1B244BE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5.069</w:t>
                  </w:r>
                </w:p>
              </w:tc>
              <w:tc>
                <w:tcPr>
                  <w:tcW w:w="807" w:type="dxa"/>
                  <w:tcBorders>
                    <w:tl2br w:val="nil"/>
                    <w:tr2bl w:val="nil"/>
                  </w:tcBorders>
                  <w:shd w:val="clear" w:color="auto" w:fill="auto"/>
                  <w:vAlign w:val="center"/>
                </w:tcPr>
                <w:p w14:paraId="57426C69">
                  <w:pPr>
                    <w:pStyle w:val="21"/>
                    <w:keepNext w:val="0"/>
                    <w:keepLines w:val="0"/>
                    <w:suppressLineNumbers w:val="0"/>
                    <w:bidi w:val="0"/>
                    <w:spacing w:before="0" w:beforeAutospacing="0" w:after="0" w:afterAutospacing="0"/>
                    <w:ind w:left="0" w:right="0"/>
                    <w:rPr>
                      <w:rFonts w:hint="default"/>
                      <w:color w:val="auto"/>
                      <w:highlight w:val="yellow"/>
                      <w:lang w:val="en-US" w:eastAsia="zh-CN"/>
                    </w:rPr>
                  </w:pPr>
                  <w:r>
                    <w:rPr>
                      <w:rFonts w:hint="eastAsia"/>
                      <w:color w:val="auto"/>
                      <w:lang w:val="en-US" w:eastAsia="zh-CN"/>
                    </w:rPr>
                    <w:t>300</w:t>
                  </w:r>
                </w:p>
              </w:tc>
              <w:tc>
                <w:tcPr>
                  <w:tcW w:w="495" w:type="dxa"/>
                  <w:vMerge w:val="continue"/>
                  <w:tcBorders>
                    <w:tl2br w:val="nil"/>
                    <w:tr2bl w:val="nil"/>
                  </w:tcBorders>
                  <w:shd w:val="clear" w:color="auto" w:fill="auto"/>
                  <w:vAlign w:val="center"/>
                </w:tcPr>
                <w:p w14:paraId="1AB54ECA">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r>
            <w:tr w14:paraId="5691949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1B8D4110">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875" w:type="dxa"/>
                  <w:tcBorders>
                    <w:tl2br w:val="nil"/>
                    <w:tr2bl w:val="nil"/>
                  </w:tcBorders>
                  <w:shd w:val="clear" w:color="auto" w:fill="auto"/>
                  <w:vAlign w:val="center"/>
                </w:tcPr>
                <w:p w14:paraId="1BECCD83">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SS</w:t>
                  </w:r>
                </w:p>
              </w:tc>
              <w:tc>
                <w:tcPr>
                  <w:tcW w:w="820" w:type="dxa"/>
                  <w:tcBorders>
                    <w:tl2br w:val="nil"/>
                    <w:tr2bl w:val="nil"/>
                  </w:tcBorders>
                  <w:shd w:val="clear" w:color="auto" w:fill="auto"/>
                  <w:vAlign w:val="center"/>
                </w:tcPr>
                <w:p w14:paraId="6EEAD3FC">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583</w:t>
                  </w:r>
                </w:p>
              </w:tc>
              <w:tc>
                <w:tcPr>
                  <w:tcW w:w="694" w:type="dxa"/>
                  <w:tcBorders>
                    <w:tl2br w:val="nil"/>
                    <w:tr2bl w:val="nil"/>
                  </w:tcBorders>
                  <w:shd w:val="clear" w:color="auto" w:fill="auto"/>
                  <w:vAlign w:val="center"/>
                </w:tcPr>
                <w:p w14:paraId="6EECBFFA">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16.828</w:t>
                  </w:r>
                </w:p>
              </w:tc>
              <w:tc>
                <w:tcPr>
                  <w:tcW w:w="444" w:type="dxa"/>
                  <w:vMerge w:val="continue"/>
                  <w:tcBorders>
                    <w:tl2br w:val="nil"/>
                    <w:tr2bl w:val="nil"/>
                  </w:tcBorders>
                  <w:shd w:val="clear" w:color="auto" w:fill="auto"/>
                  <w:vAlign w:val="center"/>
                </w:tcPr>
                <w:p w14:paraId="64F0E9EE">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486" w:type="dxa"/>
                  <w:tcBorders>
                    <w:tl2br w:val="nil"/>
                    <w:tr2bl w:val="nil"/>
                  </w:tcBorders>
                  <w:shd w:val="clear" w:color="auto" w:fill="auto"/>
                  <w:vAlign w:val="center"/>
                </w:tcPr>
                <w:p w14:paraId="0CE8B9A7">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80</w:t>
                  </w:r>
                </w:p>
              </w:tc>
              <w:tc>
                <w:tcPr>
                  <w:tcW w:w="862" w:type="dxa"/>
                  <w:tcBorders>
                    <w:tl2br w:val="nil"/>
                    <w:tr2bl w:val="nil"/>
                  </w:tcBorders>
                  <w:shd w:val="clear" w:color="auto" w:fill="auto"/>
                  <w:vAlign w:val="center"/>
                </w:tcPr>
                <w:p w14:paraId="0EC3054A">
                  <w:pPr>
                    <w:pStyle w:val="21"/>
                    <w:keepNext w:val="0"/>
                    <w:keepLines w:val="0"/>
                    <w:suppressLineNumbers w:val="0"/>
                    <w:bidi w:val="0"/>
                    <w:spacing w:before="0" w:beforeAutospacing="0" w:after="0" w:afterAutospacing="0"/>
                    <w:ind w:left="0" w:right="0" w:firstLine="0" w:firstLineChars="0"/>
                    <w:rPr>
                      <w:rFonts w:hint="default"/>
                      <w:color w:val="auto"/>
                      <w:lang w:val="en-US"/>
                    </w:rPr>
                  </w:pPr>
                  <w:r>
                    <w:rPr>
                      <w:rFonts w:hint="default"/>
                      <w:color w:val="auto"/>
                      <w:lang w:val="en-US" w:eastAsia="zh-CN"/>
                    </w:rPr>
                    <w:t>SS</w:t>
                  </w:r>
                </w:p>
              </w:tc>
              <w:tc>
                <w:tcPr>
                  <w:tcW w:w="833" w:type="dxa"/>
                  <w:tcBorders>
                    <w:tl2br w:val="nil"/>
                    <w:tr2bl w:val="nil"/>
                  </w:tcBorders>
                  <w:shd w:val="clear" w:color="auto" w:fill="auto"/>
                  <w:vAlign w:val="center"/>
                </w:tcPr>
                <w:p w14:paraId="2A33975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11</w:t>
                  </w:r>
                  <w:r>
                    <w:rPr>
                      <w:rFonts w:hint="eastAsia"/>
                      <w:color w:val="auto"/>
                      <w:lang w:val="en-US" w:eastAsia="zh-CN"/>
                    </w:rPr>
                    <w:t>7</w:t>
                  </w:r>
                </w:p>
              </w:tc>
              <w:tc>
                <w:tcPr>
                  <w:tcW w:w="653" w:type="dxa"/>
                  <w:tcBorders>
                    <w:tl2br w:val="nil"/>
                    <w:tr2bl w:val="nil"/>
                  </w:tcBorders>
                  <w:shd w:val="clear" w:color="auto" w:fill="auto"/>
                  <w:vAlign w:val="center"/>
                </w:tcPr>
                <w:p w14:paraId="621F52B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3.366</w:t>
                  </w:r>
                </w:p>
              </w:tc>
              <w:tc>
                <w:tcPr>
                  <w:tcW w:w="807" w:type="dxa"/>
                  <w:tcBorders>
                    <w:tl2br w:val="nil"/>
                    <w:tr2bl w:val="nil"/>
                  </w:tcBorders>
                  <w:shd w:val="clear" w:color="auto" w:fill="auto"/>
                  <w:vAlign w:val="center"/>
                </w:tcPr>
                <w:p w14:paraId="05C3CD9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250</w:t>
                  </w:r>
                </w:p>
              </w:tc>
              <w:tc>
                <w:tcPr>
                  <w:tcW w:w="495" w:type="dxa"/>
                  <w:vMerge w:val="continue"/>
                  <w:tcBorders>
                    <w:tl2br w:val="nil"/>
                    <w:tr2bl w:val="nil"/>
                  </w:tcBorders>
                  <w:shd w:val="clear" w:color="auto" w:fill="auto"/>
                  <w:vAlign w:val="center"/>
                </w:tcPr>
                <w:p w14:paraId="71DA9CD6">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r>
            <w:tr w14:paraId="18AF9CE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79EFB726">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875" w:type="dxa"/>
                  <w:tcBorders>
                    <w:tl2br w:val="nil"/>
                    <w:tr2bl w:val="nil"/>
                  </w:tcBorders>
                  <w:shd w:val="clear" w:color="auto" w:fill="auto"/>
                  <w:vAlign w:val="center"/>
                </w:tcPr>
                <w:p w14:paraId="532AAC51">
                  <w:pPr>
                    <w:pStyle w:val="21"/>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氨氮</w:t>
                  </w:r>
                </w:p>
              </w:tc>
              <w:tc>
                <w:tcPr>
                  <w:tcW w:w="820" w:type="dxa"/>
                  <w:tcBorders>
                    <w:tl2br w:val="nil"/>
                    <w:tr2bl w:val="nil"/>
                  </w:tcBorders>
                  <w:shd w:val="clear" w:color="auto" w:fill="auto"/>
                  <w:vAlign w:val="center"/>
                </w:tcPr>
                <w:p w14:paraId="6C7C8898">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44</w:t>
                  </w:r>
                </w:p>
              </w:tc>
              <w:tc>
                <w:tcPr>
                  <w:tcW w:w="694" w:type="dxa"/>
                  <w:tcBorders>
                    <w:tl2br w:val="nil"/>
                    <w:tr2bl w:val="nil"/>
                  </w:tcBorders>
                  <w:shd w:val="clear" w:color="auto" w:fill="auto"/>
                  <w:vAlign w:val="center"/>
                </w:tcPr>
                <w:p w14:paraId="4837288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1.271</w:t>
                  </w:r>
                </w:p>
              </w:tc>
              <w:tc>
                <w:tcPr>
                  <w:tcW w:w="444" w:type="dxa"/>
                  <w:vMerge w:val="continue"/>
                  <w:tcBorders>
                    <w:tl2br w:val="nil"/>
                    <w:tr2bl w:val="nil"/>
                  </w:tcBorders>
                  <w:shd w:val="clear" w:color="auto" w:fill="auto"/>
                  <w:vAlign w:val="center"/>
                </w:tcPr>
                <w:p w14:paraId="4A51CD75">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486" w:type="dxa"/>
                  <w:tcBorders>
                    <w:tl2br w:val="nil"/>
                    <w:tr2bl w:val="nil"/>
                  </w:tcBorders>
                  <w:shd w:val="clear" w:color="auto" w:fill="auto"/>
                  <w:vAlign w:val="center"/>
                </w:tcPr>
                <w:p w14:paraId="40B1E8FF">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30</w:t>
                  </w:r>
                </w:p>
              </w:tc>
              <w:tc>
                <w:tcPr>
                  <w:tcW w:w="862" w:type="dxa"/>
                  <w:tcBorders>
                    <w:tl2br w:val="nil"/>
                    <w:tr2bl w:val="nil"/>
                  </w:tcBorders>
                  <w:shd w:val="clear" w:color="auto" w:fill="auto"/>
                  <w:vAlign w:val="center"/>
                </w:tcPr>
                <w:p w14:paraId="3A6B7AEC">
                  <w:pPr>
                    <w:pStyle w:val="21"/>
                    <w:keepNext w:val="0"/>
                    <w:keepLines w:val="0"/>
                    <w:suppressLineNumbers w:val="0"/>
                    <w:bidi w:val="0"/>
                    <w:spacing w:before="0" w:beforeAutospacing="0" w:after="0" w:afterAutospacing="0"/>
                    <w:ind w:left="0" w:right="0" w:firstLine="0" w:firstLineChars="0"/>
                    <w:rPr>
                      <w:rFonts w:hint="default"/>
                      <w:color w:val="auto"/>
                      <w:lang w:val="en-US"/>
                    </w:rPr>
                  </w:pPr>
                  <w:r>
                    <w:rPr>
                      <w:rFonts w:hint="eastAsia"/>
                      <w:color w:val="auto"/>
                      <w:lang w:val="en-US" w:eastAsia="zh-CN"/>
                    </w:rPr>
                    <w:t>氨氮</w:t>
                  </w:r>
                </w:p>
              </w:tc>
              <w:tc>
                <w:tcPr>
                  <w:tcW w:w="833" w:type="dxa"/>
                  <w:tcBorders>
                    <w:tl2br w:val="nil"/>
                    <w:tr2bl w:val="nil"/>
                  </w:tcBorders>
                  <w:shd w:val="clear" w:color="auto" w:fill="auto"/>
                  <w:vAlign w:val="center"/>
                </w:tcPr>
                <w:p w14:paraId="7FD5D94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w:t>
                  </w:r>
                  <w:r>
                    <w:rPr>
                      <w:rFonts w:hint="eastAsia"/>
                      <w:color w:val="auto"/>
                      <w:lang w:val="en-US" w:eastAsia="zh-CN"/>
                    </w:rPr>
                    <w:t>1</w:t>
                  </w:r>
                </w:p>
              </w:tc>
              <w:tc>
                <w:tcPr>
                  <w:tcW w:w="653" w:type="dxa"/>
                  <w:tcBorders>
                    <w:tl2br w:val="nil"/>
                    <w:tr2bl w:val="nil"/>
                  </w:tcBorders>
                  <w:shd w:val="clear" w:color="auto" w:fill="auto"/>
                  <w:vAlign w:val="center"/>
                </w:tcPr>
                <w:p w14:paraId="2E9EDFF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0.890</w:t>
                  </w:r>
                </w:p>
              </w:tc>
              <w:tc>
                <w:tcPr>
                  <w:tcW w:w="807" w:type="dxa"/>
                  <w:tcBorders>
                    <w:tl2br w:val="nil"/>
                    <w:tr2bl w:val="nil"/>
                  </w:tcBorders>
                  <w:shd w:val="clear" w:color="auto" w:fill="auto"/>
                  <w:vAlign w:val="center"/>
                </w:tcPr>
                <w:p w14:paraId="421FDE8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35</w:t>
                  </w:r>
                </w:p>
              </w:tc>
              <w:tc>
                <w:tcPr>
                  <w:tcW w:w="495" w:type="dxa"/>
                  <w:vMerge w:val="continue"/>
                  <w:tcBorders>
                    <w:tl2br w:val="nil"/>
                    <w:tr2bl w:val="nil"/>
                  </w:tcBorders>
                  <w:shd w:val="clear" w:color="auto" w:fill="auto"/>
                  <w:vAlign w:val="center"/>
                </w:tcPr>
                <w:p w14:paraId="2A462148">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r>
            <w:tr w14:paraId="284872D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743E6E1A">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875" w:type="dxa"/>
                  <w:tcBorders>
                    <w:tl2br w:val="nil"/>
                    <w:tr2bl w:val="nil"/>
                  </w:tcBorders>
                  <w:shd w:val="clear" w:color="auto" w:fill="auto"/>
                  <w:vAlign w:val="center"/>
                </w:tcPr>
                <w:p w14:paraId="51ED4BA8">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TN</w:t>
                  </w:r>
                </w:p>
              </w:tc>
              <w:tc>
                <w:tcPr>
                  <w:tcW w:w="820" w:type="dxa"/>
                  <w:tcBorders>
                    <w:tl2br w:val="nil"/>
                    <w:tr2bl w:val="nil"/>
                  </w:tcBorders>
                  <w:shd w:val="clear" w:color="auto" w:fill="auto"/>
                  <w:vAlign w:val="center"/>
                </w:tcPr>
                <w:p w14:paraId="7C6B3C51">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59</w:t>
                  </w:r>
                </w:p>
              </w:tc>
              <w:tc>
                <w:tcPr>
                  <w:tcW w:w="694" w:type="dxa"/>
                  <w:tcBorders>
                    <w:tl2br w:val="nil"/>
                    <w:tr2bl w:val="nil"/>
                  </w:tcBorders>
                  <w:shd w:val="clear" w:color="auto" w:fill="auto"/>
                  <w:vAlign w:val="center"/>
                </w:tcPr>
                <w:p w14:paraId="2BEDA62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1.698</w:t>
                  </w:r>
                </w:p>
              </w:tc>
              <w:tc>
                <w:tcPr>
                  <w:tcW w:w="444" w:type="dxa"/>
                  <w:vMerge w:val="continue"/>
                  <w:tcBorders>
                    <w:tl2br w:val="nil"/>
                    <w:tr2bl w:val="nil"/>
                  </w:tcBorders>
                  <w:shd w:val="clear" w:color="auto" w:fill="auto"/>
                  <w:vAlign w:val="center"/>
                </w:tcPr>
                <w:p w14:paraId="57FD75ED">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486" w:type="dxa"/>
                  <w:tcBorders>
                    <w:tl2br w:val="nil"/>
                    <w:tr2bl w:val="nil"/>
                  </w:tcBorders>
                  <w:shd w:val="clear" w:color="auto" w:fill="auto"/>
                  <w:vAlign w:val="center"/>
                </w:tcPr>
                <w:p w14:paraId="7019DF6D">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30</w:t>
                  </w:r>
                </w:p>
              </w:tc>
              <w:tc>
                <w:tcPr>
                  <w:tcW w:w="862" w:type="dxa"/>
                  <w:tcBorders>
                    <w:tl2br w:val="nil"/>
                    <w:tr2bl w:val="nil"/>
                  </w:tcBorders>
                  <w:shd w:val="clear" w:color="auto" w:fill="auto"/>
                  <w:vAlign w:val="center"/>
                </w:tcPr>
                <w:p w14:paraId="43EC3C44">
                  <w:pPr>
                    <w:pStyle w:val="21"/>
                    <w:keepNext w:val="0"/>
                    <w:keepLines w:val="0"/>
                    <w:suppressLineNumbers w:val="0"/>
                    <w:bidi w:val="0"/>
                    <w:spacing w:before="0" w:beforeAutospacing="0" w:after="0" w:afterAutospacing="0"/>
                    <w:ind w:left="0" w:right="0" w:firstLine="0" w:firstLineChars="0"/>
                    <w:rPr>
                      <w:rFonts w:hint="default"/>
                      <w:color w:val="auto"/>
                      <w:lang w:val="en-US"/>
                    </w:rPr>
                  </w:pPr>
                  <w:r>
                    <w:rPr>
                      <w:rFonts w:hint="default"/>
                      <w:color w:val="auto"/>
                      <w:lang w:val="en-US" w:eastAsia="zh-CN"/>
                    </w:rPr>
                    <w:t>TN</w:t>
                  </w:r>
                </w:p>
              </w:tc>
              <w:tc>
                <w:tcPr>
                  <w:tcW w:w="833" w:type="dxa"/>
                  <w:tcBorders>
                    <w:tl2br w:val="nil"/>
                    <w:tr2bl w:val="nil"/>
                  </w:tcBorders>
                  <w:shd w:val="clear" w:color="auto" w:fill="auto"/>
                  <w:vAlign w:val="center"/>
                </w:tcPr>
                <w:p w14:paraId="50835CA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41</w:t>
                  </w:r>
                </w:p>
              </w:tc>
              <w:tc>
                <w:tcPr>
                  <w:tcW w:w="653" w:type="dxa"/>
                  <w:tcBorders>
                    <w:tl2br w:val="nil"/>
                    <w:tr2bl w:val="nil"/>
                  </w:tcBorders>
                  <w:shd w:val="clear" w:color="auto" w:fill="auto"/>
                  <w:vAlign w:val="center"/>
                </w:tcPr>
                <w:p w14:paraId="4B4A02F2">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1.189</w:t>
                  </w:r>
                </w:p>
              </w:tc>
              <w:tc>
                <w:tcPr>
                  <w:tcW w:w="807" w:type="dxa"/>
                  <w:tcBorders>
                    <w:tl2br w:val="nil"/>
                    <w:tr2bl w:val="nil"/>
                  </w:tcBorders>
                  <w:shd w:val="clear" w:color="auto" w:fill="auto"/>
                  <w:vAlign w:val="center"/>
                </w:tcPr>
                <w:p w14:paraId="620E3E6B">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45</w:t>
                  </w:r>
                </w:p>
              </w:tc>
              <w:tc>
                <w:tcPr>
                  <w:tcW w:w="495" w:type="dxa"/>
                  <w:vMerge w:val="continue"/>
                  <w:tcBorders>
                    <w:tl2br w:val="nil"/>
                    <w:tr2bl w:val="nil"/>
                  </w:tcBorders>
                  <w:shd w:val="clear" w:color="auto" w:fill="auto"/>
                  <w:vAlign w:val="center"/>
                </w:tcPr>
                <w:p w14:paraId="7FA8517C">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r>
            <w:tr w14:paraId="4A61219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0519AF3D">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875" w:type="dxa"/>
                  <w:tcBorders>
                    <w:tl2br w:val="nil"/>
                    <w:tr2bl w:val="nil"/>
                  </w:tcBorders>
                  <w:shd w:val="clear" w:color="auto" w:fill="auto"/>
                  <w:vAlign w:val="center"/>
                </w:tcPr>
                <w:p w14:paraId="31EA6F5A">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TP</w:t>
                  </w:r>
                </w:p>
              </w:tc>
              <w:tc>
                <w:tcPr>
                  <w:tcW w:w="820" w:type="dxa"/>
                  <w:tcBorders>
                    <w:tl2br w:val="nil"/>
                    <w:tr2bl w:val="nil"/>
                  </w:tcBorders>
                  <w:shd w:val="clear" w:color="auto" w:fill="auto"/>
                  <w:vAlign w:val="center"/>
                </w:tcPr>
                <w:p w14:paraId="079E2078">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19.2</w:t>
                  </w:r>
                </w:p>
              </w:tc>
              <w:tc>
                <w:tcPr>
                  <w:tcW w:w="694" w:type="dxa"/>
                  <w:tcBorders>
                    <w:tl2br w:val="nil"/>
                    <w:tr2bl w:val="nil"/>
                  </w:tcBorders>
                  <w:shd w:val="clear" w:color="auto" w:fill="auto"/>
                  <w:vAlign w:val="center"/>
                </w:tcPr>
                <w:p w14:paraId="5A227AF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0.556</w:t>
                  </w:r>
                </w:p>
              </w:tc>
              <w:tc>
                <w:tcPr>
                  <w:tcW w:w="444" w:type="dxa"/>
                  <w:vMerge w:val="continue"/>
                  <w:tcBorders>
                    <w:tl2br w:val="nil"/>
                    <w:tr2bl w:val="nil"/>
                  </w:tcBorders>
                  <w:shd w:val="clear" w:color="auto" w:fill="auto"/>
                  <w:vAlign w:val="center"/>
                </w:tcPr>
                <w:p w14:paraId="35780414">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486" w:type="dxa"/>
                  <w:tcBorders>
                    <w:tl2br w:val="nil"/>
                    <w:tr2bl w:val="nil"/>
                  </w:tcBorders>
                  <w:shd w:val="clear" w:color="auto" w:fill="auto"/>
                  <w:vAlign w:val="center"/>
                </w:tcPr>
                <w:p w14:paraId="6EEADC6D">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30</w:t>
                  </w:r>
                </w:p>
              </w:tc>
              <w:tc>
                <w:tcPr>
                  <w:tcW w:w="862" w:type="dxa"/>
                  <w:tcBorders>
                    <w:tl2br w:val="nil"/>
                    <w:tr2bl w:val="nil"/>
                  </w:tcBorders>
                  <w:shd w:val="clear" w:color="auto" w:fill="auto"/>
                  <w:vAlign w:val="center"/>
                </w:tcPr>
                <w:p w14:paraId="0F949B74">
                  <w:pPr>
                    <w:pStyle w:val="21"/>
                    <w:keepNext w:val="0"/>
                    <w:keepLines w:val="0"/>
                    <w:suppressLineNumbers w:val="0"/>
                    <w:bidi w:val="0"/>
                    <w:spacing w:before="0" w:beforeAutospacing="0" w:after="0" w:afterAutospacing="0"/>
                    <w:ind w:left="0" w:right="0" w:firstLine="0" w:firstLineChars="0"/>
                    <w:rPr>
                      <w:rFonts w:hint="default"/>
                      <w:color w:val="auto"/>
                      <w:lang w:val="en-US"/>
                    </w:rPr>
                  </w:pPr>
                  <w:r>
                    <w:rPr>
                      <w:rFonts w:hint="default"/>
                      <w:color w:val="auto"/>
                      <w:lang w:val="en-US" w:eastAsia="zh-CN"/>
                    </w:rPr>
                    <w:t>TP</w:t>
                  </w:r>
                </w:p>
              </w:tc>
              <w:tc>
                <w:tcPr>
                  <w:tcW w:w="833" w:type="dxa"/>
                  <w:tcBorders>
                    <w:tl2br w:val="nil"/>
                    <w:tr2bl w:val="nil"/>
                  </w:tcBorders>
                  <w:shd w:val="clear" w:color="auto" w:fill="auto"/>
                  <w:vAlign w:val="center"/>
                </w:tcPr>
                <w:p w14:paraId="6AA44DF2">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13.</w:t>
                  </w:r>
                  <w:r>
                    <w:rPr>
                      <w:rFonts w:hint="eastAsia"/>
                      <w:color w:val="auto"/>
                      <w:lang w:val="en-US" w:eastAsia="zh-CN"/>
                    </w:rPr>
                    <w:t>5</w:t>
                  </w:r>
                </w:p>
              </w:tc>
              <w:tc>
                <w:tcPr>
                  <w:tcW w:w="653" w:type="dxa"/>
                  <w:tcBorders>
                    <w:tl2br w:val="nil"/>
                    <w:tr2bl w:val="nil"/>
                  </w:tcBorders>
                  <w:shd w:val="clear" w:color="auto" w:fill="auto"/>
                  <w:vAlign w:val="center"/>
                </w:tcPr>
                <w:p w14:paraId="65C81F9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0.389</w:t>
                  </w:r>
                </w:p>
              </w:tc>
              <w:tc>
                <w:tcPr>
                  <w:tcW w:w="807" w:type="dxa"/>
                  <w:tcBorders>
                    <w:tl2br w:val="nil"/>
                    <w:tr2bl w:val="nil"/>
                  </w:tcBorders>
                  <w:shd w:val="clear" w:color="auto" w:fill="auto"/>
                  <w:vAlign w:val="center"/>
                </w:tcPr>
                <w:p w14:paraId="29ECA60E">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w:t>
                  </w:r>
                </w:p>
              </w:tc>
              <w:tc>
                <w:tcPr>
                  <w:tcW w:w="495" w:type="dxa"/>
                  <w:vMerge w:val="continue"/>
                  <w:tcBorders>
                    <w:tl2br w:val="nil"/>
                    <w:tr2bl w:val="nil"/>
                  </w:tcBorders>
                  <w:shd w:val="clear" w:color="auto" w:fill="auto"/>
                  <w:vAlign w:val="center"/>
                </w:tcPr>
                <w:p w14:paraId="5745F9F4">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r>
            <w:tr w14:paraId="41033A1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0ED08A06">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875" w:type="dxa"/>
                  <w:tcBorders>
                    <w:tl2br w:val="nil"/>
                    <w:tr2bl w:val="nil"/>
                  </w:tcBorders>
                  <w:shd w:val="clear" w:color="auto" w:fill="auto"/>
                  <w:vAlign w:val="center"/>
                </w:tcPr>
                <w:p w14:paraId="7F5471EF">
                  <w:pPr>
                    <w:pStyle w:val="21"/>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动植物油</w:t>
                  </w:r>
                </w:p>
              </w:tc>
              <w:tc>
                <w:tcPr>
                  <w:tcW w:w="820" w:type="dxa"/>
                  <w:tcBorders>
                    <w:tl2br w:val="nil"/>
                    <w:tr2bl w:val="nil"/>
                  </w:tcBorders>
                  <w:shd w:val="clear" w:color="auto" w:fill="auto"/>
                  <w:vAlign w:val="center"/>
                </w:tcPr>
                <w:p w14:paraId="29765E79">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3</w:t>
                  </w:r>
                </w:p>
              </w:tc>
              <w:tc>
                <w:tcPr>
                  <w:tcW w:w="694" w:type="dxa"/>
                  <w:tcBorders>
                    <w:tl2br w:val="nil"/>
                    <w:tr2bl w:val="nil"/>
                  </w:tcBorders>
                  <w:shd w:val="clear" w:color="auto" w:fill="auto"/>
                  <w:vAlign w:val="center"/>
                </w:tcPr>
                <w:p w14:paraId="56A7FCB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0.077</w:t>
                  </w:r>
                </w:p>
              </w:tc>
              <w:tc>
                <w:tcPr>
                  <w:tcW w:w="444" w:type="dxa"/>
                  <w:vMerge w:val="continue"/>
                  <w:tcBorders>
                    <w:tl2br w:val="nil"/>
                    <w:tr2bl w:val="nil"/>
                  </w:tcBorders>
                  <w:shd w:val="clear" w:color="auto" w:fill="auto"/>
                  <w:vAlign w:val="center"/>
                </w:tcPr>
                <w:p w14:paraId="462138B1">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486" w:type="dxa"/>
                  <w:tcBorders>
                    <w:tl2br w:val="nil"/>
                    <w:tr2bl w:val="nil"/>
                  </w:tcBorders>
                  <w:shd w:val="clear" w:color="auto" w:fill="auto"/>
                  <w:vAlign w:val="center"/>
                </w:tcPr>
                <w:p w14:paraId="19D277E9">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60</w:t>
                  </w:r>
                </w:p>
              </w:tc>
              <w:tc>
                <w:tcPr>
                  <w:tcW w:w="862" w:type="dxa"/>
                  <w:tcBorders>
                    <w:tl2br w:val="nil"/>
                    <w:tr2bl w:val="nil"/>
                  </w:tcBorders>
                  <w:shd w:val="clear" w:color="auto" w:fill="auto"/>
                  <w:vAlign w:val="center"/>
                </w:tcPr>
                <w:p w14:paraId="5C411A5F">
                  <w:pPr>
                    <w:pStyle w:val="21"/>
                    <w:keepNext w:val="0"/>
                    <w:keepLines w:val="0"/>
                    <w:suppressLineNumbers w:val="0"/>
                    <w:bidi w:val="0"/>
                    <w:spacing w:before="0" w:beforeAutospacing="0" w:after="0" w:afterAutospacing="0"/>
                    <w:ind w:left="0" w:right="0" w:firstLine="0" w:firstLineChars="0"/>
                    <w:rPr>
                      <w:rFonts w:hint="default"/>
                      <w:color w:val="auto"/>
                      <w:lang w:val="en-US"/>
                    </w:rPr>
                  </w:pPr>
                  <w:r>
                    <w:rPr>
                      <w:rFonts w:hint="eastAsia"/>
                      <w:color w:val="auto"/>
                      <w:lang w:val="en-US" w:eastAsia="zh-CN"/>
                    </w:rPr>
                    <w:t>动植物油</w:t>
                  </w:r>
                </w:p>
              </w:tc>
              <w:tc>
                <w:tcPr>
                  <w:tcW w:w="833" w:type="dxa"/>
                  <w:tcBorders>
                    <w:tl2br w:val="nil"/>
                    <w:tr2bl w:val="nil"/>
                  </w:tcBorders>
                  <w:shd w:val="clear" w:color="auto" w:fill="auto"/>
                  <w:vAlign w:val="center"/>
                </w:tcPr>
                <w:p w14:paraId="06D2456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w:t>
                  </w:r>
                </w:p>
              </w:tc>
              <w:tc>
                <w:tcPr>
                  <w:tcW w:w="653" w:type="dxa"/>
                  <w:tcBorders>
                    <w:tl2br w:val="nil"/>
                    <w:tr2bl w:val="nil"/>
                  </w:tcBorders>
                  <w:shd w:val="clear" w:color="auto" w:fill="auto"/>
                  <w:vAlign w:val="center"/>
                </w:tcPr>
                <w:p w14:paraId="6612BBA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0.031</w:t>
                  </w:r>
                </w:p>
              </w:tc>
              <w:tc>
                <w:tcPr>
                  <w:tcW w:w="807" w:type="dxa"/>
                  <w:tcBorders>
                    <w:tl2br w:val="nil"/>
                    <w:tr2bl w:val="nil"/>
                  </w:tcBorders>
                  <w:shd w:val="clear" w:color="auto" w:fill="auto"/>
                  <w:vAlign w:val="center"/>
                </w:tcPr>
                <w:p w14:paraId="1735848A">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20</w:t>
                  </w:r>
                </w:p>
              </w:tc>
              <w:tc>
                <w:tcPr>
                  <w:tcW w:w="495" w:type="dxa"/>
                  <w:vMerge w:val="continue"/>
                  <w:tcBorders>
                    <w:tl2br w:val="nil"/>
                    <w:tr2bl w:val="nil"/>
                  </w:tcBorders>
                  <w:shd w:val="clear" w:color="auto" w:fill="auto"/>
                  <w:vAlign w:val="center"/>
                </w:tcPr>
                <w:p w14:paraId="65B0962A">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r>
            <w:tr w14:paraId="3950AB9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restart"/>
                  <w:tcBorders>
                    <w:tl2br w:val="nil"/>
                    <w:tr2bl w:val="nil"/>
                  </w:tcBorders>
                  <w:shd w:val="clear" w:color="auto" w:fill="auto"/>
                  <w:vAlign w:val="center"/>
                </w:tcPr>
                <w:p w14:paraId="1FCE7B0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纯水制备浓水111797t/a</w:t>
                  </w:r>
                </w:p>
              </w:tc>
              <w:tc>
                <w:tcPr>
                  <w:tcW w:w="875" w:type="dxa"/>
                  <w:tcBorders>
                    <w:tl2br w:val="nil"/>
                    <w:tr2bl w:val="nil"/>
                  </w:tcBorders>
                  <w:shd w:val="clear" w:color="auto" w:fill="auto"/>
                  <w:vAlign w:val="center"/>
                </w:tcPr>
                <w:p w14:paraId="7D599F6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COD</w:t>
                  </w:r>
                </w:p>
              </w:tc>
              <w:tc>
                <w:tcPr>
                  <w:tcW w:w="820" w:type="dxa"/>
                  <w:tcBorders>
                    <w:tl2br w:val="nil"/>
                    <w:tr2bl w:val="nil"/>
                  </w:tcBorders>
                  <w:shd w:val="clear" w:color="auto" w:fill="auto"/>
                  <w:vAlign w:val="center"/>
                </w:tcPr>
                <w:p w14:paraId="57E98DDE">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100</w:t>
                  </w:r>
                </w:p>
              </w:tc>
              <w:tc>
                <w:tcPr>
                  <w:tcW w:w="694" w:type="dxa"/>
                  <w:tcBorders>
                    <w:tl2br w:val="nil"/>
                    <w:tr2bl w:val="nil"/>
                  </w:tcBorders>
                  <w:shd w:val="clear" w:color="auto" w:fill="auto"/>
                  <w:vAlign w:val="center"/>
                </w:tcPr>
                <w:p w14:paraId="45FDF59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11.18</w:t>
                  </w:r>
                </w:p>
              </w:tc>
              <w:tc>
                <w:tcPr>
                  <w:tcW w:w="444" w:type="dxa"/>
                  <w:vMerge w:val="restart"/>
                  <w:tcBorders>
                    <w:tl2br w:val="nil"/>
                    <w:tr2bl w:val="nil"/>
                  </w:tcBorders>
                  <w:shd w:val="clear" w:color="auto" w:fill="auto"/>
                  <w:vAlign w:val="center"/>
                </w:tcPr>
                <w:p w14:paraId="41B5A50E">
                  <w:pPr>
                    <w:pStyle w:val="21"/>
                    <w:keepNext w:val="0"/>
                    <w:keepLines w:val="0"/>
                    <w:suppressLineNumbers w:val="0"/>
                    <w:bidi w:val="0"/>
                    <w:spacing w:before="0" w:beforeAutospacing="0" w:after="0" w:afterAutospacing="0"/>
                    <w:ind w:left="0" w:right="0"/>
                    <w:rPr>
                      <w:rFonts w:hint="eastAsia" w:eastAsia="宋体"/>
                      <w:color w:val="auto"/>
                      <w:highlight w:val="none"/>
                      <w:lang w:val="en-US" w:eastAsia="zh-CN"/>
                    </w:rPr>
                  </w:pPr>
                  <w:r>
                    <w:rPr>
                      <w:rFonts w:hint="eastAsia"/>
                      <w:color w:val="auto"/>
                      <w:highlight w:val="none"/>
                      <w:lang w:val="en-US" w:eastAsia="zh-CN"/>
                    </w:rPr>
                    <w:t>/</w:t>
                  </w:r>
                </w:p>
              </w:tc>
              <w:tc>
                <w:tcPr>
                  <w:tcW w:w="486" w:type="dxa"/>
                  <w:tcBorders>
                    <w:tl2br w:val="nil"/>
                    <w:tr2bl w:val="nil"/>
                  </w:tcBorders>
                  <w:shd w:val="clear" w:color="auto" w:fill="auto"/>
                  <w:vAlign w:val="center"/>
                </w:tcPr>
                <w:p w14:paraId="304E3D42">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w:t>
                  </w:r>
                </w:p>
              </w:tc>
              <w:tc>
                <w:tcPr>
                  <w:tcW w:w="862" w:type="dxa"/>
                  <w:tcBorders>
                    <w:tl2br w:val="nil"/>
                    <w:tr2bl w:val="nil"/>
                  </w:tcBorders>
                  <w:shd w:val="clear" w:color="auto" w:fill="auto"/>
                  <w:vAlign w:val="center"/>
                </w:tcPr>
                <w:p w14:paraId="08675E3D">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COD</w:t>
                  </w:r>
                </w:p>
              </w:tc>
              <w:tc>
                <w:tcPr>
                  <w:tcW w:w="833" w:type="dxa"/>
                  <w:tcBorders>
                    <w:tl2br w:val="nil"/>
                    <w:tr2bl w:val="nil"/>
                  </w:tcBorders>
                  <w:shd w:val="clear" w:color="auto" w:fill="auto"/>
                  <w:vAlign w:val="center"/>
                </w:tcPr>
                <w:p w14:paraId="7139072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100</w:t>
                  </w:r>
                </w:p>
              </w:tc>
              <w:tc>
                <w:tcPr>
                  <w:tcW w:w="653" w:type="dxa"/>
                  <w:tcBorders>
                    <w:tl2br w:val="nil"/>
                    <w:tr2bl w:val="nil"/>
                  </w:tcBorders>
                  <w:shd w:val="clear" w:color="auto" w:fill="auto"/>
                  <w:vAlign w:val="center"/>
                </w:tcPr>
                <w:p w14:paraId="1DDEF6BB">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11.18</w:t>
                  </w:r>
                </w:p>
              </w:tc>
              <w:tc>
                <w:tcPr>
                  <w:tcW w:w="807" w:type="dxa"/>
                  <w:tcBorders>
                    <w:tl2br w:val="nil"/>
                    <w:tr2bl w:val="nil"/>
                  </w:tcBorders>
                  <w:shd w:val="clear" w:color="auto" w:fill="auto"/>
                  <w:vAlign w:val="center"/>
                </w:tcPr>
                <w:p w14:paraId="2D3CA598">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350</w:t>
                  </w:r>
                </w:p>
              </w:tc>
              <w:tc>
                <w:tcPr>
                  <w:tcW w:w="495" w:type="dxa"/>
                  <w:vMerge w:val="continue"/>
                  <w:tcBorders>
                    <w:tl2br w:val="nil"/>
                    <w:tr2bl w:val="nil"/>
                  </w:tcBorders>
                  <w:shd w:val="clear" w:color="auto" w:fill="auto"/>
                  <w:vAlign w:val="center"/>
                </w:tcPr>
                <w:p w14:paraId="177DDD7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r>
            <w:tr w14:paraId="0DF4AD6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7FD978DF">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875" w:type="dxa"/>
                  <w:tcBorders>
                    <w:tl2br w:val="nil"/>
                    <w:tr2bl w:val="nil"/>
                  </w:tcBorders>
                  <w:shd w:val="clear" w:color="auto" w:fill="auto"/>
                  <w:vAlign w:val="center"/>
                </w:tcPr>
                <w:p w14:paraId="68D1371F">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SS</w:t>
                  </w:r>
                </w:p>
              </w:tc>
              <w:tc>
                <w:tcPr>
                  <w:tcW w:w="820" w:type="dxa"/>
                  <w:tcBorders>
                    <w:tl2br w:val="nil"/>
                    <w:tr2bl w:val="nil"/>
                  </w:tcBorders>
                  <w:shd w:val="clear" w:color="auto" w:fill="auto"/>
                  <w:vAlign w:val="center"/>
                </w:tcPr>
                <w:p w14:paraId="44D4C11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50</w:t>
                  </w:r>
                </w:p>
              </w:tc>
              <w:tc>
                <w:tcPr>
                  <w:tcW w:w="694" w:type="dxa"/>
                  <w:tcBorders>
                    <w:tl2br w:val="nil"/>
                    <w:tr2bl w:val="nil"/>
                  </w:tcBorders>
                  <w:shd w:val="clear" w:color="auto" w:fill="auto"/>
                  <w:vAlign w:val="center"/>
                </w:tcPr>
                <w:p w14:paraId="37E44BFA">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5.59</w:t>
                  </w:r>
                </w:p>
              </w:tc>
              <w:tc>
                <w:tcPr>
                  <w:tcW w:w="444" w:type="dxa"/>
                  <w:vMerge w:val="continue"/>
                  <w:tcBorders>
                    <w:tl2br w:val="nil"/>
                    <w:tr2bl w:val="nil"/>
                  </w:tcBorders>
                  <w:shd w:val="clear" w:color="auto" w:fill="auto"/>
                  <w:vAlign w:val="center"/>
                </w:tcPr>
                <w:p w14:paraId="76263F41">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486" w:type="dxa"/>
                  <w:tcBorders>
                    <w:tl2br w:val="nil"/>
                    <w:tr2bl w:val="nil"/>
                  </w:tcBorders>
                  <w:shd w:val="clear" w:color="auto" w:fill="auto"/>
                  <w:vAlign w:val="center"/>
                </w:tcPr>
                <w:p w14:paraId="02573800">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w:t>
                  </w:r>
                </w:p>
              </w:tc>
              <w:tc>
                <w:tcPr>
                  <w:tcW w:w="862" w:type="dxa"/>
                  <w:tcBorders>
                    <w:tl2br w:val="nil"/>
                    <w:tr2bl w:val="nil"/>
                  </w:tcBorders>
                  <w:shd w:val="clear" w:color="auto" w:fill="auto"/>
                  <w:vAlign w:val="center"/>
                </w:tcPr>
                <w:p w14:paraId="1ACF0623">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SS</w:t>
                  </w:r>
                </w:p>
              </w:tc>
              <w:tc>
                <w:tcPr>
                  <w:tcW w:w="833" w:type="dxa"/>
                  <w:tcBorders>
                    <w:tl2br w:val="nil"/>
                    <w:tr2bl w:val="nil"/>
                  </w:tcBorders>
                  <w:shd w:val="clear" w:color="auto" w:fill="auto"/>
                  <w:vAlign w:val="center"/>
                </w:tcPr>
                <w:p w14:paraId="3EB9123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50</w:t>
                  </w:r>
                </w:p>
              </w:tc>
              <w:tc>
                <w:tcPr>
                  <w:tcW w:w="653" w:type="dxa"/>
                  <w:tcBorders>
                    <w:tl2br w:val="nil"/>
                    <w:tr2bl w:val="nil"/>
                  </w:tcBorders>
                  <w:shd w:val="clear" w:color="auto" w:fill="auto"/>
                  <w:vAlign w:val="center"/>
                </w:tcPr>
                <w:p w14:paraId="1849216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5.59</w:t>
                  </w:r>
                </w:p>
              </w:tc>
              <w:tc>
                <w:tcPr>
                  <w:tcW w:w="807" w:type="dxa"/>
                  <w:tcBorders>
                    <w:tl2br w:val="nil"/>
                    <w:tr2bl w:val="nil"/>
                  </w:tcBorders>
                  <w:shd w:val="clear" w:color="auto" w:fill="auto"/>
                  <w:vAlign w:val="center"/>
                </w:tcPr>
                <w:p w14:paraId="060FC3A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250</w:t>
                  </w:r>
                </w:p>
              </w:tc>
              <w:tc>
                <w:tcPr>
                  <w:tcW w:w="495" w:type="dxa"/>
                  <w:vMerge w:val="continue"/>
                  <w:tcBorders>
                    <w:tl2br w:val="nil"/>
                    <w:tr2bl w:val="nil"/>
                  </w:tcBorders>
                  <w:shd w:val="clear" w:color="auto" w:fill="auto"/>
                  <w:vAlign w:val="center"/>
                </w:tcPr>
                <w:p w14:paraId="2C8C6F5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r>
            <w:tr w14:paraId="1431A71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2B5B88E1">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875" w:type="dxa"/>
                  <w:tcBorders>
                    <w:tl2br w:val="nil"/>
                    <w:tr2bl w:val="nil"/>
                  </w:tcBorders>
                  <w:shd w:val="clear" w:color="auto" w:fill="auto"/>
                  <w:vAlign w:val="center"/>
                </w:tcPr>
                <w:p w14:paraId="0655CFA0">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氨氮</w:t>
                  </w:r>
                </w:p>
              </w:tc>
              <w:tc>
                <w:tcPr>
                  <w:tcW w:w="820" w:type="dxa"/>
                  <w:tcBorders>
                    <w:tl2br w:val="nil"/>
                    <w:tr2bl w:val="nil"/>
                  </w:tcBorders>
                  <w:shd w:val="clear" w:color="auto" w:fill="auto"/>
                  <w:vAlign w:val="center"/>
                </w:tcPr>
                <w:p w14:paraId="0D8EE5D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1.25</w:t>
                  </w:r>
                </w:p>
              </w:tc>
              <w:tc>
                <w:tcPr>
                  <w:tcW w:w="694" w:type="dxa"/>
                  <w:tcBorders>
                    <w:tl2br w:val="nil"/>
                    <w:tr2bl w:val="nil"/>
                  </w:tcBorders>
                  <w:shd w:val="clear" w:color="auto" w:fill="auto"/>
                  <w:vAlign w:val="center"/>
                </w:tcPr>
                <w:p w14:paraId="51F4AC12">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0.14</w:t>
                  </w:r>
                </w:p>
              </w:tc>
              <w:tc>
                <w:tcPr>
                  <w:tcW w:w="444" w:type="dxa"/>
                  <w:vMerge w:val="continue"/>
                  <w:tcBorders>
                    <w:tl2br w:val="nil"/>
                    <w:tr2bl w:val="nil"/>
                  </w:tcBorders>
                  <w:shd w:val="clear" w:color="auto" w:fill="auto"/>
                  <w:vAlign w:val="center"/>
                </w:tcPr>
                <w:p w14:paraId="277835DD">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486" w:type="dxa"/>
                  <w:tcBorders>
                    <w:tl2br w:val="nil"/>
                    <w:tr2bl w:val="nil"/>
                  </w:tcBorders>
                  <w:shd w:val="clear" w:color="auto" w:fill="auto"/>
                  <w:vAlign w:val="center"/>
                </w:tcPr>
                <w:p w14:paraId="1D8AE369">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w:t>
                  </w:r>
                </w:p>
              </w:tc>
              <w:tc>
                <w:tcPr>
                  <w:tcW w:w="862" w:type="dxa"/>
                  <w:tcBorders>
                    <w:tl2br w:val="nil"/>
                    <w:tr2bl w:val="nil"/>
                  </w:tcBorders>
                  <w:shd w:val="clear" w:color="auto" w:fill="auto"/>
                  <w:vAlign w:val="center"/>
                </w:tcPr>
                <w:p w14:paraId="5E169750">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氨氮</w:t>
                  </w:r>
                </w:p>
              </w:tc>
              <w:tc>
                <w:tcPr>
                  <w:tcW w:w="833" w:type="dxa"/>
                  <w:tcBorders>
                    <w:tl2br w:val="nil"/>
                    <w:tr2bl w:val="nil"/>
                  </w:tcBorders>
                  <w:shd w:val="clear" w:color="auto" w:fill="auto"/>
                  <w:vAlign w:val="center"/>
                </w:tcPr>
                <w:p w14:paraId="49C7591B">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1.25</w:t>
                  </w:r>
                </w:p>
              </w:tc>
              <w:tc>
                <w:tcPr>
                  <w:tcW w:w="653" w:type="dxa"/>
                  <w:tcBorders>
                    <w:tl2br w:val="nil"/>
                    <w:tr2bl w:val="nil"/>
                  </w:tcBorders>
                  <w:shd w:val="clear" w:color="auto" w:fill="auto"/>
                  <w:vAlign w:val="center"/>
                </w:tcPr>
                <w:p w14:paraId="0EB532C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0.14</w:t>
                  </w:r>
                </w:p>
              </w:tc>
              <w:tc>
                <w:tcPr>
                  <w:tcW w:w="807" w:type="dxa"/>
                  <w:tcBorders>
                    <w:tl2br w:val="nil"/>
                    <w:tr2bl w:val="nil"/>
                  </w:tcBorders>
                  <w:shd w:val="clear" w:color="auto" w:fill="auto"/>
                  <w:vAlign w:val="center"/>
                </w:tcPr>
                <w:p w14:paraId="3622D57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35</w:t>
                  </w:r>
                </w:p>
              </w:tc>
              <w:tc>
                <w:tcPr>
                  <w:tcW w:w="495" w:type="dxa"/>
                  <w:vMerge w:val="continue"/>
                  <w:tcBorders>
                    <w:tl2br w:val="nil"/>
                    <w:tr2bl w:val="nil"/>
                  </w:tcBorders>
                  <w:shd w:val="clear" w:color="auto" w:fill="auto"/>
                  <w:vAlign w:val="center"/>
                </w:tcPr>
                <w:p w14:paraId="60559D7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r>
            <w:tr w14:paraId="7021CEC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4E35B4E7">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875" w:type="dxa"/>
                  <w:tcBorders>
                    <w:tl2br w:val="nil"/>
                    <w:tr2bl w:val="nil"/>
                  </w:tcBorders>
                  <w:shd w:val="clear" w:color="auto" w:fill="auto"/>
                  <w:vAlign w:val="center"/>
                </w:tcPr>
                <w:p w14:paraId="48715A6E">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TN</w:t>
                  </w:r>
                </w:p>
              </w:tc>
              <w:tc>
                <w:tcPr>
                  <w:tcW w:w="820" w:type="dxa"/>
                  <w:tcBorders>
                    <w:tl2br w:val="nil"/>
                    <w:tr2bl w:val="nil"/>
                  </w:tcBorders>
                  <w:shd w:val="clear" w:color="auto" w:fill="auto"/>
                  <w:vAlign w:val="center"/>
                </w:tcPr>
                <w:p w14:paraId="5DB1B142">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2.5</w:t>
                  </w:r>
                </w:p>
              </w:tc>
              <w:tc>
                <w:tcPr>
                  <w:tcW w:w="694" w:type="dxa"/>
                  <w:tcBorders>
                    <w:tl2br w:val="nil"/>
                    <w:tr2bl w:val="nil"/>
                  </w:tcBorders>
                  <w:shd w:val="clear" w:color="auto" w:fill="auto"/>
                  <w:vAlign w:val="center"/>
                </w:tcPr>
                <w:p w14:paraId="37E80982">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0.279</w:t>
                  </w:r>
                </w:p>
              </w:tc>
              <w:tc>
                <w:tcPr>
                  <w:tcW w:w="444" w:type="dxa"/>
                  <w:vMerge w:val="continue"/>
                  <w:tcBorders>
                    <w:tl2br w:val="nil"/>
                    <w:tr2bl w:val="nil"/>
                  </w:tcBorders>
                  <w:shd w:val="clear" w:color="auto" w:fill="auto"/>
                  <w:vAlign w:val="center"/>
                </w:tcPr>
                <w:p w14:paraId="4B473B0E">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486" w:type="dxa"/>
                  <w:tcBorders>
                    <w:tl2br w:val="nil"/>
                    <w:tr2bl w:val="nil"/>
                  </w:tcBorders>
                  <w:shd w:val="clear" w:color="auto" w:fill="auto"/>
                  <w:vAlign w:val="center"/>
                </w:tcPr>
                <w:p w14:paraId="4BCBCC3B">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w:t>
                  </w:r>
                </w:p>
              </w:tc>
              <w:tc>
                <w:tcPr>
                  <w:tcW w:w="862" w:type="dxa"/>
                  <w:tcBorders>
                    <w:tl2br w:val="nil"/>
                    <w:tr2bl w:val="nil"/>
                  </w:tcBorders>
                  <w:shd w:val="clear" w:color="auto" w:fill="auto"/>
                  <w:vAlign w:val="center"/>
                </w:tcPr>
                <w:p w14:paraId="7AF4E1CC">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TN</w:t>
                  </w:r>
                </w:p>
              </w:tc>
              <w:tc>
                <w:tcPr>
                  <w:tcW w:w="833" w:type="dxa"/>
                  <w:tcBorders>
                    <w:tl2br w:val="nil"/>
                    <w:tr2bl w:val="nil"/>
                  </w:tcBorders>
                  <w:shd w:val="clear" w:color="auto" w:fill="auto"/>
                  <w:vAlign w:val="center"/>
                </w:tcPr>
                <w:p w14:paraId="1354D7E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2.5</w:t>
                  </w:r>
                </w:p>
              </w:tc>
              <w:tc>
                <w:tcPr>
                  <w:tcW w:w="653" w:type="dxa"/>
                  <w:tcBorders>
                    <w:tl2br w:val="nil"/>
                    <w:tr2bl w:val="nil"/>
                  </w:tcBorders>
                  <w:shd w:val="clear" w:color="auto" w:fill="auto"/>
                  <w:vAlign w:val="center"/>
                </w:tcPr>
                <w:p w14:paraId="65DB104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0.279</w:t>
                  </w:r>
                </w:p>
              </w:tc>
              <w:tc>
                <w:tcPr>
                  <w:tcW w:w="807" w:type="dxa"/>
                  <w:tcBorders>
                    <w:tl2br w:val="nil"/>
                    <w:tr2bl w:val="nil"/>
                  </w:tcBorders>
                  <w:shd w:val="clear" w:color="auto" w:fill="auto"/>
                  <w:vAlign w:val="center"/>
                </w:tcPr>
                <w:p w14:paraId="6C26A00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45</w:t>
                  </w:r>
                </w:p>
              </w:tc>
              <w:tc>
                <w:tcPr>
                  <w:tcW w:w="495" w:type="dxa"/>
                  <w:vMerge w:val="continue"/>
                  <w:tcBorders>
                    <w:tl2br w:val="nil"/>
                    <w:tr2bl w:val="nil"/>
                  </w:tcBorders>
                  <w:shd w:val="clear" w:color="auto" w:fill="auto"/>
                  <w:vAlign w:val="center"/>
                </w:tcPr>
                <w:p w14:paraId="2D7CE66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r>
            <w:tr w14:paraId="34D815D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77C71E6D">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875" w:type="dxa"/>
                  <w:tcBorders>
                    <w:tl2br w:val="nil"/>
                    <w:tr2bl w:val="nil"/>
                  </w:tcBorders>
                  <w:shd w:val="clear" w:color="auto" w:fill="auto"/>
                  <w:vAlign w:val="center"/>
                </w:tcPr>
                <w:p w14:paraId="298C7ED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TP</w:t>
                  </w:r>
                </w:p>
              </w:tc>
              <w:tc>
                <w:tcPr>
                  <w:tcW w:w="820" w:type="dxa"/>
                  <w:tcBorders>
                    <w:tl2br w:val="nil"/>
                    <w:tr2bl w:val="nil"/>
                  </w:tcBorders>
                  <w:shd w:val="clear" w:color="auto" w:fill="auto"/>
                  <w:vAlign w:val="center"/>
                </w:tcPr>
                <w:p w14:paraId="16390C4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w:t>
                  </w:r>
                </w:p>
              </w:tc>
              <w:tc>
                <w:tcPr>
                  <w:tcW w:w="694" w:type="dxa"/>
                  <w:tcBorders>
                    <w:tl2br w:val="nil"/>
                    <w:tr2bl w:val="nil"/>
                  </w:tcBorders>
                  <w:shd w:val="clear" w:color="auto" w:fill="auto"/>
                  <w:vAlign w:val="center"/>
                </w:tcPr>
                <w:p w14:paraId="232B258A">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0.112</w:t>
                  </w:r>
                </w:p>
              </w:tc>
              <w:tc>
                <w:tcPr>
                  <w:tcW w:w="444" w:type="dxa"/>
                  <w:vMerge w:val="continue"/>
                  <w:tcBorders>
                    <w:tl2br w:val="nil"/>
                    <w:tr2bl w:val="nil"/>
                  </w:tcBorders>
                  <w:shd w:val="clear" w:color="auto" w:fill="auto"/>
                  <w:vAlign w:val="center"/>
                </w:tcPr>
                <w:p w14:paraId="4E9DA3B4">
                  <w:pPr>
                    <w:pStyle w:val="21"/>
                    <w:keepNext w:val="0"/>
                    <w:keepLines w:val="0"/>
                    <w:suppressLineNumbers w:val="0"/>
                    <w:bidi w:val="0"/>
                    <w:spacing w:before="0" w:beforeAutospacing="0" w:after="0" w:afterAutospacing="0"/>
                    <w:ind w:left="0" w:right="0"/>
                    <w:rPr>
                      <w:rFonts w:hint="eastAsia"/>
                      <w:color w:val="auto"/>
                      <w:highlight w:val="none"/>
                      <w:lang w:val="en-US" w:eastAsia="zh-CN"/>
                    </w:rPr>
                  </w:pPr>
                </w:p>
              </w:tc>
              <w:tc>
                <w:tcPr>
                  <w:tcW w:w="486" w:type="dxa"/>
                  <w:tcBorders>
                    <w:tl2br w:val="nil"/>
                    <w:tr2bl w:val="nil"/>
                  </w:tcBorders>
                  <w:shd w:val="clear" w:color="auto" w:fill="auto"/>
                  <w:vAlign w:val="center"/>
                </w:tcPr>
                <w:p w14:paraId="46E06E8C">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w:t>
                  </w:r>
                </w:p>
              </w:tc>
              <w:tc>
                <w:tcPr>
                  <w:tcW w:w="862" w:type="dxa"/>
                  <w:tcBorders>
                    <w:tl2br w:val="nil"/>
                    <w:tr2bl w:val="nil"/>
                  </w:tcBorders>
                  <w:shd w:val="clear" w:color="auto" w:fill="auto"/>
                  <w:vAlign w:val="center"/>
                </w:tcPr>
                <w:p w14:paraId="56EC8C6A">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TP</w:t>
                  </w:r>
                </w:p>
              </w:tc>
              <w:tc>
                <w:tcPr>
                  <w:tcW w:w="833" w:type="dxa"/>
                  <w:tcBorders>
                    <w:tl2br w:val="nil"/>
                    <w:tr2bl w:val="nil"/>
                  </w:tcBorders>
                  <w:shd w:val="clear" w:color="auto" w:fill="auto"/>
                  <w:vAlign w:val="center"/>
                </w:tcPr>
                <w:p w14:paraId="68C9EC1F">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w:t>
                  </w:r>
                </w:p>
              </w:tc>
              <w:tc>
                <w:tcPr>
                  <w:tcW w:w="653" w:type="dxa"/>
                  <w:tcBorders>
                    <w:tl2br w:val="nil"/>
                    <w:tr2bl w:val="nil"/>
                  </w:tcBorders>
                  <w:shd w:val="clear" w:color="auto" w:fill="auto"/>
                  <w:vAlign w:val="center"/>
                </w:tcPr>
                <w:p w14:paraId="359E328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0.112</w:t>
                  </w:r>
                </w:p>
              </w:tc>
              <w:tc>
                <w:tcPr>
                  <w:tcW w:w="807" w:type="dxa"/>
                  <w:tcBorders>
                    <w:tl2br w:val="nil"/>
                    <w:tr2bl w:val="nil"/>
                  </w:tcBorders>
                  <w:shd w:val="clear" w:color="auto" w:fill="auto"/>
                  <w:vAlign w:val="center"/>
                </w:tcPr>
                <w:p w14:paraId="01D10CE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w:t>
                  </w:r>
                </w:p>
              </w:tc>
              <w:tc>
                <w:tcPr>
                  <w:tcW w:w="495" w:type="dxa"/>
                  <w:vMerge w:val="continue"/>
                  <w:tcBorders>
                    <w:tl2br w:val="nil"/>
                    <w:tr2bl w:val="nil"/>
                  </w:tcBorders>
                  <w:shd w:val="clear" w:color="auto" w:fill="auto"/>
                  <w:vAlign w:val="center"/>
                </w:tcPr>
                <w:p w14:paraId="1286B73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r>
            <w:tr w14:paraId="56FBBE2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restart"/>
                  <w:tcBorders>
                    <w:tl2br w:val="nil"/>
                    <w:tr2bl w:val="nil"/>
                  </w:tcBorders>
                  <w:shd w:val="clear" w:color="auto" w:fill="auto"/>
                  <w:vAlign w:val="center"/>
                </w:tcPr>
                <w:p w14:paraId="2B1C886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color w:val="auto"/>
                      <w:highlight w:val="none"/>
                      <w:lang w:val="en-US" w:eastAsia="zh-CN"/>
                    </w:rPr>
                    <w:t>综合废水排放情况140683</w:t>
                  </w:r>
                  <w:r>
                    <w:rPr>
                      <w:rFonts w:hint="eastAsia" w:ascii="Times New Roman" w:hAnsi="Times New Roman" w:eastAsia="宋体"/>
                      <w:color w:val="auto"/>
                      <w:highlight w:val="none"/>
                      <w:lang w:val="en-US"/>
                    </w:rPr>
                    <w:t>t/a</w:t>
                  </w:r>
                </w:p>
              </w:tc>
              <w:tc>
                <w:tcPr>
                  <w:tcW w:w="875" w:type="dxa"/>
                  <w:tcBorders>
                    <w:tl2br w:val="nil"/>
                    <w:tr2bl w:val="nil"/>
                  </w:tcBorders>
                  <w:shd w:val="clear" w:color="auto" w:fill="auto"/>
                  <w:vAlign w:val="center"/>
                </w:tcPr>
                <w:p w14:paraId="0890D07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COD</w:t>
                  </w:r>
                </w:p>
              </w:tc>
              <w:tc>
                <w:tcPr>
                  <w:tcW w:w="820" w:type="dxa"/>
                  <w:tcBorders>
                    <w:tl2br w:val="nil"/>
                    <w:tr2bl w:val="nil"/>
                  </w:tcBorders>
                  <w:shd w:val="clear" w:color="auto" w:fill="auto"/>
                  <w:vAlign w:val="center"/>
                </w:tcPr>
                <w:p w14:paraId="16532942">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279</w:t>
                  </w:r>
                </w:p>
              </w:tc>
              <w:tc>
                <w:tcPr>
                  <w:tcW w:w="694" w:type="dxa"/>
                  <w:tcBorders>
                    <w:tl2br w:val="nil"/>
                    <w:tr2bl w:val="nil"/>
                  </w:tcBorders>
                  <w:shd w:val="clear" w:color="auto" w:fill="auto"/>
                  <w:vAlign w:val="center"/>
                </w:tcPr>
                <w:p w14:paraId="45BFE19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39.202</w:t>
                  </w:r>
                </w:p>
              </w:tc>
              <w:tc>
                <w:tcPr>
                  <w:tcW w:w="444" w:type="dxa"/>
                  <w:tcBorders>
                    <w:tl2br w:val="nil"/>
                    <w:tr2bl w:val="nil"/>
                  </w:tcBorders>
                  <w:shd w:val="clear" w:color="auto" w:fill="auto"/>
                  <w:vAlign w:val="center"/>
                </w:tcPr>
                <w:p w14:paraId="67AD8E3E">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w:t>
                  </w:r>
                </w:p>
              </w:tc>
              <w:tc>
                <w:tcPr>
                  <w:tcW w:w="486" w:type="dxa"/>
                  <w:tcBorders>
                    <w:tl2br w:val="nil"/>
                    <w:tr2bl w:val="nil"/>
                  </w:tcBorders>
                  <w:shd w:val="clear" w:color="auto" w:fill="auto"/>
                  <w:vAlign w:val="center"/>
                </w:tcPr>
                <w:p w14:paraId="2A0D08B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862" w:type="dxa"/>
                  <w:tcBorders>
                    <w:tl2br w:val="nil"/>
                    <w:tr2bl w:val="nil"/>
                  </w:tcBorders>
                  <w:shd w:val="clear" w:color="auto" w:fill="auto"/>
                  <w:vAlign w:val="center"/>
                </w:tcPr>
                <w:p w14:paraId="3F9B0B39">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COD</w:t>
                  </w:r>
                </w:p>
              </w:tc>
              <w:tc>
                <w:tcPr>
                  <w:tcW w:w="833" w:type="dxa"/>
                  <w:tcBorders>
                    <w:tl2br w:val="nil"/>
                    <w:tr2bl w:val="nil"/>
                  </w:tcBorders>
                  <w:shd w:val="clear" w:color="auto" w:fill="auto"/>
                  <w:vAlign w:val="center"/>
                </w:tcPr>
                <w:p w14:paraId="56883BE0">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129</w:t>
                  </w:r>
                </w:p>
              </w:tc>
              <w:tc>
                <w:tcPr>
                  <w:tcW w:w="653" w:type="dxa"/>
                  <w:tcBorders>
                    <w:tl2br w:val="nil"/>
                    <w:tr2bl w:val="nil"/>
                  </w:tcBorders>
                  <w:shd w:val="clear" w:color="auto" w:fill="auto"/>
                  <w:vAlign w:val="center"/>
                </w:tcPr>
                <w:p w14:paraId="4164AEBB">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18.185</w:t>
                  </w:r>
                </w:p>
              </w:tc>
              <w:tc>
                <w:tcPr>
                  <w:tcW w:w="807" w:type="dxa"/>
                  <w:tcBorders>
                    <w:tl2br w:val="nil"/>
                    <w:tr2bl w:val="nil"/>
                  </w:tcBorders>
                  <w:shd w:val="clear" w:color="auto" w:fill="auto"/>
                  <w:vAlign w:val="center"/>
                </w:tcPr>
                <w:p w14:paraId="44C7EDD7">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350</w:t>
                  </w:r>
                </w:p>
              </w:tc>
              <w:tc>
                <w:tcPr>
                  <w:tcW w:w="495" w:type="dxa"/>
                  <w:vMerge w:val="continue"/>
                  <w:tcBorders>
                    <w:tl2br w:val="nil"/>
                    <w:tr2bl w:val="nil"/>
                  </w:tcBorders>
                  <w:shd w:val="clear" w:color="auto" w:fill="auto"/>
                  <w:vAlign w:val="center"/>
                </w:tcPr>
                <w:p w14:paraId="012DC61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r>
            <w:tr w14:paraId="7C8BA98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3BC55DAB">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875" w:type="dxa"/>
                  <w:tcBorders>
                    <w:tl2br w:val="nil"/>
                    <w:tr2bl w:val="nil"/>
                  </w:tcBorders>
                  <w:shd w:val="clear" w:color="auto" w:fill="auto"/>
                  <w:vAlign w:val="center"/>
                </w:tcPr>
                <w:p w14:paraId="5A2B3B4A">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BOD</w:t>
                  </w:r>
                  <w:r>
                    <w:rPr>
                      <w:rFonts w:hint="default"/>
                      <w:color w:val="auto"/>
                      <w:vertAlign w:val="subscript"/>
                      <w:lang w:val="en-US" w:eastAsia="zh-CN"/>
                    </w:rPr>
                    <w:t>5</w:t>
                  </w:r>
                </w:p>
              </w:tc>
              <w:tc>
                <w:tcPr>
                  <w:tcW w:w="820" w:type="dxa"/>
                  <w:tcBorders>
                    <w:tl2br w:val="nil"/>
                    <w:tr2bl w:val="nil"/>
                  </w:tcBorders>
                  <w:shd w:val="clear" w:color="auto" w:fill="auto"/>
                  <w:vAlign w:val="center"/>
                </w:tcPr>
                <w:p w14:paraId="5218ABB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120</w:t>
                  </w:r>
                </w:p>
              </w:tc>
              <w:tc>
                <w:tcPr>
                  <w:tcW w:w="694" w:type="dxa"/>
                  <w:tcBorders>
                    <w:tl2br w:val="nil"/>
                    <w:tr2bl w:val="nil"/>
                  </w:tcBorders>
                  <w:shd w:val="clear" w:color="auto" w:fill="auto"/>
                  <w:vAlign w:val="center"/>
                </w:tcPr>
                <w:p w14:paraId="547E184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16.900</w:t>
                  </w:r>
                </w:p>
              </w:tc>
              <w:tc>
                <w:tcPr>
                  <w:tcW w:w="444" w:type="dxa"/>
                  <w:tcBorders>
                    <w:tl2br w:val="nil"/>
                    <w:tr2bl w:val="nil"/>
                  </w:tcBorders>
                  <w:shd w:val="clear" w:color="auto" w:fill="auto"/>
                  <w:vAlign w:val="center"/>
                </w:tcPr>
                <w:p w14:paraId="7C2528E1">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w:t>
                  </w:r>
                </w:p>
              </w:tc>
              <w:tc>
                <w:tcPr>
                  <w:tcW w:w="486" w:type="dxa"/>
                  <w:tcBorders>
                    <w:tl2br w:val="nil"/>
                    <w:tr2bl w:val="nil"/>
                  </w:tcBorders>
                  <w:shd w:val="clear" w:color="auto" w:fill="auto"/>
                  <w:vAlign w:val="center"/>
                </w:tcPr>
                <w:p w14:paraId="5E6E25A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862" w:type="dxa"/>
                  <w:tcBorders>
                    <w:tl2br w:val="nil"/>
                    <w:tr2bl w:val="nil"/>
                  </w:tcBorders>
                  <w:shd w:val="clear" w:color="auto" w:fill="auto"/>
                  <w:vAlign w:val="center"/>
                </w:tcPr>
                <w:p w14:paraId="295BB585">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BOD</w:t>
                  </w:r>
                  <w:r>
                    <w:rPr>
                      <w:rFonts w:hint="default"/>
                      <w:color w:val="auto"/>
                      <w:vertAlign w:val="subscript"/>
                      <w:lang w:val="en-US" w:eastAsia="zh-CN"/>
                    </w:rPr>
                    <w:t>5</w:t>
                  </w:r>
                </w:p>
              </w:tc>
              <w:tc>
                <w:tcPr>
                  <w:tcW w:w="833" w:type="dxa"/>
                  <w:tcBorders>
                    <w:tl2br w:val="nil"/>
                    <w:tr2bl w:val="nil"/>
                  </w:tcBorders>
                  <w:shd w:val="clear" w:color="auto" w:fill="auto"/>
                  <w:vAlign w:val="center"/>
                </w:tcPr>
                <w:p w14:paraId="231E777E">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36</w:t>
                  </w:r>
                </w:p>
              </w:tc>
              <w:tc>
                <w:tcPr>
                  <w:tcW w:w="653" w:type="dxa"/>
                  <w:tcBorders>
                    <w:tl2br w:val="nil"/>
                    <w:tr2bl w:val="nil"/>
                  </w:tcBorders>
                  <w:shd w:val="clear" w:color="auto" w:fill="auto"/>
                  <w:vAlign w:val="center"/>
                </w:tcPr>
                <w:p w14:paraId="08B73A5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5.069</w:t>
                  </w:r>
                </w:p>
              </w:tc>
              <w:tc>
                <w:tcPr>
                  <w:tcW w:w="807" w:type="dxa"/>
                  <w:tcBorders>
                    <w:tl2br w:val="nil"/>
                    <w:tr2bl w:val="nil"/>
                  </w:tcBorders>
                  <w:shd w:val="clear" w:color="auto" w:fill="auto"/>
                  <w:vAlign w:val="center"/>
                </w:tcPr>
                <w:p w14:paraId="080E575C">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300</w:t>
                  </w:r>
                </w:p>
              </w:tc>
              <w:tc>
                <w:tcPr>
                  <w:tcW w:w="495" w:type="dxa"/>
                  <w:vMerge w:val="continue"/>
                  <w:tcBorders>
                    <w:tl2br w:val="nil"/>
                    <w:tr2bl w:val="nil"/>
                  </w:tcBorders>
                  <w:shd w:val="clear" w:color="auto" w:fill="auto"/>
                  <w:vAlign w:val="center"/>
                </w:tcPr>
                <w:p w14:paraId="72408A6B">
                  <w:pPr>
                    <w:pStyle w:val="21"/>
                    <w:keepNext w:val="0"/>
                    <w:keepLines w:val="0"/>
                    <w:suppressLineNumbers w:val="0"/>
                    <w:spacing w:before="0" w:beforeAutospacing="0" w:after="0" w:afterAutospacing="0"/>
                    <w:ind w:left="0" w:right="0"/>
                    <w:rPr>
                      <w:rFonts w:hint="eastAsia"/>
                      <w:color w:val="auto"/>
                      <w:highlight w:val="none"/>
                      <w:lang w:val="en-US" w:eastAsia="zh-CN"/>
                    </w:rPr>
                  </w:pPr>
                </w:p>
              </w:tc>
            </w:tr>
            <w:tr w14:paraId="16049D8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5D957FE4">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875" w:type="dxa"/>
                  <w:tcBorders>
                    <w:tl2br w:val="nil"/>
                    <w:tr2bl w:val="nil"/>
                  </w:tcBorders>
                  <w:shd w:val="clear" w:color="auto" w:fill="auto"/>
                  <w:vAlign w:val="center"/>
                </w:tcPr>
                <w:p w14:paraId="52F2902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SS</w:t>
                  </w:r>
                </w:p>
              </w:tc>
              <w:tc>
                <w:tcPr>
                  <w:tcW w:w="820" w:type="dxa"/>
                  <w:tcBorders>
                    <w:tl2br w:val="nil"/>
                    <w:tr2bl w:val="nil"/>
                  </w:tcBorders>
                  <w:shd w:val="clear" w:color="auto" w:fill="auto"/>
                  <w:vAlign w:val="center"/>
                </w:tcPr>
                <w:p w14:paraId="68BBC15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159</w:t>
                  </w:r>
                </w:p>
              </w:tc>
              <w:tc>
                <w:tcPr>
                  <w:tcW w:w="694" w:type="dxa"/>
                  <w:tcBorders>
                    <w:tl2br w:val="nil"/>
                    <w:tr2bl w:val="nil"/>
                  </w:tcBorders>
                  <w:shd w:val="clear" w:color="auto" w:fill="auto"/>
                  <w:vAlign w:val="center"/>
                </w:tcPr>
                <w:p w14:paraId="77D0091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22.418</w:t>
                  </w:r>
                </w:p>
              </w:tc>
              <w:tc>
                <w:tcPr>
                  <w:tcW w:w="444" w:type="dxa"/>
                  <w:tcBorders>
                    <w:tl2br w:val="nil"/>
                    <w:tr2bl w:val="nil"/>
                  </w:tcBorders>
                  <w:shd w:val="clear" w:color="auto" w:fill="auto"/>
                  <w:vAlign w:val="center"/>
                </w:tcPr>
                <w:p w14:paraId="12B67B0B">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w:t>
                  </w:r>
                </w:p>
              </w:tc>
              <w:tc>
                <w:tcPr>
                  <w:tcW w:w="486" w:type="dxa"/>
                  <w:tcBorders>
                    <w:tl2br w:val="nil"/>
                    <w:tr2bl w:val="nil"/>
                  </w:tcBorders>
                  <w:shd w:val="clear" w:color="auto" w:fill="auto"/>
                  <w:vAlign w:val="center"/>
                </w:tcPr>
                <w:p w14:paraId="37E83B0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862" w:type="dxa"/>
                  <w:tcBorders>
                    <w:tl2br w:val="nil"/>
                    <w:tr2bl w:val="nil"/>
                  </w:tcBorders>
                  <w:shd w:val="clear" w:color="auto" w:fill="auto"/>
                  <w:vAlign w:val="center"/>
                </w:tcPr>
                <w:p w14:paraId="1A3CB8EC">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SS</w:t>
                  </w:r>
                </w:p>
              </w:tc>
              <w:tc>
                <w:tcPr>
                  <w:tcW w:w="833" w:type="dxa"/>
                  <w:tcBorders>
                    <w:tl2br w:val="nil"/>
                    <w:tr2bl w:val="nil"/>
                  </w:tcBorders>
                  <w:shd w:val="clear" w:color="auto" w:fill="auto"/>
                  <w:vAlign w:val="center"/>
                </w:tcPr>
                <w:p w14:paraId="70B20E1E">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64</w:t>
                  </w:r>
                </w:p>
              </w:tc>
              <w:tc>
                <w:tcPr>
                  <w:tcW w:w="653" w:type="dxa"/>
                  <w:tcBorders>
                    <w:tl2br w:val="nil"/>
                    <w:tr2bl w:val="nil"/>
                  </w:tcBorders>
                  <w:shd w:val="clear" w:color="auto" w:fill="auto"/>
                  <w:vAlign w:val="center"/>
                </w:tcPr>
                <w:p w14:paraId="288B3AF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8.956</w:t>
                  </w:r>
                </w:p>
              </w:tc>
              <w:tc>
                <w:tcPr>
                  <w:tcW w:w="807" w:type="dxa"/>
                  <w:tcBorders>
                    <w:tl2br w:val="nil"/>
                    <w:tr2bl w:val="nil"/>
                  </w:tcBorders>
                  <w:shd w:val="clear" w:color="auto" w:fill="auto"/>
                  <w:vAlign w:val="center"/>
                </w:tcPr>
                <w:p w14:paraId="06C742CE">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default"/>
                      <w:color w:val="auto"/>
                      <w:lang w:val="en-US" w:eastAsia="zh-CN"/>
                    </w:rPr>
                    <w:t>250</w:t>
                  </w:r>
                </w:p>
              </w:tc>
              <w:tc>
                <w:tcPr>
                  <w:tcW w:w="495" w:type="dxa"/>
                  <w:vMerge w:val="continue"/>
                  <w:tcBorders>
                    <w:tl2br w:val="nil"/>
                    <w:tr2bl w:val="nil"/>
                  </w:tcBorders>
                  <w:shd w:val="clear" w:color="auto" w:fill="auto"/>
                  <w:vAlign w:val="center"/>
                </w:tcPr>
                <w:p w14:paraId="6D231BCC">
                  <w:pPr>
                    <w:pStyle w:val="21"/>
                    <w:keepNext w:val="0"/>
                    <w:keepLines w:val="0"/>
                    <w:suppressLineNumbers w:val="0"/>
                    <w:spacing w:before="0" w:beforeAutospacing="0" w:after="0" w:afterAutospacing="0"/>
                    <w:ind w:left="0" w:right="0"/>
                    <w:rPr>
                      <w:rFonts w:hint="eastAsia"/>
                      <w:color w:val="auto"/>
                      <w:highlight w:val="none"/>
                      <w:lang w:val="en-US" w:eastAsia="zh-CN"/>
                    </w:rPr>
                  </w:pPr>
                </w:p>
              </w:tc>
            </w:tr>
            <w:tr w14:paraId="71E10ED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2EDCC849">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875" w:type="dxa"/>
                  <w:tcBorders>
                    <w:tl2br w:val="nil"/>
                    <w:tr2bl w:val="nil"/>
                  </w:tcBorders>
                  <w:shd w:val="clear" w:color="auto" w:fill="auto"/>
                  <w:vAlign w:val="center"/>
                </w:tcPr>
                <w:p w14:paraId="2964ED8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氨氮</w:t>
                  </w:r>
                </w:p>
              </w:tc>
              <w:tc>
                <w:tcPr>
                  <w:tcW w:w="820" w:type="dxa"/>
                  <w:tcBorders>
                    <w:tl2br w:val="nil"/>
                    <w:tr2bl w:val="nil"/>
                  </w:tcBorders>
                  <w:shd w:val="clear" w:color="auto" w:fill="auto"/>
                  <w:vAlign w:val="center"/>
                </w:tcPr>
                <w:p w14:paraId="654FACC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18.1</w:t>
                  </w:r>
                </w:p>
              </w:tc>
              <w:tc>
                <w:tcPr>
                  <w:tcW w:w="694" w:type="dxa"/>
                  <w:tcBorders>
                    <w:tl2br w:val="nil"/>
                    <w:tr2bl w:val="nil"/>
                  </w:tcBorders>
                  <w:shd w:val="clear" w:color="auto" w:fill="auto"/>
                  <w:vAlign w:val="center"/>
                </w:tcPr>
                <w:p w14:paraId="3EDE46C0">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2.542</w:t>
                  </w:r>
                </w:p>
              </w:tc>
              <w:tc>
                <w:tcPr>
                  <w:tcW w:w="444" w:type="dxa"/>
                  <w:tcBorders>
                    <w:tl2br w:val="nil"/>
                    <w:tr2bl w:val="nil"/>
                  </w:tcBorders>
                  <w:shd w:val="clear" w:color="auto" w:fill="auto"/>
                  <w:vAlign w:val="center"/>
                </w:tcPr>
                <w:p w14:paraId="7E6E5098">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w:t>
                  </w:r>
                </w:p>
              </w:tc>
              <w:tc>
                <w:tcPr>
                  <w:tcW w:w="486" w:type="dxa"/>
                  <w:tcBorders>
                    <w:tl2br w:val="nil"/>
                    <w:tr2bl w:val="nil"/>
                  </w:tcBorders>
                  <w:shd w:val="clear" w:color="auto" w:fill="auto"/>
                  <w:vAlign w:val="center"/>
                </w:tcPr>
                <w:p w14:paraId="14E7ACE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862" w:type="dxa"/>
                  <w:tcBorders>
                    <w:tl2br w:val="nil"/>
                    <w:tr2bl w:val="nil"/>
                  </w:tcBorders>
                  <w:shd w:val="clear" w:color="auto" w:fill="auto"/>
                  <w:vAlign w:val="center"/>
                </w:tcPr>
                <w:p w14:paraId="377DA6C1">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氨氮</w:t>
                  </w:r>
                </w:p>
              </w:tc>
              <w:tc>
                <w:tcPr>
                  <w:tcW w:w="833" w:type="dxa"/>
                  <w:tcBorders>
                    <w:tl2br w:val="nil"/>
                    <w:tr2bl w:val="nil"/>
                  </w:tcBorders>
                  <w:shd w:val="clear" w:color="auto" w:fill="auto"/>
                  <w:vAlign w:val="center"/>
                </w:tcPr>
                <w:p w14:paraId="21FCD3E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7.3</w:t>
                  </w:r>
                </w:p>
              </w:tc>
              <w:tc>
                <w:tcPr>
                  <w:tcW w:w="653" w:type="dxa"/>
                  <w:tcBorders>
                    <w:tl2br w:val="nil"/>
                    <w:tr2bl w:val="nil"/>
                  </w:tcBorders>
                  <w:shd w:val="clear" w:color="auto" w:fill="auto"/>
                  <w:vAlign w:val="center"/>
                </w:tcPr>
                <w:p w14:paraId="13BA4177">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1.03</w:t>
                  </w:r>
                </w:p>
              </w:tc>
              <w:tc>
                <w:tcPr>
                  <w:tcW w:w="807" w:type="dxa"/>
                  <w:tcBorders>
                    <w:tl2br w:val="nil"/>
                    <w:tr2bl w:val="nil"/>
                  </w:tcBorders>
                  <w:shd w:val="clear" w:color="auto" w:fill="auto"/>
                  <w:vAlign w:val="center"/>
                </w:tcPr>
                <w:p w14:paraId="7FFE431B">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default"/>
                      <w:color w:val="auto"/>
                      <w:lang w:val="en-US" w:eastAsia="zh-CN"/>
                    </w:rPr>
                    <w:t>35</w:t>
                  </w:r>
                </w:p>
              </w:tc>
              <w:tc>
                <w:tcPr>
                  <w:tcW w:w="495" w:type="dxa"/>
                  <w:vMerge w:val="continue"/>
                  <w:tcBorders>
                    <w:tl2br w:val="nil"/>
                    <w:tr2bl w:val="nil"/>
                  </w:tcBorders>
                  <w:shd w:val="clear" w:color="auto" w:fill="auto"/>
                  <w:vAlign w:val="center"/>
                </w:tcPr>
                <w:p w14:paraId="6A31EB7D">
                  <w:pPr>
                    <w:pStyle w:val="21"/>
                    <w:keepNext w:val="0"/>
                    <w:keepLines w:val="0"/>
                    <w:suppressLineNumbers w:val="0"/>
                    <w:spacing w:before="0" w:beforeAutospacing="0" w:after="0" w:afterAutospacing="0"/>
                    <w:ind w:left="0" w:right="0"/>
                    <w:rPr>
                      <w:rFonts w:hint="eastAsia"/>
                      <w:color w:val="auto"/>
                      <w:highlight w:val="none"/>
                      <w:lang w:val="en-US" w:eastAsia="zh-CN"/>
                    </w:rPr>
                  </w:pPr>
                </w:p>
              </w:tc>
            </w:tr>
            <w:tr w14:paraId="517D22D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770D14C6">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875" w:type="dxa"/>
                  <w:tcBorders>
                    <w:tl2br w:val="nil"/>
                    <w:tr2bl w:val="nil"/>
                  </w:tcBorders>
                  <w:shd w:val="clear" w:color="auto" w:fill="auto"/>
                  <w:vAlign w:val="center"/>
                </w:tcPr>
                <w:p w14:paraId="302702C3">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TN</w:t>
                  </w:r>
                </w:p>
              </w:tc>
              <w:tc>
                <w:tcPr>
                  <w:tcW w:w="820" w:type="dxa"/>
                  <w:tcBorders>
                    <w:tl2br w:val="nil"/>
                    <w:tr2bl w:val="nil"/>
                  </w:tcBorders>
                  <w:shd w:val="clear" w:color="auto" w:fill="auto"/>
                  <w:vAlign w:val="center"/>
                </w:tcPr>
                <w:p w14:paraId="70A1DFC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24.1</w:t>
                  </w:r>
                </w:p>
              </w:tc>
              <w:tc>
                <w:tcPr>
                  <w:tcW w:w="694" w:type="dxa"/>
                  <w:tcBorders>
                    <w:tl2br w:val="nil"/>
                    <w:tr2bl w:val="nil"/>
                  </w:tcBorders>
                  <w:shd w:val="clear" w:color="auto" w:fill="auto"/>
                  <w:vAlign w:val="center"/>
                </w:tcPr>
                <w:p w14:paraId="61D0BE9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3.396</w:t>
                  </w:r>
                </w:p>
              </w:tc>
              <w:tc>
                <w:tcPr>
                  <w:tcW w:w="444" w:type="dxa"/>
                  <w:tcBorders>
                    <w:tl2br w:val="nil"/>
                    <w:tr2bl w:val="nil"/>
                  </w:tcBorders>
                  <w:shd w:val="clear" w:color="auto" w:fill="auto"/>
                  <w:vAlign w:val="center"/>
                </w:tcPr>
                <w:p w14:paraId="02EBC3E2">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w:t>
                  </w:r>
                </w:p>
              </w:tc>
              <w:tc>
                <w:tcPr>
                  <w:tcW w:w="486" w:type="dxa"/>
                  <w:tcBorders>
                    <w:tl2br w:val="nil"/>
                    <w:tr2bl w:val="nil"/>
                  </w:tcBorders>
                  <w:shd w:val="clear" w:color="auto" w:fill="auto"/>
                  <w:vAlign w:val="center"/>
                </w:tcPr>
                <w:p w14:paraId="6EE873D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862" w:type="dxa"/>
                  <w:tcBorders>
                    <w:tl2br w:val="nil"/>
                    <w:tr2bl w:val="nil"/>
                  </w:tcBorders>
                  <w:shd w:val="clear" w:color="auto" w:fill="auto"/>
                  <w:vAlign w:val="center"/>
                </w:tcPr>
                <w:p w14:paraId="214691A1">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TN</w:t>
                  </w:r>
                </w:p>
              </w:tc>
              <w:tc>
                <w:tcPr>
                  <w:tcW w:w="833" w:type="dxa"/>
                  <w:tcBorders>
                    <w:tl2br w:val="nil"/>
                    <w:tr2bl w:val="nil"/>
                  </w:tcBorders>
                  <w:shd w:val="clear" w:color="auto" w:fill="auto"/>
                  <w:vAlign w:val="center"/>
                </w:tcPr>
                <w:p w14:paraId="5A852F0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10.4</w:t>
                  </w:r>
                </w:p>
              </w:tc>
              <w:tc>
                <w:tcPr>
                  <w:tcW w:w="653" w:type="dxa"/>
                  <w:tcBorders>
                    <w:tl2br w:val="nil"/>
                    <w:tr2bl w:val="nil"/>
                  </w:tcBorders>
                  <w:shd w:val="clear" w:color="auto" w:fill="auto"/>
                  <w:vAlign w:val="center"/>
                </w:tcPr>
                <w:p w14:paraId="5013096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1.468</w:t>
                  </w:r>
                </w:p>
              </w:tc>
              <w:tc>
                <w:tcPr>
                  <w:tcW w:w="807" w:type="dxa"/>
                  <w:tcBorders>
                    <w:tl2br w:val="nil"/>
                    <w:tr2bl w:val="nil"/>
                  </w:tcBorders>
                  <w:shd w:val="clear" w:color="auto" w:fill="auto"/>
                  <w:vAlign w:val="center"/>
                </w:tcPr>
                <w:p w14:paraId="4A774140">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default"/>
                      <w:color w:val="auto"/>
                      <w:lang w:val="en-US" w:eastAsia="zh-CN"/>
                    </w:rPr>
                    <w:t>45</w:t>
                  </w:r>
                </w:p>
              </w:tc>
              <w:tc>
                <w:tcPr>
                  <w:tcW w:w="495" w:type="dxa"/>
                  <w:vMerge w:val="continue"/>
                  <w:tcBorders>
                    <w:tl2br w:val="nil"/>
                    <w:tr2bl w:val="nil"/>
                  </w:tcBorders>
                  <w:shd w:val="clear" w:color="auto" w:fill="auto"/>
                  <w:vAlign w:val="center"/>
                </w:tcPr>
                <w:p w14:paraId="6F1A1C94">
                  <w:pPr>
                    <w:pStyle w:val="21"/>
                    <w:keepNext w:val="0"/>
                    <w:keepLines w:val="0"/>
                    <w:suppressLineNumbers w:val="0"/>
                    <w:spacing w:before="0" w:beforeAutospacing="0" w:after="0" w:afterAutospacing="0"/>
                    <w:ind w:left="0" w:right="0"/>
                    <w:rPr>
                      <w:rFonts w:hint="eastAsia"/>
                      <w:color w:val="auto"/>
                      <w:highlight w:val="none"/>
                      <w:lang w:val="en-US" w:eastAsia="zh-CN"/>
                    </w:rPr>
                  </w:pPr>
                </w:p>
              </w:tc>
            </w:tr>
            <w:tr w14:paraId="669D72B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2D8E27F4">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875" w:type="dxa"/>
                  <w:tcBorders>
                    <w:tl2br w:val="nil"/>
                    <w:tr2bl w:val="nil"/>
                  </w:tcBorders>
                  <w:shd w:val="clear" w:color="auto" w:fill="auto"/>
                  <w:vAlign w:val="center"/>
                </w:tcPr>
                <w:p w14:paraId="2A8BD4E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TP</w:t>
                  </w:r>
                </w:p>
              </w:tc>
              <w:tc>
                <w:tcPr>
                  <w:tcW w:w="820" w:type="dxa"/>
                  <w:tcBorders>
                    <w:tl2br w:val="nil"/>
                    <w:tr2bl w:val="nil"/>
                  </w:tcBorders>
                  <w:shd w:val="clear" w:color="auto" w:fill="auto"/>
                  <w:vAlign w:val="center"/>
                </w:tcPr>
                <w:p w14:paraId="589AFDE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7.9</w:t>
                  </w:r>
                </w:p>
              </w:tc>
              <w:tc>
                <w:tcPr>
                  <w:tcW w:w="694" w:type="dxa"/>
                  <w:tcBorders>
                    <w:tl2br w:val="nil"/>
                    <w:tr2bl w:val="nil"/>
                  </w:tcBorders>
                  <w:shd w:val="clear" w:color="auto" w:fill="auto"/>
                  <w:vAlign w:val="center"/>
                </w:tcPr>
                <w:p w14:paraId="2314F452">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1.112</w:t>
                  </w:r>
                </w:p>
              </w:tc>
              <w:tc>
                <w:tcPr>
                  <w:tcW w:w="444" w:type="dxa"/>
                  <w:tcBorders>
                    <w:tl2br w:val="nil"/>
                    <w:tr2bl w:val="nil"/>
                  </w:tcBorders>
                  <w:shd w:val="clear" w:color="auto" w:fill="auto"/>
                  <w:vAlign w:val="center"/>
                </w:tcPr>
                <w:p w14:paraId="3EC5906C">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w:t>
                  </w:r>
                </w:p>
              </w:tc>
              <w:tc>
                <w:tcPr>
                  <w:tcW w:w="486" w:type="dxa"/>
                  <w:tcBorders>
                    <w:tl2br w:val="nil"/>
                    <w:tr2bl w:val="nil"/>
                  </w:tcBorders>
                  <w:shd w:val="clear" w:color="auto" w:fill="auto"/>
                  <w:vAlign w:val="center"/>
                </w:tcPr>
                <w:p w14:paraId="7491DFBC">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862" w:type="dxa"/>
                  <w:tcBorders>
                    <w:tl2br w:val="nil"/>
                    <w:tr2bl w:val="nil"/>
                  </w:tcBorders>
                  <w:shd w:val="clear" w:color="auto" w:fill="auto"/>
                  <w:vAlign w:val="center"/>
                </w:tcPr>
                <w:p w14:paraId="2052057B">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TP</w:t>
                  </w:r>
                </w:p>
              </w:tc>
              <w:tc>
                <w:tcPr>
                  <w:tcW w:w="833" w:type="dxa"/>
                  <w:tcBorders>
                    <w:tl2br w:val="nil"/>
                    <w:tr2bl w:val="nil"/>
                  </w:tcBorders>
                  <w:shd w:val="clear" w:color="auto" w:fill="auto"/>
                  <w:vAlign w:val="center"/>
                </w:tcPr>
                <w:p w14:paraId="200205B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3.6</w:t>
                  </w:r>
                </w:p>
              </w:tc>
              <w:tc>
                <w:tcPr>
                  <w:tcW w:w="653" w:type="dxa"/>
                  <w:tcBorders>
                    <w:tl2br w:val="nil"/>
                    <w:tr2bl w:val="nil"/>
                  </w:tcBorders>
                  <w:shd w:val="clear" w:color="auto" w:fill="auto"/>
                  <w:vAlign w:val="center"/>
                </w:tcPr>
                <w:p w14:paraId="3970C5D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0.501</w:t>
                  </w:r>
                </w:p>
              </w:tc>
              <w:tc>
                <w:tcPr>
                  <w:tcW w:w="807" w:type="dxa"/>
                  <w:tcBorders>
                    <w:tl2br w:val="nil"/>
                    <w:tr2bl w:val="nil"/>
                  </w:tcBorders>
                  <w:shd w:val="clear" w:color="auto" w:fill="auto"/>
                  <w:vAlign w:val="center"/>
                </w:tcPr>
                <w:p w14:paraId="03B5847C">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default"/>
                      <w:color w:val="auto"/>
                      <w:lang w:val="en-US" w:eastAsia="zh-CN"/>
                    </w:rPr>
                    <w:t>4</w:t>
                  </w:r>
                </w:p>
              </w:tc>
              <w:tc>
                <w:tcPr>
                  <w:tcW w:w="495" w:type="dxa"/>
                  <w:vMerge w:val="continue"/>
                  <w:tcBorders>
                    <w:tl2br w:val="nil"/>
                    <w:tr2bl w:val="nil"/>
                  </w:tcBorders>
                  <w:shd w:val="clear" w:color="auto" w:fill="auto"/>
                  <w:vAlign w:val="center"/>
                </w:tcPr>
                <w:p w14:paraId="7593493E">
                  <w:pPr>
                    <w:pStyle w:val="21"/>
                    <w:keepNext w:val="0"/>
                    <w:keepLines w:val="0"/>
                    <w:suppressLineNumbers w:val="0"/>
                    <w:spacing w:before="0" w:beforeAutospacing="0" w:after="0" w:afterAutospacing="0"/>
                    <w:ind w:left="0" w:right="0"/>
                    <w:rPr>
                      <w:rFonts w:hint="eastAsia"/>
                      <w:color w:val="auto"/>
                      <w:highlight w:val="none"/>
                      <w:lang w:val="en-US" w:eastAsia="zh-CN"/>
                    </w:rPr>
                  </w:pPr>
                </w:p>
              </w:tc>
            </w:tr>
            <w:tr w14:paraId="3A465A7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3" w:type="dxa"/>
                  <w:vMerge w:val="continue"/>
                  <w:tcBorders>
                    <w:tl2br w:val="nil"/>
                    <w:tr2bl w:val="nil"/>
                  </w:tcBorders>
                  <w:shd w:val="clear" w:color="auto" w:fill="auto"/>
                  <w:vAlign w:val="center"/>
                </w:tcPr>
                <w:p w14:paraId="1C47F637">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875" w:type="dxa"/>
                  <w:tcBorders>
                    <w:tl2br w:val="nil"/>
                    <w:tr2bl w:val="nil"/>
                  </w:tcBorders>
                  <w:shd w:val="clear" w:color="auto" w:fill="auto"/>
                  <w:vAlign w:val="center"/>
                </w:tcPr>
                <w:p w14:paraId="5DD7081F">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动植物油</w:t>
                  </w:r>
                </w:p>
              </w:tc>
              <w:tc>
                <w:tcPr>
                  <w:tcW w:w="820" w:type="dxa"/>
                  <w:tcBorders>
                    <w:tl2br w:val="nil"/>
                    <w:tr2bl w:val="nil"/>
                  </w:tcBorders>
                  <w:shd w:val="clear" w:color="auto" w:fill="auto"/>
                  <w:vAlign w:val="center"/>
                </w:tcPr>
                <w:p w14:paraId="480BD220">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 xml:space="preserve">0.5 </w:t>
                  </w:r>
                </w:p>
              </w:tc>
              <w:tc>
                <w:tcPr>
                  <w:tcW w:w="694" w:type="dxa"/>
                  <w:tcBorders>
                    <w:tl2br w:val="nil"/>
                    <w:tr2bl w:val="nil"/>
                  </w:tcBorders>
                  <w:shd w:val="clear" w:color="auto" w:fill="auto"/>
                  <w:vAlign w:val="center"/>
                </w:tcPr>
                <w:p w14:paraId="47A4027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0.077</w:t>
                  </w:r>
                </w:p>
              </w:tc>
              <w:tc>
                <w:tcPr>
                  <w:tcW w:w="444" w:type="dxa"/>
                  <w:tcBorders>
                    <w:tl2br w:val="nil"/>
                    <w:tr2bl w:val="nil"/>
                  </w:tcBorders>
                  <w:shd w:val="clear" w:color="auto" w:fill="auto"/>
                  <w:vAlign w:val="center"/>
                </w:tcPr>
                <w:p w14:paraId="7A4B9883">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w:t>
                  </w:r>
                </w:p>
              </w:tc>
              <w:tc>
                <w:tcPr>
                  <w:tcW w:w="486" w:type="dxa"/>
                  <w:tcBorders>
                    <w:tl2br w:val="nil"/>
                    <w:tr2bl w:val="nil"/>
                  </w:tcBorders>
                  <w:shd w:val="clear" w:color="auto" w:fill="auto"/>
                  <w:vAlign w:val="center"/>
                </w:tcPr>
                <w:p w14:paraId="69A3C96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862" w:type="dxa"/>
                  <w:tcBorders>
                    <w:tl2br w:val="nil"/>
                    <w:tr2bl w:val="nil"/>
                  </w:tcBorders>
                  <w:shd w:val="clear" w:color="auto" w:fill="auto"/>
                  <w:vAlign w:val="center"/>
                </w:tcPr>
                <w:p w14:paraId="379FE38E">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动植物油</w:t>
                  </w:r>
                </w:p>
              </w:tc>
              <w:tc>
                <w:tcPr>
                  <w:tcW w:w="833" w:type="dxa"/>
                  <w:tcBorders>
                    <w:tl2br w:val="nil"/>
                    <w:tr2bl w:val="nil"/>
                  </w:tcBorders>
                  <w:shd w:val="clear" w:color="auto" w:fill="auto"/>
                  <w:vAlign w:val="center"/>
                </w:tcPr>
                <w:p w14:paraId="5F6A7C6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 xml:space="preserve">0.2 </w:t>
                  </w:r>
                </w:p>
              </w:tc>
              <w:tc>
                <w:tcPr>
                  <w:tcW w:w="653" w:type="dxa"/>
                  <w:tcBorders>
                    <w:tl2br w:val="nil"/>
                    <w:tr2bl w:val="nil"/>
                  </w:tcBorders>
                  <w:shd w:val="clear" w:color="auto" w:fill="auto"/>
                  <w:vAlign w:val="center"/>
                </w:tcPr>
                <w:p w14:paraId="5C5953B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0.031</w:t>
                  </w:r>
                </w:p>
              </w:tc>
              <w:tc>
                <w:tcPr>
                  <w:tcW w:w="807" w:type="dxa"/>
                  <w:tcBorders>
                    <w:tl2br w:val="nil"/>
                    <w:tr2bl w:val="nil"/>
                  </w:tcBorders>
                  <w:shd w:val="clear" w:color="auto" w:fill="auto"/>
                  <w:vAlign w:val="center"/>
                </w:tcPr>
                <w:p w14:paraId="74BCF8E3">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20</w:t>
                  </w:r>
                </w:p>
              </w:tc>
              <w:tc>
                <w:tcPr>
                  <w:tcW w:w="495" w:type="dxa"/>
                  <w:vMerge w:val="continue"/>
                  <w:tcBorders>
                    <w:tl2br w:val="nil"/>
                    <w:tr2bl w:val="nil"/>
                  </w:tcBorders>
                  <w:shd w:val="clear" w:color="auto" w:fill="auto"/>
                  <w:vAlign w:val="center"/>
                </w:tcPr>
                <w:p w14:paraId="1E1D8D84">
                  <w:pPr>
                    <w:pStyle w:val="21"/>
                    <w:keepNext w:val="0"/>
                    <w:keepLines w:val="0"/>
                    <w:suppressLineNumbers w:val="0"/>
                    <w:spacing w:before="0" w:beforeAutospacing="0" w:after="0" w:afterAutospacing="0"/>
                    <w:ind w:left="0" w:right="0"/>
                    <w:rPr>
                      <w:rFonts w:hint="eastAsia"/>
                      <w:color w:val="auto"/>
                      <w:highlight w:val="none"/>
                      <w:lang w:val="en-US" w:eastAsia="zh-CN"/>
                    </w:rPr>
                  </w:pPr>
                </w:p>
              </w:tc>
            </w:tr>
          </w:tbl>
          <w:p w14:paraId="3595E165">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（3）废水类别、污染物及污染治理设施信息</w:t>
            </w:r>
          </w:p>
          <w:p w14:paraId="51F4B3E9">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rPr>
            </w:pPr>
            <w:r>
              <w:rPr>
                <w:rFonts w:hint="default" w:ascii="Times New Roman" w:hAnsi="Times New Roman" w:eastAsia="宋体"/>
                <w:color w:val="auto"/>
                <w:highlight w:val="none"/>
                <w:lang w:val="en-US"/>
              </w:rPr>
              <w:t>废水类别、污染物及污染治理设施信息见下表</w:t>
            </w:r>
            <w:r>
              <w:rPr>
                <w:rFonts w:hint="eastAsia" w:ascii="Times New Roman" w:hAnsi="Times New Roman" w:eastAsia="宋体"/>
                <w:color w:val="auto"/>
                <w:highlight w:val="none"/>
                <w:lang w:val="en-US"/>
              </w:rPr>
              <w:t>：</w:t>
            </w:r>
          </w:p>
          <w:p w14:paraId="33A6D1C7">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表4-</w:t>
            </w:r>
            <w:r>
              <w:rPr>
                <w:rFonts w:hint="eastAsia"/>
                <w:color w:val="auto"/>
                <w:highlight w:val="none"/>
                <w:lang w:val="en-US" w:eastAsia="zh-CN"/>
              </w:rPr>
              <w:t>11</w:t>
            </w:r>
            <w:r>
              <w:rPr>
                <w:rFonts w:hint="default" w:ascii="Times New Roman" w:hAnsi="Times New Roman" w:eastAsia="宋体"/>
                <w:color w:val="auto"/>
                <w:highlight w:val="none"/>
              </w:rPr>
              <w:t>废水类别、污染物及污染治理设施信息表</w:t>
            </w:r>
          </w:p>
          <w:tbl>
            <w:tblPr>
              <w:tblStyle w:val="1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05"/>
              <w:gridCol w:w="864"/>
              <w:gridCol w:w="925"/>
              <w:gridCol w:w="476"/>
              <w:gridCol w:w="694"/>
              <w:gridCol w:w="833"/>
              <w:gridCol w:w="833"/>
              <w:gridCol w:w="834"/>
              <w:gridCol w:w="833"/>
              <w:gridCol w:w="753"/>
              <w:gridCol w:w="510"/>
            </w:tblGrid>
            <w:tr w14:paraId="1F1A69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05" w:type="dxa"/>
                  <w:vMerge w:val="restart"/>
                  <w:tcBorders>
                    <w:tl2br w:val="nil"/>
                    <w:tr2bl w:val="nil"/>
                  </w:tcBorders>
                  <w:shd w:val="clear" w:color="auto" w:fill="auto"/>
                  <w:vAlign w:val="center"/>
                </w:tcPr>
                <w:p w14:paraId="21CA9ADC">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序号</w:t>
                  </w:r>
                </w:p>
              </w:tc>
              <w:tc>
                <w:tcPr>
                  <w:tcW w:w="864" w:type="dxa"/>
                  <w:vMerge w:val="restart"/>
                  <w:tcBorders>
                    <w:tl2br w:val="nil"/>
                    <w:tr2bl w:val="nil"/>
                  </w:tcBorders>
                  <w:shd w:val="clear" w:color="auto" w:fill="auto"/>
                  <w:vAlign w:val="center"/>
                </w:tcPr>
                <w:p w14:paraId="74A39C0C">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废水类别</w:t>
                  </w:r>
                </w:p>
              </w:tc>
              <w:tc>
                <w:tcPr>
                  <w:tcW w:w="925" w:type="dxa"/>
                  <w:vMerge w:val="restart"/>
                  <w:tcBorders>
                    <w:tl2br w:val="nil"/>
                    <w:tr2bl w:val="nil"/>
                  </w:tcBorders>
                  <w:shd w:val="clear" w:color="auto" w:fill="auto"/>
                  <w:vAlign w:val="center"/>
                </w:tcPr>
                <w:p w14:paraId="43A6660E">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污染物种类</w:t>
                  </w:r>
                </w:p>
              </w:tc>
              <w:tc>
                <w:tcPr>
                  <w:tcW w:w="476" w:type="dxa"/>
                  <w:vMerge w:val="restart"/>
                  <w:tcBorders>
                    <w:tl2br w:val="nil"/>
                    <w:tr2bl w:val="nil"/>
                  </w:tcBorders>
                  <w:shd w:val="clear" w:color="auto" w:fill="auto"/>
                  <w:vAlign w:val="center"/>
                </w:tcPr>
                <w:p w14:paraId="61A5FDED">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排放</w:t>
                  </w:r>
                </w:p>
                <w:p w14:paraId="380B5AF1">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去向</w:t>
                  </w:r>
                </w:p>
              </w:tc>
              <w:tc>
                <w:tcPr>
                  <w:tcW w:w="694" w:type="dxa"/>
                  <w:vMerge w:val="restart"/>
                  <w:tcBorders>
                    <w:tl2br w:val="nil"/>
                    <w:tr2bl w:val="nil"/>
                  </w:tcBorders>
                  <w:shd w:val="clear" w:color="auto" w:fill="auto"/>
                  <w:vAlign w:val="center"/>
                </w:tcPr>
                <w:p w14:paraId="26ACB455">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排放</w:t>
                  </w:r>
                </w:p>
                <w:p w14:paraId="4A8EE01E">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规律</w:t>
                  </w:r>
                </w:p>
              </w:tc>
              <w:tc>
                <w:tcPr>
                  <w:tcW w:w="2500" w:type="dxa"/>
                  <w:gridSpan w:val="3"/>
                  <w:tcBorders>
                    <w:tl2br w:val="nil"/>
                    <w:tr2bl w:val="nil"/>
                  </w:tcBorders>
                  <w:shd w:val="clear" w:color="auto" w:fill="auto"/>
                  <w:vAlign w:val="center"/>
                </w:tcPr>
                <w:p w14:paraId="6638C46D">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污染治理设施</w:t>
                  </w:r>
                </w:p>
              </w:tc>
              <w:tc>
                <w:tcPr>
                  <w:tcW w:w="833" w:type="dxa"/>
                  <w:vMerge w:val="restart"/>
                  <w:tcBorders>
                    <w:tl2br w:val="nil"/>
                    <w:tr2bl w:val="nil"/>
                  </w:tcBorders>
                  <w:shd w:val="clear" w:color="auto" w:fill="auto"/>
                  <w:vAlign w:val="center"/>
                </w:tcPr>
                <w:p w14:paraId="2AD46829">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排放口编号</w:t>
                  </w:r>
                </w:p>
              </w:tc>
              <w:tc>
                <w:tcPr>
                  <w:tcW w:w="753" w:type="dxa"/>
                  <w:vMerge w:val="restart"/>
                  <w:tcBorders>
                    <w:tl2br w:val="nil"/>
                    <w:tr2bl w:val="nil"/>
                  </w:tcBorders>
                  <w:shd w:val="clear" w:color="auto" w:fill="auto"/>
                  <w:vAlign w:val="center"/>
                </w:tcPr>
                <w:p w14:paraId="31ACA937">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排放口设置是否符合要求</w:t>
                  </w:r>
                </w:p>
              </w:tc>
              <w:tc>
                <w:tcPr>
                  <w:tcW w:w="510" w:type="dxa"/>
                  <w:vMerge w:val="restart"/>
                  <w:tcBorders>
                    <w:tl2br w:val="nil"/>
                    <w:tr2bl w:val="nil"/>
                  </w:tcBorders>
                  <w:shd w:val="clear" w:color="auto" w:fill="auto"/>
                  <w:vAlign w:val="center"/>
                </w:tcPr>
                <w:p w14:paraId="47E45EEC">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排放口类型</w:t>
                  </w:r>
                </w:p>
              </w:tc>
            </w:tr>
            <w:tr w14:paraId="6852D7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05" w:type="dxa"/>
                  <w:vMerge w:val="continue"/>
                  <w:tcBorders>
                    <w:tl2br w:val="nil"/>
                    <w:tr2bl w:val="nil"/>
                  </w:tcBorders>
                  <w:shd w:val="clear" w:color="auto" w:fill="auto"/>
                  <w:vAlign w:val="center"/>
                </w:tcPr>
                <w:p w14:paraId="53508D6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864" w:type="dxa"/>
                  <w:vMerge w:val="continue"/>
                  <w:tcBorders>
                    <w:tl2br w:val="nil"/>
                    <w:tr2bl w:val="nil"/>
                  </w:tcBorders>
                  <w:shd w:val="clear" w:color="auto" w:fill="auto"/>
                  <w:vAlign w:val="center"/>
                </w:tcPr>
                <w:p w14:paraId="544CBAC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925" w:type="dxa"/>
                  <w:vMerge w:val="continue"/>
                  <w:tcBorders>
                    <w:tl2br w:val="nil"/>
                    <w:tr2bl w:val="nil"/>
                  </w:tcBorders>
                  <w:shd w:val="clear" w:color="auto" w:fill="auto"/>
                  <w:vAlign w:val="center"/>
                </w:tcPr>
                <w:p w14:paraId="1EA707E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476" w:type="dxa"/>
                  <w:vMerge w:val="continue"/>
                  <w:tcBorders>
                    <w:tl2br w:val="nil"/>
                    <w:tr2bl w:val="nil"/>
                  </w:tcBorders>
                  <w:shd w:val="clear" w:color="auto" w:fill="auto"/>
                  <w:vAlign w:val="center"/>
                </w:tcPr>
                <w:p w14:paraId="08E773C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94" w:type="dxa"/>
                  <w:vMerge w:val="continue"/>
                  <w:tcBorders>
                    <w:tl2br w:val="nil"/>
                    <w:tr2bl w:val="nil"/>
                  </w:tcBorders>
                  <w:shd w:val="clear" w:color="auto" w:fill="auto"/>
                  <w:vAlign w:val="center"/>
                </w:tcPr>
                <w:p w14:paraId="32505B2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833" w:type="dxa"/>
                  <w:tcBorders>
                    <w:tl2br w:val="nil"/>
                    <w:tr2bl w:val="nil"/>
                  </w:tcBorders>
                  <w:shd w:val="clear" w:color="auto" w:fill="auto"/>
                  <w:vAlign w:val="center"/>
                </w:tcPr>
                <w:p w14:paraId="4FC4B450">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污染治理设施编号</w:t>
                  </w:r>
                </w:p>
              </w:tc>
              <w:tc>
                <w:tcPr>
                  <w:tcW w:w="833" w:type="dxa"/>
                  <w:tcBorders>
                    <w:tl2br w:val="nil"/>
                    <w:tr2bl w:val="nil"/>
                  </w:tcBorders>
                  <w:shd w:val="clear" w:color="auto" w:fill="auto"/>
                  <w:vAlign w:val="center"/>
                </w:tcPr>
                <w:p w14:paraId="48464B29">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污染治理设施名称</w:t>
                  </w:r>
                </w:p>
              </w:tc>
              <w:tc>
                <w:tcPr>
                  <w:tcW w:w="834" w:type="dxa"/>
                  <w:tcBorders>
                    <w:tl2br w:val="nil"/>
                    <w:tr2bl w:val="nil"/>
                  </w:tcBorders>
                  <w:shd w:val="clear" w:color="auto" w:fill="auto"/>
                  <w:vAlign w:val="center"/>
                </w:tcPr>
                <w:p w14:paraId="4BBE4587">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污染治理设施工艺</w:t>
                  </w:r>
                </w:p>
              </w:tc>
              <w:tc>
                <w:tcPr>
                  <w:tcW w:w="833" w:type="dxa"/>
                  <w:vMerge w:val="continue"/>
                  <w:tcBorders>
                    <w:tl2br w:val="nil"/>
                    <w:tr2bl w:val="nil"/>
                  </w:tcBorders>
                  <w:shd w:val="clear" w:color="auto" w:fill="auto"/>
                  <w:vAlign w:val="center"/>
                </w:tcPr>
                <w:p w14:paraId="5D7E198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53" w:type="dxa"/>
                  <w:vMerge w:val="continue"/>
                  <w:tcBorders>
                    <w:tl2br w:val="nil"/>
                    <w:tr2bl w:val="nil"/>
                  </w:tcBorders>
                  <w:shd w:val="clear" w:color="auto" w:fill="auto"/>
                  <w:vAlign w:val="center"/>
                </w:tcPr>
                <w:p w14:paraId="49A5D61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510" w:type="dxa"/>
                  <w:vMerge w:val="continue"/>
                  <w:tcBorders>
                    <w:tl2br w:val="nil"/>
                    <w:tr2bl w:val="nil"/>
                  </w:tcBorders>
                  <w:shd w:val="clear" w:color="auto" w:fill="auto"/>
                  <w:vAlign w:val="center"/>
                </w:tcPr>
                <w:p w14:paraId="7A13E55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4B85A3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05" w:type="dxa"/>
                  <w:tcBorders>
                    <w:tl2br w:val="nil"/>
                    <w:tr2bl w:val="nil"/>
                  </w:tcBorders>
                  <w:shd w:val="clear" w:color="auto" w:fill="auto"/>
                  <w:vAlign w:val="center"/>
                </w:tcPr>
                <w:p w14:paraId="4D245A6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1</w:t>
                  </w:r>
                </w:p>
              </w:tc>
              <w:tc>
                <w:tcPr>
                  <w:tcW w:w="864" w:type="dxa"/>
                  <w:tcBorders>
                    <w:tl2br w:val="nil"/>
                    <w:tr2bl w:val="nil"/>
                  </w:tcBorders>
                  <w:shd w:val="clear" w:color="auto" w:fill="auto"/>
                  <w:vAlign w:val="center"/>
                </w:tcPr>
                <w:p w14:paraId="06ACBF8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生活污水</w:t>
                  </w:r>
                </w:p>
              </w:tc>
              <w:tc>
                <w:tcPr>
                  <w:tcW w:w="925" w:type="dxa"/>
                  <w:tcBorders>
                    <w:tl2br w:val="nil"/>
                    <w:tr2bl w:val="nil"/>
                  </w:tcBorders>
                  <w:shd w:val="clear" w:color="auto" w:fill="auto"/>
                  <w:vAlign w:val="center"/>
                </w:tcPr>
                <w:p w14:paraId="2C3CEBB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COD</w:t>
                  </w:r>
                </w:p>
                <w:p w14:paraId="1F8E323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default"/>
                      <w:color w:val="auto"/>
                      <w:lang w:val="en-US" w:eastAsia="zh-CN"/>
                    </w:rPr>
                    <w:t>BOD</w:t>
                  </w:r>
                  <w:r>
                    <w:rPr>
                      <w:rFonts w:hint="default"/>
                      <w:color w:val="auto"/>
                      <w:vertAlign w:val="subscript"/>
                      <w:lang w:val="en-US" w:eastAsia="zh-CN"/>
                    </w:rPr>
                    <w:t>5</w:t>
                  </w:r>
                </w:p>
                <w:p w14:paraId="382BE2D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SS</w:t>
                  </w:r>
                </w:p>
                <w:p w14:paraId="06AA024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氨氮</w:t>
                  </w:r>
                </w:p>
                <w:p w14:paraId="43267C7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总氮</w:t>
                  </w:r>
                </w:p>
                <w:p w14:paraId="508CF69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总磷</w:t>
                  </w:r>
                </w:p>
              </w:tc>
              <w:tc>
                <w:tcPr>
                  <w:tcW w:w="476" w:type="dxa"/>
                  <w:vMerge w:val="restart"/>
                  <w:tcBorders>
                    <w:tl2br w:val="nil"/>
                    <w:tr2bl w:val="nil"/>
                  </w:tcBorders>
                  <w:shd w:val="clear" w:color="auto" w:fill="auto"/>
                  <w:vAlign w:val="center"/>
                </w:tcPr>
                <w:p w14:paraId="4ADCCC1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color w:val="auto"/>
                      <w:highlight w:val="none"/>
                      <w:lang w:val="en-US" w:eastAsia="zh-CN"/>
                    </w:rPr>
                    <w:t>空港</w:t>
                  </w:r>
                  <w:r>
                    <w:rPr>
                      <w:rFonts w:hint="eastAsia" w:ascii="Times New Roman" w:hAnsi="Times New Roman" w:eastAsia="宋体"/>
                      <w:color w:val="auto"/>
                      <w:highlight w:val="none"/>
                      <w:lang w:val="en-US"/>
                    </w:rPr>
                    <w:t>污水处理厂</w:t>
                  </w:r>
                </w:p>
              </w:tc>
              <w:tc>
                <w:tcPr>
                  <w:tcW w:w="694" w:type="dxa"/>
                  <w:vMerge w:val="restart"/>
                  <w:tcBorders>
                    <w:tl2br w:val="nil"/>
                    <w:tr2bl w:val="nil"/>
                  </w:tcBorders>
                  <w:shd w:val="clear" w:color="auto" w:fill="auto"/>
                  <w:vAlign w:val="center"/>
                </w:tcPr>
                <w:p w14:paraId="138F0C1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间断排放，排放期间流量不稳定</w:t>
                  </w:r>
                </w:p>
              </w:tc>
              <w:tc>
                <w:tcPr>
                  <w:tcW w:w="833" w:type="dxa"/>
                  <w:tcBorders>
                    <w:tl2br w:val="nil"/>
                    <w:tr2bl w:val="nil"/>
                  </w:tcBorders>
                  <w:shd w:val="clear" w:color="auto" w:fill="auto"/>
                  <w:vAlign w:val="center"/>
                </w:tcPr>
                <w:p w14:paraId="71CE9CF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default" w:ascii="Times New Roman" w:hAnsi="Times New Roman" w:eastAsia="宋体"/>
                      <w:color w:val="auto"/>
                      <w:highlight w:val="none"/>
                      <w:lang w:val="en-US"/>
                    </w:rPr>
                    <w:t>TW001</w:t>
                  </w:r>
                  <w:r>
                    <w:rPr>
                      <w:rFonts w:hint="eastAsia"/>
                      <w:color w:val="auto"/>
                      <w:highlight w:val="none"/>
                      <w:lang w:val="en-US" w:eastAsia="zh-CN"/>
                    </w:rPr>
                    <w:t>+TW003</w:t>
                  </w:r>
                </w:p>
              </w:tc>
              <w:tc>
                <w:tcPr>
                  <w:tcW w:w="833" w:type="dxa"/>
                  <w:tcBorders>
                    <w:tl2br w:val="nil"/>
                    <w:tr2bl w:val="nil"/>
                  </w:tcBorders>
                  <w:shd w:val="clear" w:color="auto" w:fill="auto"/>
                  <w:vAlign w:val="center"/>
                </w:tcPr>
                <w:p w14:paraId="1E69E50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化粪池</w:t>
                  </w:r>
                  <w:r>
                    <w:rPr>
                      <w:rFonts w:hint="eastAsia"/>
                      <w:color w:val="auto"/>
                      <w:highlight w:val="none"/>
                      <w:lang w:val="en-US" w:eastAsia="zh-CN"/>
                    </w:rPr>
                    <w:t>+厂区污水站</w:t>
                  </w:r>
                </w:p>
              </w:tc>
              <w:tc>
                <w:tcPr>
                  <w:tcW w:w="834" w:type="dxa"/>
                  <w:tcBorders>
                    <w:tl2br w:val="nil"/>
                    <w:tr2bl w:val="nil"/>
                  </w:tcBorders>
                  <w:shd w:val="clear" w:color="auto" w:fill="auto"/>
                  <w:vAlign w:val="center"/>
                </w:tcPr>
                <w:p w14:paraId="5F838006">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eastAsia="zh-CN"/>
                    </w:rPr>
                  </w:pPr>
                  <w:r>
                    <w:rPr>
                      <w:rFonts w:hint="eastAsia"/>
                      <w:color w:val="auto"/>
                      <w:highlight w:val="none"/>
                      <w:lang w:val="en-US" w:eastAsia="zh-CN"/>
                    </w:rPr>
                    <w:t>/</w:t>
                  </w:r>
                </w:p>
              </w:tc>
              <w:tc>
                <w:tcPr>
                  <w:tcW w:w="833" w:type="dxa"/>
                  <w:vMerge w:val="restart"/>
                  <w:tcBorders>
                    <w:tl2br w:val="nil"/>
                    <w:tr2bl w:val="nil"/>
                  </w:tcBorders>
                  <w:shd w:val="clear" w:color="auto" w:fill="auto"/>
                  <w:vAlign w:val="center"/>
                </w:tcPr>
                <w:p w14:paraId="52D3618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DW001</w:t>
                  </w:r>
                </w:p>
              </w:tc>
              <w:tc>
                <w:tcPr>
                  <w:tcW w:w="753" w:type="dxa"/>
                  <w:vMerge w:val="restart"/>
                  <w:tcBorders>
                    <w:tl2br w:val="nil"/>
                    <w:tr2bl w:val="nil"/>
                  </w:tcBorders>
                  <w:shd w:val="clear" w:color="auto" w:fill="auto"/>
                  <w:vAlign w:val="center"/>
                </w:tcPr>
                <w:p w14:paraId="1250B7A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w:t>
                  </w:r>
                  <w:r>
                    <w:rPr>
                      <w:rFonts w:hint="eastAsia" w:ascii="Times New Roman" w:hAnsi="Times New Roman" w:eastAsia="宋体"/>
                      <w:color w:val="auto"/>
                      <w:highlight w:val="none"/>
                      <w:lang w:val="en-US"/>
                    </w:rPr>
                    <w:t>是</w:t>
                  </w:r>
                </w:p>
                <w:p w14:paraId="3DA366E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w:t>
                  </w:r>
                  <w:r>
                    <w:rPr>
                      <w:rFonts w:hint="eastAsia" w:ascii="Times New Roman" w:hAnsi="Times New Roman" w:eastAsia="宋体"/>
                      <w:color w:val="auto"/>
                      <w:highlight w:val="none"/>
                      <w:lang w:val="en-US"/>
                    </w:rPr>
                    <w:t>否</w:t>
                  </w:r>
                </w:p>
              </w:tc>
              <w:tc>
                <w:tcPr>
                  <w:tcW w:w="510" w:type="dxa"/>
                  <w:vMerge w:val="restart"/>
                  <w:tcBorders>
                    <w:tl2br w:val="nil"/>
                    <w:tr2bl w:val="nil"/>
                  </w:tcBorders>
                  <w:shd w:val="clear" w:color="auto" w:fill="auto"/>
                  <w:vAlign w:val="center"/>
                </w:tcPr>
                <w:p w14:paraId="40B06E5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w:t>
                  </w:r>
                  <w:r>
                    <w:rPr>
                      <w:rFonts w:hint="eastAsia" w:ascii="Times New Roman" w:hAnsi="Times New Roman" w:eastAsia="宋体"/>
                      <w:color w:val="auto"/>
                      <w:highlight w:val="none"/>
                      <w:lang w:val="en-US"/>
                    </w:rPr>
                    <w:t>企业总排口</w:t>
                  </w:r>
                </w:p>
              </w:tc>
            </w:tr>
            <w:tr w14:paraId="587E36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05" w:type="dxa"/>
                  <w:tcBorders>
                    <w:tl2br w:val="nil"/>
                    <w:tr2bl w:val="nil"/>
                  </w:tcBorders>
                  <w:shd w:val="clear" w:color="auto" w:fill="auto"/>
                  <w:vAlign w:val="center"/>
                </w:tcPr>
                <w:p w14:paraId="590AE9C3">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2</w:t>
                  </w:r>
                </w:p>
              </w:tc>
              <w:tc>
                <w:tcPr>
                  <w:tcW w:w="864" w:type="dxa"/>
                  <w:tcBorders>
                    <w:tl2br w:val="nil"/>
                    <w:tr2bl w:val="nil"/>
                  </w:tcBorders>
                  <w:shd w:val="clear" w:color="auto" w:fill="auto"/>
                  <w:vAlign w:val="center"/>
                </w:tcPr>
                <w:p w14:paraId="0A67736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食堂废水</w:t>
                  </w:r>
                </w:p>
              </w:tc>
              <w:tc>
                <w:tcPr>
                  <w:tcW w:w="925" w:type="dxa"/>
                  <w:tcBorders>
                    <w:tl2br w:val="nil"/>
                    <w:tr2bl w:val="nil"/>
                  </w:tcBorders>
                  <w:shd w:val="clear" w:color="auto" w:fill="auto"/>
                  <w:vAlign w:val="center"/>
                </w:tcPr>
                <w:p w14:paraId="7276A2C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COD</w:t>
                  </w:r>
                </w:p>
                <w:p w14:paraId="4F427DC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default"/>
                      <w:color w:val="auto"/>
                      <w:lang w:val="en-US" w:eastAsia="zh-CN"/>
                    </w:rPr>
                    <w:t>BOD</w:t>
                  </w:r>
                  <w:r>
                    <w:rPr>
                      <w:rFonts w:hint="default"/>
                      <w:color w:val="auto"/>
                      <w:vertAlign w:val="subscript"/>
                      <w:lang w:val="en-US" w:eastAsia="zh-CN"/>
                    </w:rPr>
                    <w:t>5</w:t>
                  </w:r>
                </w:p>
                <w:p w14:paraId="1A25737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SS</w:t>
                  </w:r>
                </w:p>
                <w:p w14:paraId="0135BF6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氨氮</w:t>
                  </w:r>
                </w:p>
                <w:p w14:paraId="0E61447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总氮</w:t>
                  </w:r>
                </w:p>
                <w:p w14:paraId="1D9BA7B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总磷</w:t>
                  </w:r>
                </w:p>
                <w:p w14:paraId="44BC91FF">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动植物油</w:t>
                  </w:r>
                </w:p>
              </w:tc>
              <w:tc>
                <w:tcPr>
                  <w:tcW w:w="476" w:type="dxa"/>
                  <w:vMerge w:val="continue"/>
                  <w:tcBorders>
                    <w:tl2br w:val="nil"/>
                    <w:tr2bl w:val="nil"/>
                  </w:tcBorders>
                  <w:shd w:val="clear" w:color="auto" w:fill="auto"/>
                  <w:vAlign w:val="center"/>
                </w:tcPr>
                <w:p w14:paraId="64944DB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94" w:type="dxa"/>
                  <w:vMerge w:val="continue"/>
                  <w:tcBorders>
                    <w:tl2br w:val="nil"/>
                    <w:tr2bl w:val="nil"/>
                  </w:tcBorders>
                  <w:shd w:val="clear" w:color="auto" w:fill="auto"/>
                  <w:vAlign w:val="center"/>
                </w:tcPr>
                <w:p w14:paraId="1B7F892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833" w:type="dxa"/>
                  <w:tcBorders>
                    <w:tl2br w:val="nil"/>
                    <w:tr2bl w:val="nil"/>
                  </w:tcBorders>
                  <w:shd w:val="clear" w:color="auto" w:fill="auto"/>
                  <w:vAlign w:val="center"/>
                </w:tcPr>
                <w:p w14:paraId="70159453">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zh-CN" w:eastAsia="zh-CN" w:bidi="zh-CN"/>
                    </w:rPr>
                  </w:pPr>
                  <w:r>
                    <w:rPr>
                      <w:rFonts w:hint="default" w:ascii="Times New Roman" w:hAnsi="Times New Roman" w:eastAsia="宋体"/>
                      <w:color w:val="auto"/>
                      <w:highlight w:val="none"/>
                      <w:lang w:val="en-US"/>
                    </w:rPr>
                    <w:t>TW00</w:t>
                  </w:r>
                  <w:r>
                    <w:rPr>
                      <w:rFonts w:hint="eastAsia" w:ascii="Times New Roman" w:hAnsi="Times New Roman" w:eastAsia="宋体"/>
                      <w:color w:val="auto"/>
                      <w:highlight w:val="none"/>
                      <w:lang w:val="en-US" w:eastAsia="zh-CN"/>
                    </w:rPr>
                    <w:t>2</w:t>
                  </w:r>
                  <w:r>
                    <w:rPr>
                      <w:rFonts w:hint="eastAsia"/>
                      <w:color w:val="auto"/>
                      <w:highlight w:val="none"/>
                      <w:lang w:val="en-US" w:eastAsia="zh-CN"/>
                    </w:rPr>
                    <w:t>+TW003</w:t>
                  </w:r>
                </w:p>
              </w:tc>
              <w:tc>
                <w:tcPr>
                  <w:tcW w:w="833" w:type="dxa"/>
                  <w:tcBorders>
                    <w:tl2br w:val="nil"/>
                    <w:tr2bl w:val="nil"/>
                  </w:tcBorders>
                  <w:shd w:val="clear" w:color="auto" w:fill="auto"/>
                  <w:vAlign w:val="center"/>
                </w:tcPr>
                <w:p w14:paraId="0796BA26">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隔油池</w:t>
                  </w:r>
                  <w:r>
                    <w:rPr>
                      <w:rFonts w:hint="eastAsia"/>
                      <w:color w:val="auto"/>
                      <w:highlight w:val="none"/>
                      <w:lang w:val="en-US" w:eastAsia="zh-CN"/>
                    </w:rPr>
                    <w:t>+厂区污水站</w:t>
                  </w:r>
                </w:p>
              </w:tc>
              <w:tc>
                <w:tcPr>
                  <w:tcW w:w="834" w:type="dxa"/>
                  <w:tcBorders>
                    <w:tl2br w:val="nil"/>
                    <w:tr2bl w:val="nil"/>
                  </w:tcBorders>
                  <w:shd w:val="clear" w:color="auto" w:fill="auto"/>
                  <w:vAlign w:val="center"/>
                </w:tcPr>
                <w:p w14:paraId="2AE2C15E">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zh-CN" w:eastAsia="zh-CN" w:bidi="zh-CN"/>
                    </w:rPr>
                  </w:pPr>
                  <w:r>
                    <w:rPr>
                      <w:rFonts w:hint="eastAsia"/>
                      <w:color w:val="auto"/>
                      <w:highlight w:val="none"/>
                      <w:lang w:val="en-US" w:eastAsia="zh-CN"/>
                    </w:rPr>
                    <w:t>/</w:t>
                  </w:r>
                </w:p>
              </w:tc>
              <w:tc>
                <w:tcPr>
                  <w:tcW w:w="833" w:type="dxa"/>
                  <w:vMerge w:val="continue"/>
                  <w:tcBorders>
                    <w:tl2br w:val="nil"/>
                    <w:tr2bl w:val="nil"/>
                  </w:tcBorders>
                  <w:shd w:val="clear" w:color="auto" w:fill="auto"/>
                  <w:vAlign w:val="center"/>
                </w:tcPr>
                <w:p w14:paraId="1489F3C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53" w:type="dxa"/>
                  <w:vMerge w:val="continue"/>
                  <w:tcBorders>
                    <w:tl2br w:val="nil"/>
                    <w:tr2bl w:val="nil"/>
                  </w:tcBorders>
                  <w:shd w:val="clear" w:color="auto" w:fill="auto"/>
                  <w:vAlign w:val="center"/>
                </w:tcPr>
                <w:p w14:paraId="37CBD16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510" w:type="dxa"/>
                  <w:vMerge w:val="continue"/>
                  <w:tcBorders>
                    <w:tl2br w:val="nil"/>
                    <w:tr2bl w:val="nil"/>
                  </w:tcBorders>
                  <w:shd w:val="clear" w:color="auto" w:fill="auto"/>
                  <w:vAlign w:val="center"/>
                </w:tcPr>
                <w:p w14:paraId="219ABA6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7B8DAA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05" w:type="dxa"/>
                  <w:tcBorders>
                    <w:tl2br w:val="nil"/>
                    <w:tr2bl w:val="nil"/>
                  </w:tcBorders>
                  <w:shd w:val="clear" w:color="auto" w:fill="auto"/>
                  <w:vAlign w:val="center"/>
                </w:tcPr>
                <w:p w14:paraId="16D44366">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3</w:t>
                  </w:r>
                </w:p>
              </w:tc>
              <w:tc>
                <w:tcPr>
                  <w:tcW w:w="864" w:type="dxa"/>
                  <w:tcBorders>
                    <w:tl2br w:val="nil"/>
                    <w:tr2bl w:val="nil"/>
                  </w:tcBorders>
                  <w:shd w:val="clear" w:color="auto" w:fill="auto"/>
                  <w:vAlign w:val="center"/>
                </w:tcPr>
                <w:p w14:paraId="7D65C5E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设备清洗和地面冲洗废水</w:t>
                  </w:r>
                </w:p>
              </w:tc>
              <w:tc>
                <w:tcPr>
                  <w:tcW w:w="925" w:type="dxa"/>
                  <w:tcBorders>
                    <w:tl2br w:val="nil"/>
                    <w:tr2bl w:val="nil"/>
                  </w:tcBorders>
                  <w:shd w:val="clear" w:color="auto" w:fill="auto"/>
                  <w:vAlign w:val="center"/>
                </w:tcPr>
                <w:p w14:paraId="713E945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COD</w:t>
                  </w:r>
                </w:p>
                <w:p w14:paraId="4E805C7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color w:val="auto"/>
                      <w:lang w:val="en-US" w:eastAsia="zh-CN"/>
                    </w:rPr>
                    <w:t>BOD</w:t>
                  </w:r>
                  <w:r>
                    <w:rPr>
                      <w:rFonts w:hint="default"/>
                      <w:color w:val="auto"/>
                      <w:vertAlign w:val="subscript"/>
                      <w:lang w:val="en-US" w:eastAsia="zh-CN"/>
                    </w:rPr>
                    <w:t>5</w:t>
                  </w:r>
                </w:p>
                <w:p w14:paraId="044622D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SS</w:t>
                  </w:r>
                </w:p>
                <w:p w14:paraId="70ED419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氨氮</w:t>
                  </w:r>
                </w:p>
                <w:p w14:paraId="3AD1C88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总氮</w:t>
                  </w:r>
                </w:p>
                <w:p w14:paraId="1E253EC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总磷</w:t>
                  </w:r>
                </w:p>
              </w:tc>
              <w:tc>
                <w:tcPr>
                  <w:tcW w:w="476" w:type="dxa"/>
                  <w:vMerge w:val="continue"/>
                  <w:tcBorders>
                    <w:tl2br w:val="nil"/>
                    <w:tr2bl w:val="nil"/>
                  </w:tcBorders>
                  <w:shd w:val="clear" w:color="auto" w:fill="auto"/>
                  <w:vAlign w:val="center"/>
                </w:tcPr>
                <w:p w14:paraId="64252EF6">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694" w:type="dxa"/>
                  <w:vMerge w:val="continue"/>
                  <w:tcBorders>
                    <w:tl2br w:val="nil"/>
                    <w:tr2bl w:val="nil"/>
                  </w:tcBorders>
                  <w:shd w:val="clear" w:color="auto" w:fill="auto"/>
                  <w:vAlign w:val="center"/>
                </w:tcPr>
                <w:p w14:paraId="02DDB0C2">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833" w:type="dxa"/>
                  <w:tcBorders>
                    <w:tl2br w:val="nil"/>
                    <w:tr2bl w:val="nil"/>
                  </w:tcBorders>
                  <w:shd w:val="clear" w:color="auto" w:fill="auto"/>
                  <w:vAlign w:val="center"/>
                </w:tcPr>
                <w:p w14:paraId="49FADB67">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default" w:ascii="Times New Roman" w:hAnsi="Times New Roman" w:eastAsia="宋体"/>
                      <w:color w:val="auto"/>
                      <w:highlight w:val="none"/>
                      <w:lang w:val="en-US"/>
                    </w:rPr>
                    <w:t>TW00</w:t>
                  </w:r>
                  <w:r>
                    <w:rPr>
                      <w:rFonts w:hint="eastAsia" w:ascii="Times New Roman" w:hAnsi="Times New Roman" w:eastAsia="宋体"/>
                      <w:color w:val="auto"/>
                      <w:highlight w:val="none"/>
                      <w:lang w:val="en-US" w:eastAsia="zh-CN"/>
                    </w:rPr>
                    <w:t>3</w:t>
                  </w:r>
                </w:p>
              </w:tc>
              <w:tc>
                <w:tcPr>
                  <w:tcW w:w="833" w:type="dxa"/>
                  <w:tcBorders>
                    <w:tl2br w:val="nil"/>
                    <w:tr2bl w:val="nil"/>
                  </w:tcBorders>
                  <w:shd w:val="clear" w:color="auto" w:fill="auto"/>
                  <w:vAlign w:val="center"/>
                </w:tcPr>
                <w:p w14:paraId="208E5746">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color w:val="auto"/>
                      <w:highlight w:val="none"/>
                      <w:lang w:val="en-US" w:eastAsia="zh-CN"/>
                    </w:rPr>
                    <w:t>厂区污水站</w:t>
                  </w:r>
                </w:p>
              </w:tc>
              <w:tc>
                <w:tcPr>
                  <w:tcW w:w="834" w:type="dxa"/>
                  <w:tcBorders>
                    <w:tl2br w:val="nil"/>
                    <w:tr2bl w:val="nil"/>
                  </w:tcBorders>
                  <w:shd w:val="clear" w:color="auto" w:fill="auto"/>
                  <w:vAlign w:val="center"/>
                </w:tcPr>
                <w:p w14:paraId="20E4C13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default" w:ascii="Times New Roman" w:hAnsi="Times New Roman" w:eastAsia="宋体"/>
                      <w:color w:val="auto"/>
                      <w:highlight w:val="none"/>
                      <w:lang w:val="en-US" w:eastAsia="zh-CN"/>
                    </w:rPr>
                    <w:t>格栅+调节池+A/O池+二沉池</w:t>
                  </w:r>
                </w:p>
              </w:tc>
              <w:tc>
                <w:tcPr>
                  <w:tcW w:w="833" w:type="dxa"/>
                  <w:vMerge w:val="continue"/>
                  <w:tcBorders>
                    <w:tl2br w:val="nil"/>
                    <w:tr2bl w:val="nil"/>
                  </w:tcBorders>
                  <w:shd w:val="clear" w:color="auto" w:fill="auto"/>
                  <w:vAlign w:val="center"/>
                </w:tcPr>
                <w:p w14:paraId="32390D42">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753" w:type="dxa"/>
                  <w:vMerge w:val="continue"/>
                  <w:tcBorders>
                    <w:tl2br w:val="nil"/>
                    <w:tr2bl w:val="nil"/>
                  </w:tcBorders>
                  <w:shd w:val="clear" w:color="auto" w:fill="auto"/>
                  <w:vAlign w:val="center"/>
                </w:tcPr>
                <w:p w14:paraId="0375802D">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510" w:type="dxa"/>
                  <w:vMerge w:val="continue"/>
                  <w:tcBorders>
                    <w:tl2br w:val="nil"/>
                    <w:tr2bl w:val="nil"/>
                  </w:tcBorders>
                  <w:shd w:val="clear" w:color="auto" w:fill="auto"/>
                  <w:vAlign w:val="center"/>
                </w:tcPr>
                <w:p w14:paraId="3C532F4F">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r>
            <w:tr w14:paraId="39552F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05" w:type="dxa"/>
                  <w:tcBorders>
                    <w:tl2br w:val="nil"/>
                    <w:tr2bl w:val="nil"/>
                  </w:tcBorders>
                  <w:shd w:val="clear" w:color="auto" w:fill="auto"/>
                  <w:vAlign w:val="center"/>
                </w:tcPr>
                <w:p w14:paraId="070DD07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4</w:t>
                  </w:r>
                </w:p>
              </w:tc>
              <w:tc>
                <w:tcPr>
                  <w:tcW w:w="864" w:type="dxa"/>
                  <w:tcBorders>
                    <w:tl2br w:val="nil"/>
                    <w:tr2bl w:val="nil"/>
                  </w:tcBorders>
                  <w:shd w:val="clear" w:color="auto" w:fill="auto"/>
                  <w:vAlign w:val="center"/>
                </w:tcPr>
                <w:p w14:paraId="5B327CF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纯水制备浓水</w:t>
                  </w:r>
                </w:p>
              </w:tc>
              <w:tc>
                <w:tcPr>
                  <w:tcW w:w="925" w:type="dxa"/>
                  <w:tcBorders>
                    <w:tl2br w:val="nil"/>
                    <w:tr2bl w:val="nil"/>
                  </w:tcBorders>
                  <w:shd w:val="clear" w:color="auto" w:fill="auto"/>
                  <w:vAlign w:val="center"/>
                </w:tcPr>
                <w:p w14:paraId="0EA63E6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COD</w:t>
                  </w:r>
                </w:p>
                <w:p w14:paraId="7110FBFF">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SS</w:t>
                  </w:r>
                </w:p>
                <w:p w14:paraId="69FFE79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氨氮</w:t>
                  </w:r>
                </w:p>
                <w:p w14:paraId="41535B5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总氮</w:t>
                  </w:r>
                </w:p>
                <w:p w14:paraId="354779D4">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rPr>
                    <w:t>总磷</w:t>
                  </w:r>
                </w:p>
              </w:tc>
              <w:tc>
                <w:tcPr>
                  <w:tcW w:w="476" w:type="dxa"/>
                  <w:vMerge w:val="continue"/>
                  <w:tcBorders>
                    <w:tl2br w:val="nil"/>
                    <w:tr2bl w:val="nil"/>
                  </w:tcBorders>
                  <w:shd w:val="clear" w:color="auto" w:fill="auto"/>
                  <w:vAlign w:val="center"/>
                </w:tcPr>
                <w:p w14:paraId="02D6E436">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c>
                <w:tcPr>
                  <w:tcW w:w="694" w:type="dxa"/>
                  <w:tcBorders>
                    <w:tl2br w:val="nil"/>
                    <w:tr2bl w:val="nil"/>
                  </w:tcBorders>
                  <w:shd w:val="clear" w:color="auto" w:fill="auto"/>
                  <w:vAlign w:val="center"/>
                </w:tcPr>
                <w:p w14:paraId="492A88CF">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连续排放</w:t>
                  </w:r>
                </w:p>
              </w:tc>
              <w:tc>
                <w:tcPr>
                  <w:tcW w:w="833" w:type="dxa"/>
                  <w:tcBorders>
                    <w:tl2br w:val="nil"/>
                    <w:tr2bl w:val="nil"/>
                  </w:tcBorders>
                  <w:shd w:val="clear" w:color="auto" w:fill="auto"/>
                  <w:vAlign w:val="center"/>
                </w:tcPr>
                <w:p w14:paraId="7F1A7E64">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color w:val="auto"/>
                      <w:highlight w:val="none"/>
                      <w:lang w:val="en-US" w:eastAsia="zh-CN"/>
                    </w:rPr>
                    <w:t>/</w:t>
                  </w:r>
                </w:p>
              </w:tc>
              <w:tc>
                <w:tcPr>
                  <w:tcW w:w="833" w:type="dxa"/>
                  <w:tcBorders>
                    <w:tl2br w:val="nil"/>
                    <w:tr2bl w:val="nil"/>
                  </w:tcBorders>
                  <w:shd w:val="clear" w:color="auto" w:fill="auto"/>
                  <w:vAlign w:val="center"/>
                </w:tcPr>
                <w:p w14:paraId="6D1AE06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w:t>
                  </w:r>
                </w:p>
              </w:tc>
              <w:tc>
                <w:tcPr>
                  <w:tcW w:w="834" w:type="dxa"/>
                  <w:tcBorders>
                    <w:tl2br w:val="nil"/>
                    <w:tr2bl w:val="nil"/>
                  </w:tcBorders>
                  <w:shd w:val="clear" w:color="auto" w:fill="auto"/>
                  <w:vAlign w:val="center"/>
                </w:tcPr>
                <w:p w14:paraId="3103602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w:t>
                  </w:r>
                </w:p>
              </w:tc>
              <w:tc>
                <w:tcPr>
                  <w:tcW w:w="833" w:type="dxa"/>
                  <w:vMerge w:val="continue"/>
                  <w:tcBorders>
                    <w:tl2br w:val="nil"/>
                    <w:tr2bl w:val="nil"/>
                  </w:tcBorders>
                  <w:shd w:val="clear" w:color="auto" w:fill="auto"/>
                  <w:vAlign w:val="center"/>
                </w:tcPr>
                <w:p w14:paraId="15302F87">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753" w:type="dxa"/>
                  <w:vMerge w:val="continue"/>
                  <w:tcBorders>
                    <w:tl2br w:val="nil"/>
                    <w:tr2bl w:val="nil"/>
                  </w:tcBorders>
                  <w:shd w:val="clear" w:color="auto" w:fill="auto"/>
                  <w:vAlign w:val="center"/>
                </w:tcPr>
                <w:p w14:paraId="075D68E4">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510" w:type="dxa"/>
                  <w:vMerge w:val="continue"/>
                  <w:tcBorders>
                    <w:tl2br w:val="nil"/>
                    <w:tr2bl w:val="nil"/>
                  </w:tcBorders>
                  <w:shd w:val="clear" w:color="auto" w:fill="auto"/>
                  <w:vAlign w:val="center"/>
                </w:tcPr>
                <w:p w14:paraId="75E1120B">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r>
          </w:tbl>
          <w:p w14:paraId="5F11276D">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废水间接排放口基本情况见下表</w:t>
            </w:r>
            <w:r>
              <w:rPr>
                <w:rFonts w:hint="eastAsia" w:ascii="Times New Roman" w:hAnsi="Times New Roman" w:eastAsia="宋体"/>
                <w:color w:val="auto"/>
                <w:highlight w:val="none"/>
                <w:lang w:val="en-US"/>
              </w:rPr>
              <w:t>：</w:t>
            </w:r>
          </w:p>
          <w:p w14:paraId="30226201">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表4-</w:t>
            </w:r>
            <w:r>
              <w:rPr>
                <w:rFonts w:hint="eastAsia" w:ascii="Times New Roman" w:hAnsi="Times New Roman" w:eastAsia="宋体"/>
                <w:color w:val="auto"/>
                <w:highlight w:val="none"/>
                <w:lang w:val="en-US" w:eastAsia="zh-CN"/>
              </w:rPr>
              <w:t>1</w:t>
            </w:r>
            <w:r>
              <w:rPr>
                <w:rFonts w:hint="eastAsia"/>
                <w:color w:val="auto"/>
                <w:highlight w:val="none"/>
                <w:lang w:val="en-US" w:eastAsia="zh-CN"/>
              </w:rPr>
              <w:t>2</w:t>
            </w:r>
            <w:r>
              <w:rPr>
                <w:rFonts w:hint="default" w:ascii="Times New Roman" w:hAnsi="Times New Roman" w:eastAsia="宋体"/>
                <w:color w:val="auto"/>
                <w:highlight w:val="none"/>
              </w:rPr>
              <w:t>废水间接排放口基本情况表</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85"/>
              <w:gridCol w:w="632"/>
              <w:gridCol w:w="633"/>
              <w:gridCol w:w="762"/>
              <w:gridCol w:w="763"/>
              <w:gridCol w:w="635"/>
              <w:gridCol w:w="1016"/>
              <w:gridCol w:w="633"/>
              <w:gridCol w:w="456"/>
              <w:gridCol w:w="935"/>
              <w:gridCol w:w="1114"/>
            </w:tblGrid>
            <w:tr w14:paraId="00CB8A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5" w:type="dxa"/>
                  <w:vMerge w:val="restart"/>
                  <w:tcBorders>
                    <w:tl2br w:val="nil"/>
                    <w:tr2bl w:val="nil"/>
                  </w:tcBorders>
                  <w:shd w:val="clear" w:color="auto" w:fill="auto"/>
                  <w:vAlign w:val="center"/>
                </w:tcPr>
                <w:p w14:paraId="32169F4C">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序</w:t>
                  </w:r>
                </w:p>
                <w:p w14:paraId="28EA05C5">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号</w:t>
                  </w:r>
                </w:p>
              </w:tc>
              <w:tc>
                <w:tcPr>
                  <w:tcW w:w="632" w:type="dxa"/>
                  <w:vMerge w:val="restart"/>
                  <w:tcBorders>
                    <w:tl2br w:val="nil"/>
                    <w:tr2bl w:val="nil"/>
                  </w:tcBorders>
                  <w:shd w:val="clear" w:color="auto" w:fill="auto"/>
                  <w:vAlign w:val="center"/>
                </w:tcPr>
                <w:p w14:paraId="34EC2445">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排放口编号</w:t>
                  </w:r>
                </w:p>
              </w:tc>
              <w:tc>
                <w:tcPr>
                  <w:tcW w:w="1395" w:type="dxa"/>
                  <w:gridSpan w:val="2"/>
                  <w:tcBorders>
                    <w:tl2br w:val="nil"/>
                    <w:tr2bl w:val="nil"/>
                  </w:tcBorders>
                  <w:shd w:val="clear" w:color="auto" w:fill="auto"/>
                  <w:vAlign w:val="center"/>
                </w:tcPr>
                <w:p w14:paraId="62382C67">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排放口地理位置</w:t>
                  </w:r>
                </w:p>
              </w:tc>
              <w:tc>
                <w:tcPr>
                  <w:tcW w:w="763" w:type="dxa"/>
                  <w:vMerge w:val="restart"/>
                  <w:tcBorders>
                    <w:tl2br w:val="nil"/>
                    <w:tr2bl w:val="nil"/>
                  </w:tcBorders>
                  <w:shd w:val="clear" w:color="auto" w:fill="auto"/>
                  <w:vAlign w:val="center"/>
                </w:tcPr>
                <w:p w14:paraId="200C543F">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废水排放量</w:t>
                  </w:r>
                </w:p>
                <w:p w14:paraId="1408ACC9">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（万</w:t>
                  </w:r>
                  <w:r>
                    <w:rPr>
                      <w:rFonts w:hint="default" w:ascii="Times New Roman" w:hAnsi="Times New Roman" w:eastAsia="宋体"/>
                      <w:b/>
                      <w:bCs/>
                      <w:color w:val="auto"/>
                      <w:highlight w:val="none"/>
                      <w:lang w:val="en-US"/>
                    </w:rPr>
                    <w:t>t/a</w:t>
                  </w:r>
                  <w:r>
                    <w:rPr>
                      <w:rFonts w:hint="eastAsia" w:ascii="Times New Roman" w:hAnsi="Times New Roman" w:eastAsia="宋体"/>
                      <w:b/>
                      <w:bCs/>
                      <w:color w:val="auto"/>
                      <w:highlight w:val="none"/>
                      <w:lang w:val="en-US"/>
                    </w:rPr>
                    <w:t>）</w:t>
                  </w:r>
                </w:p>
              </w:tc>
              <w:tc>
                <w:tcPr>
                  <w:tcW w:w="635" w:type="dxa"/>
                  <w:vMerge w:val="restart"/>
                  <w:tcBorders>
                    <w:tl2br w:val="nil"/>
                    <w:tr2bl w:val="nil"/>
                  </w:tcBorders>
                  <w:shd w:val="clear" w:color="auto" w:fill="auto"/>
                  <w:vAlign w:val="center"/>
                </w:tcPr>
                <w:p w14:paraId="2BD961D4">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排放去向</w:t>
                  </w:r>
                </w:p>
              </w:tc>
              <w:tc>
                <w:tcPr>
                  <w:tcW w:w="1016" w:type="dxa"/>
                  <w:vMerge w:val="restart"/>
                  <w:tcBorders>
                    <w:tl2br w:val="nil"/>
                    <w:tr2bl w:val="nil"/>
                  </w:tcBorders>
                  <w:shd w:val="clear" w:color="auto" w:fill="auto"/>
                  <w:vAlign w:val="center"/>
                </w:tcPr>
                <w:p w14:paraId="4D8ACE71">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排放规律</w:t>
                  </w:r>
                </w:p>
              </w:tc>
              <w:tc>
                <w:tcPr>
                  <w:tcW w:w="633" w:type="dxa"/>
                  <w:vMerge w:val="restart"/>
                  <w:tcBorders>
                    <w:tl2br w:val="nil"/>
                    <w:tr2bl w:val="nil"/>
                  </w:tcBorders>
                  <w:shd w:val="clear" w:color="auto" w:fill="auto"/>
                  <w:vAlign w:val="center"/>
                </w:tcPr>
                <w:p w14:paraId="611EA961">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间歇排放时段</w:t>
                  </w:r>
                </w:p>
              </w:tc>
              <w:tc>
                <w:tcPr>
                  <w:tcW w:w="2505" w:type="dxa"/>
                  <w:gridSpan w:val="3"/>
                  <w:tcBorders>
                    <w:tl2br w:val="nil"/>
                    <w:tr2bl w:val="nil"/>
                  </w:tcBorders>
                  <w:shd w:val="clear" w:color="auto" w:fill="auto"/>
                  <w:vAlign w:val="center"/>
                </w:tcPr>
                <w:p w14:paraId="7054D064">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受纳污水处理厂信息</w:t>
                  </w:r>
                </w:p>
              </w:tc>
            </w:tr>
            <w:tr w14:paraId="50A1D3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5" w:type="dxa"/>
                  <w:vMerge w:val="continue"/>
                  <w:tcBorders>
                    <w:tl2br w:val="nil"/>
                    <w:tr2bl w:val="nil"/>
                  </w:tcBorders>
                  <w:shd w:val="clear" w:color="auto" w:fill="auto"/>
                  <w:vAlign w:val="center"/>
                </w:tcPr>
                <w:p w14:paraId="1B905285">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p>
              </w:tc>
              <w:tc>
                <w:tcPr>
                  <w:tcW w:w="632" w:type="dxa"/>
                  <w:vMerge w:val="continue"/>
                  <w:tcBorders>
                    <w:tl2br w:val="nil"/>
                    <w:tr2bl w:val="nil"/>
                  </w:tcBorders>
                  <w:shd w:val="clear" w:color="auto" w:fill="auto"/>
                  <w:vAlign w:val="center"/>
                </w:tcPr>
                <w:p w14:paraId="0ABA6A60">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p>
              </w:tc>
              <w:tc>
                <w:tcPr>
                  <w:tcW w:w="633" w:type="dxa"/>
                  <w:tcBorders>
                    <w:tl2br w:val="nil"/>
                    <w:tr2bl w:val="nil"/>
                  </w:tcBorders>
                  <w:shd w:val="clear" w:color="auto" w:fill="auto"/>
                  <w:vAlign w:val="center"/>
                </w:tcPr>
                <w:p w14:paraId="2C8F8A61">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经度</w:t>
                  </w:r>
                </w:p>
              </w:tc>
              <w:tc>
                <w:tcPr>
                  <w:tcW w:w="762" w:type="dxa"/>
                  <w:tcBorders>
                    <w:tl2br w:val="nil"/>
                    <w:tr2bl w:val="nil"/>
                  </w:tcBorders>
                  <w:shd w:val="clear" w:color="auto" w:fill="auto"/>
                  <w:vAlign w:val="center"/>
                </w:tcPr>
                <w:p w14:paraId="19BC6E7D">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纬度</w:t>
                  </w:r>
                </w:p>
              </w:tc>
              <w:tc>
                <w:tcPr>
                  <w:tcW w:w="763" w:type="dxa"/>
                  <w:vMerge w:val="continue"/>
                  <w:tcBorders>
                    <w:tl2br w:val="nil"/>
                    <w:tr2bl w:val="nil"/>
                  </w:tcBorders>
                  <w:shd w:val="clear" w:color="auto" w:fill="auto"/>
                  <w:vAlign w:val="center"/>
                </w:tcPr>
                <w:p w14:paraId="6CE778ED">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p>
              </w:tc>
              <w:tc>
                <w:tcPr>
                  <w:tcW w:w="635" w:type="dxa"/>
                  <w:vMerge w:val="continue"/>
                  <w:tcBorders>
                    <w:tl2br w:val="nil"/>
                    <w:tr2bl w:val="nil"/>
                  </w:tcBorders>
                  <w:shd w:val="clear" w:color="auto" w:fill="auto"/>
                  <w:vAlign w:val="center"/>
                </w:tcPr>
                <w:p w14:paraId="0717178C">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p>
              </w:tc>
              <w:tc>
                <w:tcPr>
                  <w:tcW w:w="1016" w:type="dxa"/>
                  <w:vMerge w:val="continue"/>
                  <w:tcBorders>
                    <w:tl2br w:val="nil"/>
                    <w:tr2bl w:val="nil"/>
                  </w:tcBorders>
                  <w:shd w:val="clear" w:color="auto" w:fill="auto"/>
                  <w:vAlign w:val="center"/>
                </w:tcPr>
                <w:p w14:paraId="1BEEFFE6">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p>
              </w:tc>
              <w:tc>
                <w:tcPr>
                  <w:tcW w:w="633" w:type="dxa"/>
                  <w:vMerge w:val="continue"/>
                  <w:tcBorders>
                    <w:tl2br w:val="nil"/>
                    <w:tr2bl w:val="nil"/>
                  </w:tcBorders>
                  <w:shd w:val="clear" w:color="auto" w:fill="auto"/>
                  <w:vAlign w:val="center"/>
                </w:tcPr>
                <w:p w14:paraId="3ADBCA36">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p>
              </w:tc>
              <w:tc>
                <w:tcPr>
                  <w:tcW w:w="456" w:type="dxa"/>
                  <w:tcBorders>
                    <w:tl2br w:val="nil"/>
                    <w:tr2bl w:val="nil"/>
                  </w:tcBorders>
                  <w:shd w:val="clear" w:color="auto" w:fill="auto"/>
                  <w:vAlign w:val="center"/>
                </w:tcPr>
                <w:p w14:paraId="1CE9412D">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名称</w:t>
                  </w:r>
                </w:p>
              </w:tc>
              <w:tc>
                <w:tcPr>
                  <w:tcW w:w="935" w:type="dxa"/>
                  <w:tcBorders>
                    <w:tl2br w:val="nil"/>
                    <w:tr2bl w:val="nil"/>
                  </w:tcBorders>
                  <w:shd w:val="clear" w:color="auto" w:fill="auto"/>
                  <w:vAlign w:val="center"/>
                </w:tcPr>
                <w:p w14:paraId="3B7620BB">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污染物种类</w:t>
                  </w:r>
                </w:p>
              </w:tc>
              <w:tc>
                <w:tcPr>
                  <w:tcW w:w="1114" w:type="dxa"/>
                  <w:tcBorders>
                    <w:tl2br w:val="nil"/>
                    <w:tr2bl w:val="nil"/>
                  </w:tcBorders>
                  <w:shd w:val="clear" w:color="auto" w:fill="auto"/>
                  <w:vAlign w:val="center"/>
                </w:tcPr>
                <w:p w14:paraId="3DD2876A">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国家或地方污染物排放标准浓度限值（</w:t>
                  </w:r>
                  <w:r>
                    <w:rPr>
                      <w:rFonts w:hint="default" w:ascii="Times New Roman" w:hAnsi="Times New Roman" w:eastAsia="宋体"/>
                      <w:b/>
                      <w:bCs/>
                      <w:color w:val="auto"/>
                      <w:highlight w:val="none"/>
                      <w:lang w:val="en-US"/>
                    </w:rPr>
                    <w:t>mg/L</w:t>
                  </w:r>
                  <w:r>
                    <w:rPr>
                      <w:rFonts w:hint="eastAsia" w:ascii="Times New Roman" w:hAnsi="Times New Roman" w:eastAsia="宋体"/>
                      <w:b/>
                      <w:bCs/>
                      <w:color w:val="auto"/>
                      <w:highlight w:val="none"/>
                      <w:lang w:val="en-US"/>
                    </w:rPr>
                    <w:t>）</w:t>
                  </w:r>
                </w:p>
              </w:tc>
            </w:tr>
            <w:tr w14:paraId="0D5198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5" w:type="dxa"/>
                  <w:vMerge w:val="restart"/>
                  <w:tcBorders>
                    <w:tl2br w:val="nil"/>
                    <w:tr2bl w:val="nil"/>
                  </w:tcBorders>
                  <w:shd w:val="clear" w:color="auto" w:fill="auto"/>
                  <w:vAlign w:val="center"/>
                </w:tcPr>
                <w:p w14:paraId="6B383E2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1</w:t>
                  </w:r>
                </w:p>
              </w:tc>
              <w:tc>
                <w:tcPr>
                  <w:tcW w:w="632" w:type="dxa"/>
                  <w:vMerge w:val="restart"/>
                  <w:tcBorders>
                    <w:tl2br w:val="nil"/>
                    <w:tr2bl w:val="nil"/>
                  </w:tcBorders>
                  <w:shd w:val="clear" w:color="auto" w:fill="auto"/>
                  <w:vAlign w:val="center"/>
                </w:tcPr>
                <w:p w14:paraId="67B65F2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DW001</w:t>
                  </w:r>
                </w:p>
              </w:tc>
              <w:tc>
                <w:tcPr>
                  <w:tcW w:w="633" w:type="dxa"/>
                  <w:vMerge w:val="restart"/>
                  <w:tcBorders>
                    <w:tl2br w:val="nil"/>
                    <w:tr2bl w:val="nil"/>
                  </w:tcBorders>
                  <w:shd w:val="clear" w:color="auto" w:fill="auto"/>
                  <w:vAlign w:val="center"/>
                </w:tcPr>
                <w:p w14:paraId="5A6D1922">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eastAsia="zh-CN"/>
                    </w:rPr>
                  </w:pPr>
                  <w:r>
                    <w:rPr>
                      <w:rFonts w:hint="default" w:ascii="Times New Roman" w:hAnsi="Times New Roman" w:eastAsia="宋体"/>
                      <w:color w:val="auto"/>
                      <w:highlight w:val="none"/>
                    </w:rPr>
                    <w:t>118.79598</w:t>
                  </w:r>
                  <w:r>
                    <w:rPr>
                      <w:rFonts w:hint="eastAsia"/>
                      <w:color w:val="auto"/>
                      <w:highlight w:val="none"/>
                      <w:lang w:val="en-US" w:eastAsia="zh-CN"/>
                    </w:rPr>
                    <w:t>4</w:t>
                  </w:r>
                </w:p>
              </w:tc>
              <w:tc>
                <w:tcPr>
                  <w:tcW w:w="762" w:type="dxa"/>
                  <w:vMerge w:val="restart"/>
                  <w:tcBorders>
                    <w:tl2br w:val="nil"/>
                    <w:tr2bl w:val="nil"/>
                  </w:tcBorders>
                  <w:shd w:val="clear" w:color="auto" w:fill="auto"/>
                  <w:vAlign w:val="center"/>
                </w:tcPr>
                <w:p w14:paraId="266A0F82">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eastAsia="zh-CN"/>
                    </w:rPr>
                  </w:pPr>
                  <w:r>
                    <w:rPr>
                      <w:rFonts w:hint="default" w:ascii="Times New Roman" w:hAnsi="Times New Roman" w:eastAsia="宋体"/>
                      <w:color w:val="auto"/>
                      <w:highlight w:val="none"/>
                    </w:rPr>
                    <w:t>31.79869</w:t>
                  </w:r>
                  <w:r>
                    <w:rPr>
                      <w:rFonts w:hint="eastAsia"/>
                      <w:color w:val="auto"/>
                      <w:highlight w:val="none"/>
                      <w:lang w:val="en-US" w:eastAsia="zh-CN"/>
                    </w:rPr>
                    <w:t>9</w:t>
                  </w:r>
                </w:p>
              </w:tc>
              <w:tc>
                <w:tcPr>
                  <w:tcW w:w="763" w:type="dxa"/>
                  <w:vMerge w:val="restart"/>
                  <w:tcBorders>
                    <w:tl2br w:val="nil"/>
                    <w:tr2bl w:val="nil"/>
                  </w:tcBorders>
                  <w:shd w:val="clear" w:color="auto" w:fill="auto"/>
                  <w:vAlign w:val="center"/>
                </w:tcPr>
                <w:p w14:paraId="4DE1C61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11.0724</w:t>
                  </w:r>
                </w:p>
              </w:tc>
              <w:tc>
                <w:tcPr>
                  <w:tcW w:w="635" w:type="dxa"/>
                  <w:vMerge w:val="restart"/>
                  <w:tcBorders>
                    <w:tl2br w:val="nil"/>
                    <w:tr2bl w:val="nil"/>
                  </w:tcBorders>
                  <w:shd w:val="clear" w:color="auto" w:fill="auto"/>
                  <w:vAlign w:val="center"/>
                </w:tcPr>
                <w:p w14:paraId="697A493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color w:val="auto"/>
                      <w:highlight w:val="none"/>
                      <w:lang w:val="en-US" w:eastAsia="zh-CN"/>
                    </w:rPr>
                    <w:t>空港</w:t>
                  </w:r>
                  <w:r>
                    <w:rPr>
                      <w:rFonts w:hint="eastAsia" w:ascii="Times New Roman" w:hAnsi="Times New Roman" w:eastAsia="宋体"/>
                      <w:color w:val="auto"/>
                      <w:highlight w:val="none"/>
                      <w:lang w:val="en-US"/>
                    </w:rPr>
                    <w:t>污水处理厂</w:t>
                  </w:r>
                </w:p>
              </w:tc>
              <w:tc>
                <w:tcPr>
                  <w:tcW w:w="1016" w:type="dxa"/>
                  <w:vMerge w:val="restart"/>
                  <w:tcBorders>
                    <w:tl2br w:val="nil"/>
                    <w:tr2bl w:val="nil"/>
                  </w:tcBorders>
                  <w:shd w:val="clear" w:color="auto" w:fill="auto"/>
                  <w:vAlign w:val="center"/>
                </w:tcPr>
                <w:p w14:paraId="13576E1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连续排放</w:t>
                  </w:r>
                </w:p>
              </w:tc>
              <w:tc>
                <w:tcPr>
                  <w:tcW w:w="633" w:type="dxa"/>
                  <w:vMerge w:val="restart"/>
                  <w:tcBorders>
                    <w:tl2br w:val="nil"/>
                    <w:tr2bl w:val="nil"/>
                  </w:tcBorders>
                  <w:shd w:val="clear" w:color="auto" w:fill="auto"/>
                  <w:vAlign w:val="center"/>
                </w:tcPr>
                <w:p w14:paraId="1C2646A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w:t>
                  </w:r>
                </w:p>
              </w:tc>
              <w:tc>
                <w:tcPr>
                  <w:tcW w:w="456" w:type="dxa"/>
                  <w:vMerge w:val="restart"/>
                  <w:tcBorders>
                    <w:tl2br w:val="nil"/>
                    <w:tr2bl w:val="nil"/>
                  </w:tcBorders>
                  <w:shd w:val="clear" w:color="auto" w:fill="auto"/>
                  <w:vAlign w:val="center"/>
                </w:tcPr>
                <w:p w14:paraId="03719BF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color w:val="auto"/>
                      <w:highlight w:val="none"/>
                      <w:lang w:val="en-US" w:eastAsia="zh-CN"/>
                    </w:rPr>
                    <w:t>空港</w:t>
                  </w:r>
                  <w:r>
                    <w:rPr>
                      <w:rFonts w:hint="eastAsia" w:ascii="Times New Roman" w:hAnsi="Times New Roman" w:eastAsia="宋体"/>
                      <w:color w:val="auto"/>
                      <w:highlight w:val="none"/>
                      <w:lang w:val="en-US"/>
                    </w:rPr>
                    <w:t>污水处理厂</w:t>
                  </w:r>
                </w:p>
              </w:tc>
              <w:tc>
                <w:tcPr>
                  <w:tcW w:w="935" w:type="dxa"/>
                  <w:tcBorders>
                    <w:tl2br w:val="nil"/>
                    <w:tr2bl w:val="nil"/>
                  </w:tcBorders>
                  <w:shd w:val="clear" w:color="auto" w:fill="auto"/>
                  <w:vAlign w:val="center"/>
                </w:tcPr>
                <w:p w14:paraId="3879DD2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pH</w:t>
                  </w:r>
                </w:p>
              </w:tc>
              <w:tc>
                <w:tcPr>
                  <w:tcW w:w="1114" w:type="dxa"/>
                  <w:tcBorders>
                    <w:tl2br w:val="nil"/>
                    <w:tr2bl w:val="nil"/>
                  </w:tcBorders>
                  <w:shd w:val="clear" w:color="auto" w:fill="auto"/>
                  <w:vAlign w:val="center"/>
                </w:tcPr>
                <w:p w14:paraId="3626DDE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6-9</w:t>
                  </w:r>
                </w:p>
                <w:p w14:paraId="0C1B45C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（无量纲）</w:t>
                  </w:r>
                </w:p>
              </w:tc>
            </w:tr>
            <w:tr w14:paraId="0802F8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5" w:type="dxa"/>
                  <w:vMerge w:val="continue"/>
                  <w:tcBorders>
                    <w:tl2br w:val="nil"/>
                    <w:tr2bl w:val="nil"/>
                  </w:tcBorders>
                  <w:shd w:val="clear" w:color="auto" w:fill="auto"/>
                  <w:vAlign w:val="center"/>
                </w:tcPr>
                <w:p w14:paraId="0E4F589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2" w:type="dxa"/>
                  <w:vMerge w:val="continue"/>
                  <w:tcBorders>
                    <w:tl2br w:val="nil"/>
                    <w:tr2bl w:val="nil"/>
                  </w:tcBorders>
                  <w:shd w:val="clear" w:color="auto" w:fill="auto"/>
                  <w:vAlign w:val="center"/>
                </w:tcPr>
                <w:p w14:paraId="150772A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3" w:type="dxa"/>
                  <w:vMerge w:val="continue"/>
                  <w:tcBorders>
                    <w:tl2br w:val="nil"/>
                    <w:tr2bl w:val="nil"/>
                  </w:tcBorders>
                  <w:shd w:val="clear" w:color="auto" w:fill="auto"/>
                  <w:vAlign w:val="center"/>
                </w:tcPr>
                <w:p w14:paraId="59C62E8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62" w:type="dxa"/>
                  <w:vMerge w:val="continue"/>
                  <w:tcBorders>
                    <w:tl2br w:val="nil"/>
                    <w:tr2bl w:val="nil"/>
                  </w:tcBorders>
                  <w:shd w:val="clear" w:color="auto" w:fill="auto"/>
                  <w:vAlign w:val="center"/>
                </w:tcPr>
                <w:p w14:paraId="22F4FF2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63" w:type="dxa"/>
                  <w:vMerge w:val="continue"/>
                  <w:tcBorders>
                    <w:tl2br w:val="nil"/>
                    <w:tr2bl w:val="nil"/>
                  </w:tcBorders>
                  <w:shd w:val="clear" w:color="auto" w:fill="auto"/>
                  <w:vAlign w:val="center"/>
                </w:tcPr>
                <w:p w14:paraId="2BECBDB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5" w:type="dxa"/>
                  <w:vMerge w:val="continue"/>
                  <w:tcBorders>
                    <w:tl2br w:val="nil"/>
                    <w:tr2bl w:val="nil"/>
                  </w:tcBorders>
                  <w:shd w:val="clear" w:color="auto" w:fill="auto"/>
                  <w:vAlign w:val="center"/>
                </w:tcPr>
                <w:p w14:paraId="3437648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016" w:type="dxa"/>
                  <w:vMerge w:val="continue"/>
                  <w:tcBorders>
                    <w:tl2br w:val="nil"/>
                    <w:tr2bl w:val="nil"/>
                  </w:tcBorders>
                  <w:shd w:val="clear" w:color="auto" w:fill="auto"/>
                  <w:vAlign w:val="center"/>
                </w:tcPr>
                <w:p w14:paraId="4C17A43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3" w:type="dxa"/>
                  <w:vMerge w:val="continue"/>
                  <w:tcBorders>
                    <w:tl2br w:val="nil"/>
                    <w:tr2bl w:val="nil"/>
                  </w:tcBorders>
                  <w:shd w:val="clear" w:color="auto" w:fill="auto"/>
                  <w:vAlign w:val="center"/>
                </w:tcPr>
                <w:p w14:paraId="4202EB4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456" w:type="dxa"/>
                  <w:vMerge w:val="continue"/>
                  <w:tcBorders>
                    <w:tl2br w:val="nil"/>
                    <w:tr2bl w:val="nil"/>
                  </w:tcBorders>
                  <w:shd w:val="clear" w:color="auto" w:fill="auto"/>
                  <w:vAlign w:val="center"/>
                </w:tcPr>
                <w:p w14:paraId="0507F55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935" w:type="dxa"/>
                  <w:tcBorders>
                    <w:tl2br w:val="nil"/>
                    <w:tr2bl w:val="nil"/>
                  </w:tcBorders>
                  <w:shd w:val="clear" w:color="auto" w:fill="auto"/>
                  <w:vAlign w:val="center"/>
                </w:tcPr>
                <w:p w14:paraId="1D5B73C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COD</w:t>
                  </w:r>
                </w:p>
              </w:tc>
              <w:tc>
                <w:tcPr>
                  <w:tcW w:w="1114" w:type="dxa"/>
                  <w:tcBorders>
                    <w:tl2br w:val="nil"/>
                    <w:tr2bl w:val="nil"/>
                  </w:tcBorders>
                  <w:shd w:val="clear" w:color="auto" w:fill="auto"/>
                  <w:vAlign w:val="center"/>
                </w:tcPr>
                <w:p w14:paraId="58747D9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50</w:t>
                  </w:r>
                </w:p>
              </w:tc>
            </w:tr>
            <w:tr w14:paraId="0E9D04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5" w:type="dxa"/>
                  <w:vMerge w:val="continue"/>
                  <w:tcBorders>
                    <w:tl2br w:val="nil"/>
                    <w:tr2bl w:val="nil"/>
                  </w:tcBorders>
                  <w:shd w:val="clear" w:color="auto" w:fill="auto"/>
                  <w:vAlign w:val="center"/>
                </w:tcPr>
                <w:p w14:paraId="2601832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2" w:type="dxa"/>
                  <w:vMerge w:val="continue"/>
                  <w:tcBorders>
                    <w:tl2br w:val="nil"/>
                    <w:tr2bl w:val="nil"/>
                  </w:tcBorders>
                  <w:shd w:val="clear" w:color="auto" w:fill="auto"/>
                  <w:vAlign w:val="center"/>
                </w:tcPr>
                <w:p w14:paraId="7B25A42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3" w:type="dxa"/>
                  <w:vMerge w:val="continue"/>
                  <w:tcBorders>
                    <w:tl2br w:val="nil"/>
                    <w:tr2bl w:val="nil"/>
                  </w:tcBorders>
                  <w:shd w:val="clear" w:color="auto" w:fill="auto"/>
                  <w:vAlign w:val="center"/>
                </w:tcPr>
                <w:p w14:paraId="5D7365F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62" w:type="dxa"/>
                  <w:vMerge w:val="continue"/>
                  <w:tcBorders>
                    <w:tl2br w:val="nil"/>
                    <w:tr2bl w:val="nil"/>
                  </w:tcBorders>
                  <w:shd w:val="clear" w:color="auto" w:fill="auto"/>
                  <w:vAlign w:val="center"/>
                </w:tcPr>
                <w:p w14:paraId="21DD936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63" w:type="dxa"/>
                  <w:vMerge w:val="continue"/>
                  <w:tcBorders>
                    <w:tl2br w:val="nil"/>
                    <w:tr2bl w:val="nil"/>
                  </w:tcBorders>
                  <w:shd w:val="clear" w:color="auto" w:fill="auto"/>
                  <w:vAlign w:val="center"/>
                </w:tcPr>
                <w:p w14:paraId="1FB4D12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5" w:type="dxa"/>
                  <w:vMerge w:val="continue"/>
                  <w:tcBorders>
                    <w:tl2br w:val="nil"/>
                    <w:tr2bl w:val="nil"/>
                  </w:tcBorders>
                  <w:shd w:val="clear" w:color="auto" w:fill="auto"/>
                  <w:vAlign w:val="center"/>
                </w:tcPr>
                <w:p w14:paraId="50FBEEE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016" w:type="dxa"/>
                  <w:vMerge w:val="continue"/>
                  <w:tcBorders>
                    <w:tl2br w:val="nil"/>
                    <w:tr2bl w:val="nil"/>
                  </w:tcBorders>
                  <w:shd w:val="clear" w:color="auto" w:fill="auto"/>
                  <w:vAlign w:val="center"/>
                </w:tcPr>
                <w:p w14:paraId="725B99A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3" w:type="dxa"/>
                  <w:vMerge w:val="continue"/>
                  <w:tcBorders>
                    <w:tl2br w:val="nil"/>
                    <w:tr2bl w:val="nil"/>
                  </w:tcBorders>
                  <w:shd w:val="clear" w:color="auto" w:fill="auto"/>
                  <w:vAlign w:val="center"/>
                </w:tcPr>
                <w:p w14:paraId="59B910F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456" w:type="dxa"/>
                  <w:vMerge w:val="continue"/>
                  <w:tcBorders>
                    <w:tl2br w:val="nil"/>
                    <w:tr2bl w:val="nil"/>
                  </w:tcBorders>
                  <w:shd w:val="clear" w:color="auto" w:fill="auto"/>
                  <w:vAlign w:val="center"/>
                </w:tcPr>
                <w:p w14:paraId="7B1BEFB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935" w:type="dxa"/>
                  <w:tcBorders>
                    <w:tl2br w:val="nil"/>
                    <w:tr2bl w:val="nil"/>
                  </w:tcBorders>
                  <w:shd w:val="clear" w:color="auto" w:fill="auto"/>
                  <w:vAlign w:val="center"/>
                </w:tcPr>
                <w:p w14:paraId="6C6E54F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default"/>
                      <w:color w:val="auto"/>
                      <w:lang w:val="en-US" w:eastAsia="zh-CN"/>
                    </w:rPr>
                    <w:t>BOD</w:t>
                  </w:r>
                  <w:r>
                    <w:rPr>
                      <w:rFonts w:hint="default"/>
                      <w:color w:val="auto"/>
                      <w:vertAlign w:val="subscript"/>
                      <w:lang w:val="en-US" w:eastAsia="zh-CN"/>
                    </w:rPr>
                    <w:t>5</w:t>
                  </w:r>
                </w:p>
              </w:tc>
              <w:tc>
                <w:tcPr>
                  <w:tcW w:w="1114" w:type="dxa"/>
                  <w:tcBorders>
                    <w:tl2br w:val="nil"/>
                    <w:tr2bl w:val="nil"/>
                  </w:tcBorders>
                  <w:shd w:val="clear" w:color="auto" w:fill="auto"/>
                  <w:vAlign w:val="center"/>
                </w:tcPr>
                <w:p w14:paraId="0E4FE398">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10</w:t>
                  </w:r>
                </w:p>
              </w:tc>
            </w:tr>
            <w:tr w14:paraId="42FB32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5" w:type="dxa"/>
                  <w:vMerge w:val="continue"/>
                  <w:tcBorders>
                    <w:tl2br w:val="nil"/>
                    <w:tr2bl w:val="nil"/>
                  </w:tcBorders>
                  <w:shd w:val="clear" w:color="auto" w:fill="auto"/>
                  <w:vAlign w:val="center"/>
                </w:tcPr>
                <w:p w14:paraId="5B64C8F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2" w:type="dxa"/>
                  <w:vMerge w:val="continue"/>
                  <w:tcBorders>
                    <w:tl2br w:val="nil"/>
                    <w:tr2bl w:val="nil"/>
                  </w:tcBorders>
                  <w:shd w:val="clear" w:color="auto" w:fill="auto"/>
                  <w:vAlign w:val="center"/>
                </w:tcPr>
                <w:p w14:paraId="179262C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3" w:type="dxa"/>
                  <w:vMerge w:val="continue"/>
                  <w:tcBorders>
                    <w:tl2br w:val="nil"/>
                    <w:tr2bl w:val="nil"/>
                  </w:tcBorders>
                  <w:shd w:val="clear" w:color="auto" w:fill="auto"/>
                  <w:vAlign w:val="center"/>
                </w:tcPr>
                <w:p w14:paraId="65E5175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62" w:type="dxa"/>
                  <w:vMerge w:val="continue"/>
                  <w:tcBorders>
                    <w:tl2br w:val="nil"/>
                    <w:tr2bl w:val="nil"/>
                  </w:tcBorders>
                  <w:shd w:val="clear" w:color="auto" w:fill="auto"/>
                  <w:vAlign w:val="center"/>
                </w:tcPr>
                <w:p w14:paraId="20BCEEF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63" w:type="dxa"/>
                  <w:vMerge w:val="continue"/>
                  <w:tcBorders>
                    <w:tl2br w:val="nil"/>
                    <w:tr2bl w:val="nil"/>
                  </w:tcBorders>
                  <w:shd w:val="clear" w:color="auto" w:fill="auto"/>
                  <w:vAlign w:val="center"/>
                </w:tcPr>
                <w:p w14:paraId="0B27964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5" w:type="dxa"/>
                  <w:vMerge w:val="continue"/>
                  <w:tcBorders>
                    <w:tl2br w:val="nil"/>
                    <w:tr2bl w:val="nil"/>
                  </w:tcBorders>
                  <w:shd w:val="clear" w:color="auto" w:fill="auto"/>
                  <w:vAlign w:val="center"/>
                </w:tcPr>
                <w:p w14:paraId="08BDE06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016" w:type="dxa"/>
                  <w:vMerge w:val="continue"/>
                  <w:tcBorders>
                    <w:tl2br w:val="nil"/>
                    <w:tr2bl w:val="nil"/>
                  </w:tcBorders>
                  <w:shd w:val="clear" w:color="auto" w:fill="auto"/>
                  <w:vAlign w:val="center"/>
                </w:tcPr>
                <w:p w14:paraId="77561CB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3" w:type="dxa"/>
                  <w:vMerge w:val="continue"/>
                  <w:tcBorders>
                    <w:tl2br w:val="nil"/>
                    <w:tr2bl w:val="nil"/>
                  </w:tcBorders>
                  <w:shd w:val="clear" w:color="auto" w:fill="auto"/>
                  <w:vAlign w:val="center"/>
                </w:tcPr>
                <w:p w14:paraId="3D978D4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456" w:type="dxa"/>
                  <w:vMerge w:val="continue"/>
                  <w:tcBorders>
                    <w:tl2br w:val="nil"/>
                    <w:tr2bl w:val="nil"/>
                  </w:tcBorders>
                  <w:shd w:val="clear" w:color="auto" w:fill="auto"/>
                  <w:vAlign w:val="center"/>
                </w:tcPr>
                <w:p w14:paraId="7A1330F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935" w:type="dxa"/>
                  <w:tcBorders>
                    <w:tl2br w:val="nil"/>
                    <w:tr2bl w:val="nil"/>
                  </w:tcBorders>
                  <w:shd w:val="clear" w:color="auto" w:fill="auto"/>
                  <w:vAlign w:val="center"/>
                </w:tcPr>
                <w:p w14:paraId="4D4A1D3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SS</w:t>
                  </w:r>
                </w:p>
              </w:tc>
              <w:tc>
                <w:tcPr>
                  <w:tcW w:w="1114" w:type="dxa"/>
                  <w:tcBorders>
                    <w:tl2br w:val="nil"/>
                    <w:tr2bl w:val="nil"/>
                  </w:tcBorders>
                  <w:shd w:val="clear" w:color="auto" w:fill="auto"/>
                  <w:vAlign w:val="center"/>
                </w:tcPr>
                <w:p w14:paraId="2F509F4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10</w:t>
                  </w:r>
                </w:p>
              </w:tc>
            </w:tr>
            <w:tr w14:paraId="0C089D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5" w:type="dxa"/>
                  <w:vMerge w:val="continue"/>
                  <w:tcBorders>
                    <w:tl2br w:val="nil"/>
                    <w:tr2bl w:val="nil"/>
                  </w:tcBorders>
                  <w:shd w:val="clear" w:color="auto" w:fill="auto"/>
                  <w:vAlign w:val="center"/>
                </w:tcPr>
                <w:p w14:paraId="39D7907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2" w:type="dxa"/>
                  <w:vMerge w:val="continue"/>
                  <w:tcBorders>
                    <w:tl2br w:val="nil"/>
                    <w:tr2bl w:val="nil"/>
                  </w:tcBorders>
                  <w:shd w:val="clear" w:color="auto" w:fill="auto"/>
                  <w:vAlign w:val="center"/>
                </w:tcPr>
                <w:p w14:paraId="1DCD604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3" w:type="dxa"/>
                  <w:vMerge w:val="continue"/>
                  <w:tcBorders>
                    <w:tl2br w:val="nil"/>
                    <w:tr2bl w:val="nil"/>
                  </w:tcBorders>
                  <w:shd w:val="clear" w:color="auto" w:fill="auto"/>
                  <w:vAlign w:val="center"/>
                </w:tcPr>
                <w:p w14:paraId="6AF4194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62" w:type="dxa"/>
                  <w:vMerge w:val="continue"/>
                  <w:tcBorders>
                    <w:tl2br w:val="nil"/>
                    <w:tr2bl w:val="nil"/>
                  </w:tcBorders>
                  <w:shd w:val="clear" w:color="auto" w:fill="auto"/>
                  <w:vAlign w:val="center"/>
                </w:tcPr>
                <w:p w14:paraId="31799DB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63" w:type="dxa"/>
                  <w:vMerge w:val="continue"/>
                  <w:tcBorders>
                    <w:tl2br w:val="nil"/>
                    <w:tr2bl w:val="nil"/>
                  </w:tcBorders>
                  <w:shd w:val="clear" w:color="auto" w:fill="auto"/>
                  <w:vAlign w:val="center"/>
                </w:tcPr>
                <w:p w14:paraId="21A3697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5" w:type="dxa"/>
                  <w:vMerge w:val="continue"/>
                  <w:tcBorders>
                    <w:tl2br w:val="nil"/>
                    <w:tr2bl w:val="nil"/>
                  </w:tcBorders>
                  <w:shd w:val="clear" w:color="auto" w:fill="auto"/>
                  <w:vAlign w:val="center"/>
                </w:tcPr>
                <w:p w14:paraId="1510DB3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016" w:type="dxa"/>
                  <w:vMerge w:val="continue"/>
                  <w:tcBorders>
                    <w:tl2br w:val="nil"/>
                    <w:tr2bl w:val="nil"/>
                  </w:tcBorders>
                  <w:shd w:val="clear" w:color="auto" w:fill="auto"/>
                  <w:vAlign w:val="center"/>
                </w:tcPr>
                <w:p w14:paraId="42B755B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3" w:type="dxa"/>
                  <w:vMerge w:val="continue"/>
                  <w:tcBorders>
                    <w:tl2br w:val="nil"/>
                    <w:tr2bl w:val="nil"/>
                  </w:tcBorders>
                  <w:shd w:val="clear" w:color="auto" w:fill="auto"/>
                  <w:vAlign w:val="center"/>
                </w:tcPr>
                <w:p w14:paraId="0E5FAA1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456" w:type="dxa"/>
                  <w:vMerge w:val="continue"/>
                  <w:tcBorders>
                    <w:tl2br w:val="nil"/>
                    <w:tr2bl w:val="nil"/>
                  </w:tcBorders>
                  <w:shd w:val="clear" w:color="auto" w:fill="auto"/>
                  <w:vAlign w:val="center"/>
                </w:tcPr>
                <w:p w14:paraId="070DFE9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935" w:type="dxa"/>
                  <w:tcBorders>
                    <w:tl2br w:val="nil"/>
                    <w:tr2bl w:val="nil"/>
                  </w:tcBorders>
                  <w:shd w:val="clear" w:color="auto" w:fill="auto"/>
                  <w:vAlign w:val="center"/>
                </w:tcPr>
                <w:p w14:paraId="3EEBC6F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氨氮</w:t>
                  </w:r>
                </w:p>
              </w:tc>
              <w:tc>
                <w:tcPr>
                  <w:tcW w:w="1114" w:type="dxa"/>
                  <w:tcBorders>
                    <w:tl2br w:val="nil"/>
                    <w:tr2bl w:val="nil"/>
                  </w:tcBorders>
                  <w:shd w:val="clear" w:color="auto" w:fill="auto"/>
                  <w:vAlign w:val="center"/>
                </w:tcPr>
                <w:p w14:paraId="763C8D6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color w:val="auto"/>
                      <w:highlight w:val="none"/>
                      <w:lang w:val="en-US" w:eastAsia="zh-CN"/>
                    </w:rPr>
                    <w:t>5</w:t>
                  </w:r>
                  <w:r>
                    <w:rPr>
                      <w:rFonts w:hint="eastAsia" w:ascii="Times New Roman" w:hAnsi="Times New Roman" w:eastAsia="宋体"/>
                      <w:color w:val="auto"/>
                      <w:highlight w:val="none"/>
                      <w:lang w:val="en-US" w:eastAsia="zh-CN"/>
                    </w:rPr>
                    <w:t>(</w:t>
                  </w:r>
                  <w:r>
                    <w:rPr>
                      <w:rFonts w:hint="eastAsia"/>
                      <w:color w:val="auto"/>
                      <w:highlight w:val="none"/>
                      <w:lang w:val="en-US" w:eastAsia="zh-CN"/>
                    </w:rPr>
                    <w:t>8</w:t>
                  </w:r>
                  <w:r>
                    <w:rPr>
                      <w:rFonts w:hint="eastAsia" w:ascii="Times New Roman" w:hAnsi="Times New Roman" w:eastAsia="宋体"/>
                      <w:color w:val="auto"/>
                      <w:highlight w:val="none"/>
                      <w:lang w:val="en-US" w:eastAsia="zh-CN"/>
                    </w:rPr>
                    <w:t>)</w:t>
                  </w:r>
                  <w:r>
                    <w:rPr>
                      <w:rFonts w:hint="default" w:ascii="Times New Roman" w:hAnsi="Times New Roman" w:eastAsia="宋体"/>
                      <w:color w:val="auto"/>
                      <w:highlight w:val="none"/>
                      <w:lang w:val="en-US"/>
                    </w:rPr>
                    <w:t>*</w:t>
                  </w:r>
                </w:p>
              </w:tc>
            </w:tr>
            <w:tr w14:paraId="601285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5" w:type="dxa"/>
                  <w:vMerge w:val="continue"/>
                  <w:tcBorders>
                    <w:tl2br w:val="nil"/>
                    <w:tr2bl w:val="nil"/>
                  </w:tcBorders>
                  <w:shd w:val="clear" w:color="auto" w:fill="auto"/>
                  <w:vAlign w:val="center"/>
                </w:tcPr>
                <w:p w14:paraId="417DDB4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2" w:type="dxa"/>
                  <w:vMerge w:val="continue"/>
                  <w:tcBorders>
                    <w:tl2br w:val="nil"/>
                    <w:tr2bl w:val="nil"/>
                  </w:tcBorders>
                  <w:shd w:val="clear" w:color="auto" w:fill="auto"/>
                  <w:vAlign w:val="center"/>
                </w:tcPr>
                <w:p w14:paraId="14513D2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3" w:type="dxa"/>
                  <w:vMerge w:val="continue"/>
                  <w:tcBorders>
                    <w:tl2br w:val="nil"/>
                    <w:tr2bl w:val="nil"/>
                  </w:tcBorders>
                  <w:shd w:val="clear" w:color="auto" w:fill="auto"/>
                  <w:vAlign w:val="center"/>
                </w:tcPr>
                <w:p w14:paraId="0BA3FAA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62" w:type="dxa"/>
                  <w:vMerge w:val="continue"/>
                  <w:tcBorders>
                    <w:tl2br w:val="nil"/>
                    <w:tr2bl w:val="nil"/>
                  </w:tcBorders>
                  <w:shd w:val="clear" w:color="auto" w:fill="auto"/>
                  <w:vAlign w:val="center"/>
                </w:tcPr>
                <w:p w14:paraId="2CD2B6D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63" w:type="dxa"/>
                  <w:vMerge w:val="continue"/>
                  <w:tcBorders>
                    <w:tl2br w:val="nil"/>
                    <w:tr2bl w:val="nil"/>
                  </w:tcBorders>
                  <w:shd w:val="clear" w:color="auto" w:fill="auto"/>
                  <w:vAlign w:val="center"/>
                </w:tcPr>
                <w:p w14:paraId="2ABC894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5" w:type="dxa"/>
                  <w:vMerge w:val="continue"/>
                  <w:tcBorders>
                    <w:tl2br w:val="nil"/>
                    <w:tr2bl w:val="nil"/>
                  </w:tcBorders>
                  <w:shd w:val="clear" w:color="auto" w:fill="auto"/>
                  <w:vAlign w:val="center"/>
                </w:tcPr>
                <w:p w14:paraId="1DEC483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016" w:type="dxa"/>
                  <w:vMerge w:val="continue"/>
                  <w:tcBorders>
                    <w:tl2br w:val="nil"/>
                    <w:tr2bl w:val="nil"/>
                  </w:tcBorders>
                  <w:shd w:val="clear" w:color="auto" w:fill="auto"/>
                  <w:vAlign w:val="center"/>
                </w:tcPr>
                <w:p w14:paraId="0C9AEF0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3" w:type="dxa"/>
                  <w:vMerge w:val="continue"/>
                  <w:tcBorders>
                    <w:tl2br w:val="nil"/>
                    <w:tr2bl w:val="nil"/>
                  </w:tcBorders>
                  <w:shd w:val="clear" w:color="auto" w:fill="auto"/>
                  <w:vAlign w:val="center"/>
                </w:tcPr>
                <w:p w14:paraId="2ED1786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456" w:type="dxa"/>
                  <w:vMerge w:val="continue"/>
                  <w:tcBorders>
                    <w:tl2br w:val="nil"/>
                    <w:tr2bl w:val="nil"/>
                  </w:tcBorders>
                  <w:shd w:val="clear" w:color="auto" w:fill="auto"/>
                  <w:vAlign w:val="center"/>
                </w:tcPr>
                <w:p w14:paraId="3503CC9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935" w:type="dxa"/>
                  <w:tcBorders>
                    <w:tl2br w:val="nil"/>
                    <w:tr2bl w:val="nil"/>
                  </w:tcBorders>
                  <w:shd w:val="clear" w:color="auto" w:fill="auto"/>
                  <w:vAlign w:val="center"/>
                </w:tcPr>
                <w:p w14:paraId="6DCDD01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TP</w:t>
                  </w:r>
                </w:p>
              </w:tc>
              <w:tc>
                <w:tcPr>
                  <w:tcW w:w="1114" w:type="dxa"/>
                  <w:tcBorders>
                    <w:tl2br w:val="nil"/>
                    <w:tr2bl w:val="nil"/>
                  </w:tcBorders>
                  <w:shd w:val="clear" w:color="auto" w:fill="auto"/>
                  <w:vAlign w:val="center"/>
                </w:tcPr>
                <w:p w14:paraId="0BB5FF5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0.5</w:t>
                  </w:r>
                </w:p>
              </w:tc>
            </w:tr>
            <w:tr w14:paraId="09924B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5" w:type="dxa"/>
                  <w:vMerge w:val="continue"/>
                  <w:tcBorders>
                    <w:tl2br w:val="nil"/>
                    <w:tr2bl w:val="nil"/>
                  </w:tcBorders>
                  <w:shd w:val="clear" w:color="auto" w:fill="auto"/>
                  <w:vAlign w:val="center"/>
                </w:tcPr>
                <w:p w14:paraId="2BF28A9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2" w:type="dxa"/>
                  <w:vMerge w:val="continue"/>
                  <w:tcBorders>
                    <w:tl2br w:val="nil"/>
                    <w:tr2bl w:val="nil"/>
                  </w:tcBorders>
                  <w:shd w:val="clear" w:color="auto" w:fill="auto"/>
                  <w:vAlign w:val="center"/>
                </w:tcPr>
                <w:p w14:paraId="4E8A6D4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3" w:type="dxa"/>
                  <w:vMerge w:val="continue"/>
                  <w:tcBorders>
                    <w:tl2br w:val="nil"/>
                    <w:tr2bl w:val="nil"/>
                  </w:tcBorders>
                  <w:shd w:val="clear" w:color="auto" w:fill="auto"/>
                  <w:vAlign w:val="center"/>
                </w:tcPr>
                <w:p w14:paraId="469E461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62" w:type="dxa"/>
                  <w:vMerge w:val="continue"/>
                  <w:tcBorders>
                    <w:tl2br w:val="nil"/>
                    <w:tr2bl w:val="nil"/>
                  </w:tcBorders>
                  <w:shd w:val="clear" w:color="auto" w:fill="auto"/>
                  <w:vAlign w:val="center"/>
                </w:tcPr>
                <w:p w14:paraId="5500ED7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63" w:type="dxa"/>
                  <w:vMerge w:val="continue"/>
                  <w:tcBorders>
                    <w:tl2br w:val="nil"/>
                    <w:tr2bl w:val="nil"/>
                  </w:tcBorders>
                  <w:shd w:val="clear" w:color="auto" w:fill="auto"/>
                  <w:vAlign w:val="center"/>
                </w:tcPr>
                <w:p w14:paraId="4A38799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5" w:type="dxa"/>
                  <w:vMerge w:val="continue"/>
                  <w:tcBorders>
                    <w:tl2br w:val="nil"/>
                    <w:tr2bl w:val="nil"/>
                  </w:tcBorders>
                  <w:shd w:val="clear" w:color="auto" w:fill="auto"/>
                  <w:vAlign w:val="center"/>
                </w:tcPr>
                <w:p w14:paraId="78FF3CB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016" w:type="dxa"/>
                  <w:vMerge w:val="continue"/>
                  <w:tcBorders>
                    <w:tl2br w:val="nil"/>
                    <w:tr2bl w:val="nil"/>
                  </w:tcBorders>
                  <w:shd w:val="clear" w:color="auto" w:fill="auto"/>
                  <w:vAlign w:val="center"/>
                </w:tcPr>
                <w:p w14:paraId="562A379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3" w:type="dxa"/>
                  <w:vMerge w:val="continue"/>
                  <w:tcBorders>
                    <w:tl2br w:val="nil"/>
                    <w:tr2bl w:val="nil"/>
                  </w:tcBorders>
                  <w:shd w:val="clear" w:color="auto" w:fill="auto"/>
                  <w:vAlign w:val="center"/>
                </w:tcPr>
                <w:p w14:paraId="29EC848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456" w:type="dxa"/>
                  <w:vMerge w:val="continue"/>
                  <w:tcBorders>
                    <w:tl2br w:val="nil"/>
                    <w:tr2bl w:val="nil"/>
                  </w:tcBorders>
                  <w:shd w:val="clear" w:color="auto" w:fill="auto"/>
                  <w:vAlign w:val="center"/>
                </w:tcPr>
                <w:p w14:paraId="33CD7B5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935" w:type="dxa"/>
                  <w:tcBorders>
                    <w:tl2br w:val="nil"/>
                    <w:tr2bl w:val="nil"/>
                  </w:tcBorders>
                  <w:shd w:val="clear" w:color="auto" w:fill="auto"/>
                  <w:vAlign w:val="center"/>
                </w:tcPr>
                <w:p w14:paraId="4DFB3A84">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lang w:val="en-US"/>
                    </w:rPr>
                    <w:t>TN</w:t>
                  </w:r>
                </w:p>
              </w:tc>
              <w:tc>
                <w:tcPr>
                  <w:tcW w:w="1114" w:type="dxa"/>
                  <w:tcBorders>
                    <w:tl2br w:val="nil"/>
                    <w:tr2bl w:val="nil"/>
                  </w:tcBorders>
                  <w:shd w:val="clear" w:color="auto" w:fill="auto"/>
                  <w:vAlign w:val="center"/>
                </w:tcPr>
                <w:p w14:paraId="424C3D79">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lang w:val="en-US"/>
                    </w:rPr>
                    <w:t>15</w:t>
                  </w:r>
                </w:p>
              </w:tc>
            </w:tr>
            <w:tr w14:paraId="5897BE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5" w:type="dxa"/>
                  <w:vMerge w:val="continue"/>
                  <w:tcBorders>
                    <w:tl2br w:val="nil"/>
                    <w:tr2bl w:val="nil"/>
                  </w:tcBorders>
                  <w:shd w:val="clear" w:color="auto" w:fill="auto"/>
                  <w:vAlign w:val="center"/>
                </w:tcPr>
                <w:p w14:paraId="27C97AD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2" w:type="dxa"/>
                  <w:vMerge w:val="continue"/>
                  <w:tcBorders>
                    <w:tl2br w:val="nil"/>
                    <w:tr2bl w:val="nil"/>
                  </w:tcBorders>
                  <w:shd w:val="clear" w:color="auto" w:fill="auto"/>
                  <w:vAlign w:val="center"/>
                </w:tcPr>
                <w:p w14:paraId="30A2766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3" w:type="dxa"/>
                  <w:vMerge w:val="continue"/>
                  <w:tcBorders>
                    <w:tl2br w:val="nil"/>
                    <w:tr2bl w:val="nil"/>
                  </w:tcBorders>
                  <w:shd w:val="clear" w:color="auto" w:fill="auto"/>
                  <w:vAlign w:val="center"/>
                </w:tcPr>
                <w:p w14:paraId="63A5BDA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62" w:type="dxa"/>
                  <w:vMerge w:val="continue"/>
                  <w:tcBorders>
                    <w:tl2br w:val="nil"/>
                    <w:tr2bl w:val="nil"/>
                  </w:tcBorders>
                  <w:shd w:val="clear" w:color="auto" w:fill="auto"/>
                  <w:vAlign w:val="center"/>
                </w:tcPr>
                <w:p w14:paraId="6868FD1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63" w:type="dxa"/>
                  <w:vMerge w:val="continue"/>
                  <w:tcBorders>
                    <w:tl2br w:val="nil"/>
                    <w:tr2bl w:val="nil"/>
                  </w:tcBorders>
                  <w:shd w:val="clear" w:color="auto" w:fill="auto"/>
                  <w:vAlign w:val="center"/>
                </w:tcPr>
                <w:p w14:paraId="1EC2444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5" w:type="dxa"/>
                  <w:vMerge w:val="continue"/>
                  <w:tcBorders>
                    <w:tl2br w:val="nil"/>
                    <w:tr2bl w:val="nil"/>
                  </w:tcBorders>
                  <w:shd w:val="clear" w:color="auto" w:fill="auto"/>
                  <w:vAlign w:val="center"/>
                </w:tcPr>
                <w:p w14:paraId="1DC156D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016" w:type="dxa"/>
                  <w:vMerge w:val="continue"/>
                  <w:tcBorders>
                    <w:tl2br w:val="nil"/>
                    <w:tr2bl w:val="nil"/>
                  </w:tcBorders>
                  <w:shd w:val="clear" w:color="auto" w:fill="auto"/>
                  <w:vAlign w:val="center"/>
                </w:tcPr>
                <w:p w14:paraId="1D2D5F2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33" w:type="dxa"/>
                  <w:vMerge w:val="continue"/>
                  <w:tcBorders>
                    <w:tl2br w:val="nil"/>
                    <w:tr2bl w:val="nil"/>
                  </w:tcBorders>
                  <w:shd w:val="clear" w:color="auto" w:fill="auto"/>
                  <w:vAlign w:val="center"/>
                </w:tcPr>
                <w:p w14:paraId="70A84E5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456" w:type="dxa"/>
                  <w:vMerge w:val="continue"/>
                  <w:tcBorders>
                    <w:tl2br w:val="nil"/>
                    <w:tr2bl w:val="nil"/>
                  </w:tcBorders>
                  <w:shd w:val="clear" w:color="auto" w:fill="auto"/>
                  <w:vAlign w:val="center"/>
                </w:tcPr>
                <w:p w14:paraId="03D1F3B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935" w:type="dxa"/>
                  <w:tcBorders>
                    <w:tl2br w:val="nil"/>
                    <w:tr2bl w:val="nil"/>
                  </w:tcBorders>
                  <w:shd w:val="clear" w:color="auto" w:fill="auto"/>
                  <w:vAlign w:val="center"/>
                </w:tcPr>
                <w:p w14:paraId="287E747D">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color w:val="auto"/>
                      <w:highlight w:val="none"/>
                      <w:lang w:val="en-US" w:eastAsia="zh-CN"/>
                    </w:rPr>
                    <w:t>动植物油</w:t>
                  </w:r>
                </w:p>
              </w:tc>
              <w:tc>
                <w:tcPr>
                  <w:tcW w:w="1114" w:type="dxa"/>
                  <w:tcBorders>
                    <w:tl2br w:val="nil"/>
                    <w:tr2bl w:val="nil"/>
                  </w:tcBorders>
                  <w:shd w:val="clear" w:color="auto" w:fill="auto"/>
                  <w:vAlign w:val="center"/>
                </w:tcPr>
                <w:p w14:paraId="1647B92D">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color w:val="auto"/>
                      <w:highlight w:val="none"/>
                      <w:lang w:val="en-US" w:eastAsia="zh-CN"/>
                    </w:rPr>
                    <w:t>1</w:t>
                  </w:r>
                </w:p>
              </w:tc>
            </w:tr>
          </w:tbl>
          <w:p w14:paraId="5062D63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firstLine="0" w:firstLineChars="0"/>
              <w:textAlignment w:val="auto"/>
              <w:rPr>
                <w:rFonts w:hint="default" w:ascii="Times New Roman" w:hAnsi="Times New Roman" w:eastAsia="宋体"/>
                <w:b/>
                <w:bCs/>
                <w:color w:val="auto"/>
                <w:sz w:val="21"/>
                <w:szCs w:val="21"/>
                <w:highlight w:val="none"/>
                <w:lang w:val="en-US"/>
              </w:rPr>
            </w:pPr>
            <w:r>
              <w:rPr>
                <w:rFonts w:hint="eastAsia" w:ascii="Times New Roman" w:hAnsi="Times New Roman" w:eastAsia="宋体"/>
                <w:b/>
                <w:bCs/>
                <w:color w:val="auto"/>
                <w:sz w:val="21"/>
                <w:szCs w:val="21"/>
                <w:highlight w:val="none"/>
                <w:lang w:val="en-US"/>
              </w:rPr>
              <w:t>注：括号外数值为水温＞12℃时的控制指标，括号内数值为水温≤12℃时的控制指标。</w:t>
            </w:r>
          </w:p>
          <w:p w14:paraId="7AC189A5">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（4）水污染控制和水环境影响减缓措施有效性分析</w:t>
            </w:r>
          </w:p>
          <w:p w14:paraId="5DB1B045">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1）南京娃哈哈饮料有限公司污水处理站</w:t>
            </w:r>
          </w:p>
          <w:p w14:paraId="16184AC2">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①处理规模</w:t>
            </w:r>
          </w:p>
          <w:p w14:paraId="2D65AA37">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default"/>
                <w:color w:val="auto"/>
                <w:highlight w:val="none"/>
                <w:lang w:val="en-US" w:eastAsia="zh-CN"/>
              </w:rPr>
              <w:t>南京娃哈哈饮料有限公司污水处理站</w:t>
            </w:r>
            <w:r>
              <w:rPr>
                <w:rFonts w:hint="eastAsia"/>
                <w:color w:val="auto"/>
                <w:highlight w:val="none"/>
                <w:lang w:val="en-US" w:eastAsia="zh-CN"/>
              </w:rPr>
              <w:t>建设规模为2250m</w:t>
            </w:r>
            <w:r>
              <w:rPr>
                <w:rFonts w:hint="eastAsia"/>
                <w:color w:val="auto"/>
                <w:highlight w:val="none"/>
                <w:vertAlign w:val="superscript"/>
                <w:lang w:val="en-US" w:eastAsia="zh-CN"/>
              </w:rPr>
              <w:t>3</w:t>
            </w:r>
            <w:r>
              <w:rPr>
                <w:rFonts w:hint="eastAsia"/>
                <w:color w:val="auto"/>
                <w:highlight w:val="none"/>
                <w:lang w:val="en-US" w:eastAsia="zh-CN"/>
              </w:rPr>
              <w:t>/d，目前实际处理规模约为1798.8m</w:t>
            </w:r>
            <w:r>
              <w:rPr>
                <w:rFonts w:hint="eastAsia"/>
                <w:color w:val="auto"/>
                <w:highlight w:val="none"/>
                <w:vertAlign w:val="superscript"/>
                <w:lang w:val="en-US" w:eastAsia="zh-CN"/>
              </w:rPr>
              <w:t>3</w:t>
            </w:r>
            <w:r>
              <w:rPr>
                <w:rFonts w:hint="eastAsia"/>
                <w:color w:val="auto"/>
                <w:highlight w:val="none"/>
                <w:lang w:val="en-US" w:eastAsia="zh-CN"/>
              </w:rPr>
              <w:t>/d，尚有余量451.2m</w:t>
            </w:r>
            <w:r>
              <w:rPr>
                <w:rFonts w:hint="eastAsia"/>
                <w:color w:val="auto"/>
                <w:highlight w:val="none"/>
                <w:vertAlign w:val="superscript"/>
                <w:lang w:val="en-US" w:eastAsia="zh-CN"/>
              </w:rPr>
              <w:t>3</w:t>
            </w:r>
            <w:r>
              <w:rPr>
                <w:rFonts w:hint="eastAsia"/>
                <w:color w:val="auto"/>
                <w:highlight w:val="none"/>
                <w:lang w:val="en-US" w:eastAsia="zh-CN"/>
              </w:rPr>
              <w:t>/d，本项目</w:t>
            </w:r>
            <w:r>
              <w:rPr>
                <w:rFonts w:hint="default" w:ascii="Times New Roman" w:hAnsi="Times New Roman" w:eastAsia="宋体"/>
                <w:color w:val="auto"/>
                <w:highlight w:val="none"/>
                <w:lang w:val="en-US"/>
              </w:rPr>
              <w:t>生活污水、</w:t>
            </w:r>
            <w:r>
              <w:rPr>
                <w:rFonts w:hint="eastAsia" w:ascii="Times New Roman" w:hAnsi="Times New Roman" w:eastAsia="宋体"/>
                <w:color w:val="auto"/>
                <w:highlight w:val="none"/>
                <w:lang w:val="en-US" w:eastAsia="zh-CN"/>
              </w:rPr>
              <w:t>食堂废水、</w:t>
            </w:r>
            <w:r>
              <w:rPr>
                <w:rFonts w:hint="eastAsia"/>
                <w:color w:val="auto"/>
                <w:highlight w:val="none"/>
                <w:lang w:val="en-US" w:eastAsia="zh-CN"/>
              </w:rPr>
              <w:t>设备清洗废水、地面冲洗废水年产生量约为28886m</w:t>
            </w:r>
            <w:r>
              <w:rPr>
                <w:rFonts w:hint="eastAsia"/>
                <w:color w:val="auto"/>
                <w:highlight w:val="none"/>
                <w:vertAlign w:val="superscript"/>
                <w:lang w:val="en-US" w:eastAsia="zh-CN"/>
              </w:rPr>
              <w:t>3</w:t>
            </w:r>
            <w:r>
              <w:rPr>
                <w:rFonts w:hint="eastAsia"/>
                <w:color w:val="auto"/>
                <w:highlight w:val="none"/>
                <w:lang w:val="en-US" w:eastAsia="zh-CN"/>
              </w:rPr>
              <w:t>/a，约96m</w:t>
            </w:r>
            <w:r>
              <w:rPr>
                <w:rFonts w:hint="eastAsia"/>
                <w:color w:val="auto"/>
                <w:highlight w:val="none"/>
                <w:vertAlign w:val="superscript"/>
                <w:lang w:val="en-US" w:eastAsia="zh-CN"/>
              </w:rPr>
              <w:t>3</w:t>
            </w:r>
            <w:r>
              <w:rPr>
                <w:rFonts w:hint="eastAsia"/>
                <w:color w:val="auto"/>
                <w:highlight w:val="none"/>
                <w:lang w:val="en-US" w:eastAsia="zh-CN"/>
              </w:rPr>
              <w:t>/d，</w:t>
            </w:r>
            <w:r>
              <w:rPr>
                <w:rFonts w:hint="default"/>
                <w:color w:val="auto"/>
                <w:highlight w:val="none"/>
                <w:lang w:val="en-US" w:eastAsia="zh-CN"/>
              </w:rPr>
              <w:t>南京娃哈哈饮料有限公司污水处理站</w:t>
            </w:r>
            <w:r>
              <w:rPr>
                <w:rFonts w:hint="eastAsia"/>
                <w:color w:val="auto"/>
                <w:highlight w:val="none"/>
                <w:lang w:val="en-US" w:eastAsia="zh-CN"/>
              </w:rPr>
              <w:t>有余量接纳本项目产生的废水。</w:t>
            </w:r>
          </w:p>
          <w:p w14:paraId="0AB43CD1">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②进水水质和出水水质情况</w:t>
            </w:r>
          </w:p>
          <w:p w14:paraId="0F032D86">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default"/>
                <w:color w:val="auto"/>
                <w:highlight w:val="none"/>
                <w:lang w:val="en-US" w:eastAsia="zh-CN"/>
              </w:rPr>
              <w:t>南京娃哈哈饮料有限公司污水处理站</w:t>
            </w:r>
            <w:r>
              <w:rPr>
                <w:rFonts w:hint="eastAsia"/>
                <w:color w:val="auto"/>
                <w:highlight w:val="none"/>
                <w:lang w:val="en-US" w:eastAsia="zh-CN"/>
              </w:rPr>
              <w:t>设计进水水质和出水水质情况见下表：</w:t>
            </w:r>
          </w:p>
          <w:p w14:paraId="5F83823A">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表4-</w:t>
            </w:r>
            <w:r>
              <w:rPr>
                <w:rFonts w:hint="eastAsia" w:ascii="Times New Roman" w:hAnsi="Times New Roman" w:eastAsia="宋体"/>
                <w:color w:val="auto"/>
                <w:highlight w:val="none"/>
                <w:lang w:val="en-US" w:eastAsia="zh-CN"/>
              </w:rPr>
              <w:t>1</w:t>
            </w:r>
            <w:r>
              <w:rPr>
                <w:rFonts w:hint="eastAsia"/>
                <w:color w:val="auto"/>
                <w:highlight w:val="none"/>
                <w:lang w:val="en-US" w:eastAsia="zh-CN"/>
              </w:rPr>
              <w:t>3</w:t>
            </w:r>
            <w:r>
              <w:rPr>
                <w:rFonts w:hint="default" w:ascii="Times New Roman" w:hAnsi="Times New Roman" w:eastAsia="宋体"/>
                <w:color w:val="auto"/>
                <w:highlight w:val="none"/>
              </w:rPr>
              <w:t>南京娃哈哈饮料有限公司污水处理站设计进水水质和出水水质情况表</w:t>
            </w:r>
          </w:p>
          <w:tbl>
            <w:tblPr>
              <w:tblStyle w:val="16"/>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689"/>
              <w:gridCol w:w="2057"/>
              <w:gridCol w:w="1946"/>
              <w:gridCol w:w="2272"/>
            </w:tblGrid>
            <w:tr w14:paraId="1342604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689" w:type="dxa"/>
                  <w:tcBorders>
                    <w:tl2br w:val="nil"/>
                    <w:tr2bl w:val="nil"/>
                  </w:tcBorders>
                  <w:shd w:val="clear" w:color="auto" w:fill="auto"/>
                  <w:vAlign w:val="center"/>
                </w:tcPr>
                <w:p w14:paraId="3E4B00CC">
                  <w:pPr>
                    <w:pStyle w:val="21"/>
                    <w:keepNext w:val="0"/>
                    <w:keepLines w:val="0"/>
                    <w:suppressLineNumbers w:val="0"/>
                    <w:spacing w:before="0" w:beforeAutospacing="0" w:after="0" w:afterAutospacing="0"/>
                    <w:ind w:left="0" w:right="0"/>
                    <w:rPr>
                      <w:rFonts w:hint="eastAsia" w:ascii="Times New Roman" w:hAnsi="Times New Roman" w:eastAsia="宋体"/>
                      <w:b/>
                      <w:bCs/>
                      <w:color w:val="auto"/>
                      <w:highlight w:val="none"/>
                      <w:lang w:val="en-US" w:eastAsia="zh-CN"/>
                    </w:rPr>
                  </w:pPr>
                  <w:r>
                    <w:rPr>
                      <w:rFonts w:hint="eastAsia"/>
                      <w:b/>
                      <w:bCs/>
                      <w:color w:val="auto"/>
                      <w:highlight w:val="none"/>
                      <w:lang w:val="en-US" w:eastAsia="zh-CN"/>
                    </w:rPr>
                    <w:t>污染物</w:t>
                  </w:r>
                </w:p>
              </w:tc>
              <w:tc>
                <w:tcPr>
                  <w:tcW w:w="2057" w:type="dxa"/>
                  <w:tcBorders>
                    <w:tl2br w:val="nil"/>
                    <w:tr2bl w:val="nil"/>
                  </w:tcBorders>
                  <w:shd w:val="clear" w:color="auto" w:fill="auto"/>
                  <w:vAlign w:val="center"/>
                </w:tcPr>
                <w:p w14:paraId="1AF33E52">
                  <w:pPr>
                    <w:pStyle w:val="21"/>
                    <w:keepNext w:val="0"/>
                    <w:keepLines w:val="0"/>
                    <w:suppressLineNumbers w:val="0"/>
                    <w:spacing w:before="0" w:beforeAutospacing="0" w:after="0" w:afterAutospacing="0"/>
                    <w:ind w:left="0" w:right="0"/>
                    <w:rPr>
                      <w:rFonts w:hint="eastAsia" w:ascii="Times New Roman" w:hAnsi="Times New Roman" w:eastAsia="宋体"/>
                      <w:b/>
                      <w:bCs/>
                      <w:color w:val="auto"/>
                      <w:highlight w:val="none"/>
                      <w:lang w:val="en-US" w:eastAsia="zh-CN"/>
                    </w:rPr>
                  </w:pPr>
                  <w:r>
                    <w:rPr>
                      <w:rFonts w:hint="eastAsia"/>
                      <w:b/>
                      <w:bCs/>
                      <w:color w:val="auto"/>
                      <w:highlight w:val="none"/>
                      <w:lang w:val="en-US" w:eastAsia="zh-CN"/>
                    </w:rPr>
                    <w:t>单位</w:t>
                  </w:r>
                </w:p>
              </w:tc>
              <w:tc>
                <w:tcPr>
                  <w:tcW w:w="1946" w:type="dxa"/>
                  <w:tcBorders>
                    <w:tl2br w:val="nil"/>
                    <w:tr2bl w:val="nil"/>
                  </w:tcBorders>
                  <w:shd w:val="clear" w:color="auto" w:fill="auto"/>
                  <w:vAlign w:val="center"/>
                </w:tcPr>
                <w:p w14:paraId="5B35FF0C">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eastAsia="zh-CN"/>
                    </w:rPr>
                  </w:pPr>
                  <w:r>
                    <w:rPr>
                      <w:rFonts w:hint="eastAsia"/>
                      <w:b/>
                      <w:bCs/>
                      <w:color w:val="auto"/>
                      <w:highlight w:val="none"/>
                      <w:lang w:val="en-US" w:eastAsia="zh-CN"/>
                    </w:rPr>
                    <w:t>设计进水水质</w:t>
                  </w:r>
                </w:p>
              </w:tc>
              <w:tc>
                <w:tcPr>
                  <w:tcW w:w="2272" w:type="dxa"/>
                  <w:tcBorders>
                    <w:tl2br w:val="nil"/>
                    <w:tr2bl w:val="nil"/>
                  </w:tcBorders>
                  <w:shd w:val="clear" w:color="auto" w:fill="auto"/>
                  <w:vAlign w:val="center"/>
                </w:tcPr>
                <w:p w14:paraId="125FBCA2">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eastAsia="zh-CN"/>
                    </w:rPr>
                  </w:pPr>
                  <w:r>
                    <w:rPr>
                      <w:rFonts w:hint="eastAsia"/>
                      <w:b/>
                      <w:bCs/>
                      <w:color w:val="auto"/>
                      <w:highlight w:val="none"/>
                      <w:lang w:val="en-US" w:eastAsia="zh-CN"/>
                    </w:rPr>
                    <w:t>设计出水水质</w:t>
                  </w:r>
                </w:p>
              </w:tc>
            </w:tr>
            <w:tr w14:paraId="4DF8FA8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689" w:type="dxa"/>
                  <w:tcBorders>
                    <w:tl2br w:val="nil"/>
                    <w:tr2bl w:val="nil"/>
                  </w:tcBorders>
                  <w:shd w:val="clear" w:color="auto" w:fill="auto"/>
                  <w:vAlign w:val="center"/>
                </w:tcPr>
                <w:p w14:paraId="430B2D6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lang w:val="en-US"/>
                    </w:rPr>
                    <w:t>pH</w:t>
                  </w:r>
                </w:p>
              </w:tc>
              <w:tc>
                <w:tcPr>
                  <w:tcW w:w="2057" w:type="dxa"/>
                  <w:tcBorders>
                    <w:tl2br w:val="nil"/>
                    <w:tr2bl w:val="nil"/>
                  </w:tcBorders>
                  <w:shd w:val="clear" w:color="auto" w:fill="auto"/>
                  <w:vAlign w:val="center"/>
                </w:tcPr>
                <w:p w14:paraId="34F4D535">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color w:val="auto"/>
                      <w:highlight w:val="none"/>
                      <w:lang w:val="en-US" w:eastAsia="zh-CN"/>
                    </w:rPr>
                    <w:t>无量纲</w:t>
                  </w:r>
                </w:p>
              </w:tc>
              <w:tc>
                <w:tcPr>
                  <w:tcW w:w="1946" w:type="dxa"/>
                  <w:tcBorders>
                    <w:tl2br w:val="nil"/>
                    <w:tr2bl w:val="nil"/>
                  </w:tcBorders>
                  <w:shd w:val="clear" w:color="auto" w:fill="auto"/>
                  <w:vAlign w:val="center"/>
                </w:tcPr>
                <w:p w14:paraId="21CBCEDC">
                  <w:pPr>
                    <w:pStyle w:val="21"/>
                    <w:keepNext w:val="0"/>
                    <w:keepLines w:val="0"/>
                    <w:suppressLineNumbers w:val="0"/>
                    <w:bidi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6~9</w:t>
                  </w:r>
                </w:p>
              </w:tc>
              <w:tc>
                <w:tcPr>
                  <w:tcW w:w="2272" w:type="dxa"/>
                  <w:tcBorders>
                    <w:tl2br w:val="nil"/>
                    <w:tr2bl w:val="nil"/>
                  </w:tcBorders>
                  <w:shd w:val="clear" w:color="auto" w:fill="auto"/>
                  <w:vAlign w:val="center"/>
                </w:tcPr>
                <w:p w14:paraId="72F68BC6">
                  <w:pPr>
                    <w:pStyle w:val="21"/>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6~9</w:t>
                  </w:r>
                </w:p>
              </w:tc>
            </w:tr>
            <w:tr w14:paraId="2890F4B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0" w:type="auto"/>
                  <w:shd w:val="clear" w:color="auto" w:fill="auto"/>
                  <w:vAlign w:val="center"/>
                </w:tcPr>
                <w:p w14:paraId="78D873A2">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lang w:val="en-US"/>
                    </w:rPr>
                    <w:t>COD</w:t>
                  </w:r>
                </w:p>
              </w:tc>
              <w:tc>
                <w:tcPr>
                  <w:tcW w:w="0" w:type="auto"/>
                  <w:vAlign w:val="center"/>
                </w:tcPr>
                <w:p w14:paraId="6159395F">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color w:val="auto"/>
                      <w:highlight w:val="none"/>
                      <w:lang w:val="en-US" w:eastAsia="zh-CN"/>
                    </w:rPr>
                    <w:t>mg/L</w:t>
                  </w:r>
                </w:p>
              </w:tc>
              <w:tc>
                <w:tcPr>
                  <w:tcW w:w="0" w:type="auto"/>
                  <w:vAlign w:val="center"/>
                </w:tcPr>
                <w:p w14:paraId="571587E6">
                  <w:pPr>
                    <w:pStyle w:val="21"/>
                    <w:keepNext w:val="0"/>
                    <w:keepLines w:val="0"/>
                    <w:suppressLineNumbers w:val="0"/>
                    <w:bidi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3500</w:t>
                  </w:r>
                </w:p>
              </w:tc>
              <w:tc>
                <w:tcPr>
                  <w:tcW w:w="0" w:type="auto"/>
                  <w:shd w:val="clear" w:color="auto" w:fill="auto"/>
                  <w:vAlign w:val="center"/>
                </w:tcPr>
                <w:p w14:paraId="2933A388">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350</w:t>
                  </w:r>
                </w:p>
              </w:tc>
            </w:tr>
            <w:tr w14:paraId="47D7311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0" w:type="auto"/>
                  <w:shd w:val="clear" w:color="auto" w:fill="auto"/>
                  <w:vAlign w:val="center"/>
                </w:tcPr>
                <w:p w14:paraId="1A99E9EF">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lang w:val="en-US"/>
                    </w:rPr>
                    <w:t>SS</w:t>
                  </w:r>
                </w:p>
              </w:tc>
              <w:tc>
                <w:tcPr>
                  <w:tcW w:w="0" w:type="auto"/>
                  <w:vAlign w:val="center"/>
                </w:tcPr>
                <w:p w14:paraId="29E6F1E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color w:val="auto"/>
                      <w:highlight w:val="none"/>
                      <w:lang w:val="en-US" w:eastAsia="zh-CN"/>
                    </w:rPr>
                    <w:t>mg/L</w:t>
                  </w:r>
                </w:p>
              </w:tc>
              <w:tc>
                <w:tcPr>
                  <w:tcW w:w="0" w:type="auto"/>
                  <w:vAlign w:val="center"/>
                </w:tcPr>
                <w:p w14:paraId="4DE8E132">
                  <w:pPr>
                    <w:pStyle w:val="21"/>
                    <w:keepNext w:val="0"/>
                    <w:keepLines w:val="0"/>
                    <w:suppressLineNumbers w:val="0"/>
                    <w:bidi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450</w:t>
                  </w:r>
                </w:p>
              </w:tc>
              <w:tc>
                <w:tcPr>
                  <w:tcW w:w="0" w:type="auto"/>
                  <w:shd w:val="clear" w:color="auto" w:fill="auto"/>
                  <w:vAlign w:val="center"/>
                </w:tcPr>
                <w:p w14:paraId="5DF8DA88">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25</w:t>
                  </w:r>
                  <w:r>
                    <w:rPr>
                      <w:rFonts w:hint="eastAsia" w:ascii="Times New Roman" w:hAnsi="Times New Roman" w:eastAsia="宋体"/>
                      <w:color w:val="auto"/>
                      <w:highlight w:val="none"/>
                      <w:lang w:val="en-US"/>
                    </w:rPr>
                    <w:t>0</w:t>
                  </w:r>
                </w:p>
              </w:tc>
            </w:tr>
            <w:tr w14:paraId="27756C4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0" w:type="auto"/>
                  <w:shd w:val="clear" w:color="auto" w:fill="auto"/>
                  <w:vAlign w:val="center"/>
                </w:tcPr>
                <w:p w14:paraId="69BA07BF">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lang w:val="en-US"/>
                    </w:rPr>
                    <w:t>NH</w:t>
                  </w:r>
                  <w:r>
                    <w:rPr>
                      <w:rFonts w:hint="default" w:ascii="Times New Roman" w:hAnsi="Times New Roman" w:eastAsia="宋体"/>
                      <w:color w:val="auto"/>
                      <w:highlight w:val="none"/>
                      <w:vertAlign w:val="subscript"/>
                      <w:lang w:val="en-US"/>
                    </w:rPr>
                    <w:t>3</w:t>
                  </w:r>
                  <w:r>
                    <w:rPr>
                      <w:rFonts w:hint="default" w:ascii="Times New Roman" w:hAnsi="Times New Roman" w:eastAsia="宋体"/>
                      <w:color w:val="auto"/>
                      <w:highlight w:val="none"/>
                      <w:lang w:val="en-US"/>
                    </w:rPr>
                    <w:t>-N</w:t>
                  </w:r>
                </w:p>
              </w:tc>
              <w:tc>
                <w:tcPr>
                  <w:tcW w:w="0" w:type="auto"/>
                  <w:vAlign w:val="center"/>
                </w:tcPr>
                <w:p w14:paraId="0690363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color w:val="auto"/>
                      <w:highlight w:val="none"/>
                      <w:lang w:val="en-US" w:eastAsia="zh-CN"/>
                    </w:rPr>
                    <w:t>mg/L</w:t>
                  </w:r>
                </w:p>
              </w:tc>
              <w:tc>
                <w:tcPr>
                  <w:tcW w:w="0" w:type="auto"/>
                  <w:vAlign w:val="center"/>
                </w:tcPr>
                <w:p w14:paraId="4F8B5D9F">
                  <w:pPr>
                    <w:pStyle w:val="21"/>
                    <w:keepNext w:val="0"/>
                    <w:keepLines w:val="0"/>
                    <w:suppressLineNumbers w:val="0"/>
                    <w:bidi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75</w:t>
                  </w:r>
                </w:p>
              </w:tc>
              <w:tc>
                <w:tcPr>
                  <w:tcW w:w="0" w:type="auto"/>
                  <w:shd w:val="clear" w:color="auto" w:fill="auto"/>
                  <w:vAlign w:val="center"/>
                </w:tcPr>
                <w:p w14:paraId="3F6811C2">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35</w:t>
                  </w:r>
                </w:p>
              </w:tc>
            </w:tr>
            <w:tr w14:paraId="1A35A05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0" w:type="auto"/>
                  <w:shd w:val="clear" w:color="auto" w:fill="auto"/>
                  <w:vAlign w:val="center"/>
                </w:tcPr>
                <w:p w14:paraId="08E4F7A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lang w:val="en-US"/>
                    </w:rPr>
                    <w:t>TP</w:t>
                  </w:r>
                </w:p>
              </w:tc>
              <w:tc>
                <w:tcPr>
                  <w:tcW w:w="0" w:type="auto"/>
                  <w:vAlign w:val="center"/>
                </w:tcPr>
                <w:p w14:paraId="112DF0D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color w:val="auto"/>
                      <w:highlight w:val="none"/>
                      <w:lang w:val="en-US" w:eastAsia="zh-CN"/>
                    </w:rPr>
                    <w:t>mg/L</w:t>
                  </w:r>
                </w:p>
              </w:tc>
              <w:tc>
                <w:tcPr>
                  <w:tcW w:w="0" w:type="auto"/>
                  <w:vAlign w:val="center"/>
                </w:tcPr>
                <w:p w14:paraId="1D5526DE">
                  <w:pPr>
                    <w:pStyle w:val="21"/>
                    <w:keepNext w:val="0"/>
                    <w:keepLines w:val="0"/>
                    <w:suppressLineNumbers w:val="0"/>
                    <w:bidi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25</w:t>
                  </w:r>
                </w:p>
              </w:tc>
              <w:tc>
                <w:tcPr>
                  <w:tcW w:w="0" w:type="auto"/>
                  <w:shd w:val="clear" w:color="auto" w:fill="auto"/>
                  <w:vAlign w:val="center"/>
                </w:tcPr>
                <w:p w14:paraId="55C776FB">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4</w:t>
                  </w:r>
                </w:p>
              </w:tc>
            </w:tr>
            <w:tr w14:paraId="6C7B090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0" w:type="auto"/>
                  <w:shd w:val="clear" w:color="auto" w:fill="auto"/>
                  <w:vAlign w:val="center"/>
                </w:tcPr>
                <w:p w14:paraId="564983DF">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lang w:val="en-US"/>
                    </w:rPr>
                    <w:t>TN</w:t>
                  </w:r>
                </w:p>
              </w:tc>
              <w:tc>
                <w:tcPr>
                  <w:tcW w:w="0" w:type="auto"/>
                  <w:vAlign w:val="center"/>
                </w:tcPr>
                <w:p w14:paraId="503DBB6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color w:val="auto"/>
                      <w:highlight w:val="none"/>
                      <w:lang w:val="en-US" w:eastAsia="zh-CN"/>
                    </w:rPr>
                    <w:t>mg/L</w:t>
                  </w:r>
                </w:p>
              </w:tc>
              <w:tc>
                <w:tcPr>
                  <w:tcW w:w="0" w:type="auto"/>
                  <w:vAlign w:val="center"/>
                </w:tcPr>
                <w:p w14:paraId="7F50A5F8">
                  <w:pPr>
                    <w:pStyle w:val="21"/>
                    <w:keepNext w:val="0"/>
                    <w:keepLines w:val="0"/>
                    <w:suppressLineNumbers w:val="0"/>
                    <w:bidi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150</w:t>
                  </w:r>
                </w:p>
              </w:tc>
              <w:tc>
                <w:tcPr>
                  <w:tcW w:w="0" w:type="auto"/>
                  <w:shd w:val="clear" w:color="auto" w:fill="auto"/>
                  <w:vAlign w:val="center"/>
                </w:tcPr>
                <w:p w14:paraId="5BEFC66F">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45</w:t>
                  </w:r>
                </w:p>
              </w:tc>
            </w:tr>
            <w:tr w14:paraId="6315151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0" w:type="auto"/>
                  <w:shd w:val="clear" w:color="auto" w:fill="auto"/>
                  <w:vAlign w:val="center"/>
                </w:tcPr>
                <w:p w14:paraId="064AF07D">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动植物油</w:t>
                  </w:r>
                </w:p>
              </w:tc>
              <w:tc>
                <w:tcPr>
                  <w:tcW w:w="0" w:type="auto"/>
                  <w:vAlign w:val="center"/>
                </w:tcPr>
                <w:p w14:paraId="2BE36CE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color w:val="auto"/>
                      <w:highlight w:val="none"/>
                      <w:lang w:val="en-US" w:eastAsia="zh-CN"/>
                    </w:rPr>
                    <w:t>mg/L</w:t>
                  </w:r>
                </w:p>
              </w:tc>
              <w:tc>
                <w:tcPr>
                  <w:tcW w:w="0" w:type="auto"/>
                  <w:vAlign w:val="center"/>
                </w:tcPr>
                <w:p w14:paraId="15CAFD79">
                  <w:pPr>
                    <w:pStyle w:val="21"/>
                    <w:keepNext w:val="0"/>
                    <w:keepLines w:val="0"/>
                    <w:suppressLineNumbers w:val="0"/>
                    <w:bidi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w:t>
                  </w:r>
                </w:p>
              </w:tc>
              <w:tc>
                <w:tcPr>
                  <w:tcW w:w="0" w:type="auto"/>
                  <w:shd w:val="clear" w:color="auto" w:fill="auto"/>
                  <w:vAlign w:val="center"/>
                </w:tcPr>
                <w:p w14:paraId="6F21F11B">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20</w:t>
                  </w:r>
                </w:p>
              </w:tc>
            </w:tr>
          </w:tbl>
          <w:p w14:paraId="6CAD4286">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本项目各类废水水质均满足</w:t>
            </w:r>
            <w:r>
              <w:rPr>
                <w:rFonts w:hint="default"/>
                <w:color w:val="auto"/>
                <w:highlight w:val="none"/>
                <w:lang w:val="en-US" w:eastAsia="zh-CN"/>
              </w:rPr>
              <w:t>南京娃哈哈饮料有限公司污水处理站</w:t>
            </w:r>
            <w:r>
              <w:rPr>
                <w:rFonts w:hint="eastAsia"/>
                <w:color w:val="auto"/>
                <w:highlight w:val="none"/>
                <w:lang w:val="en-US" w:eastAsia="zh-CN"/>
              </w:rPr>
              <w:t>设计进水水质要求，从水质方面考虑，本项目产生的废水可依托</w:t>
            </w:r>
            <w:r>
              <w:rPr>
                <w:rFonts w:hint="default"/>
                <w:color w:val="auto"/>
                <w:highlight w:val="none"/>
                <w:lang w:val="en-US" w:eastAsia="zh-CN"/>
              </w:rPr>
              <w:t>南京娃哈哈饮料有限公司污水处理站</w:t>
            </w:r>
            <w:r>
              <w:rPr>
                <w:rFonts w:hint="eastAsia"/>
                <w:color w:val="auto"/>
                <w:highlight w:val="none"/>
                <w:lang w:val="en-US" w:eastAsia="zh-CN"/>
              </w:rPr>
              <w:t>预处理。</w:t>
            </w:r>
          </w:p>
          <w:p w14:paraId="5903B443">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③处理工艺</w:t>
            </w:r>
          </w:p>
          <w:p w14:paraId="2BDB90CF">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default"/>
                <w:color w:val="auto"/>
                <w:highlight w:val="none"/>
                <w:lang w:val="en-US" w:eastAsia="zh-CN"/>
              </w:rPr>
              <w:t>目前南京娃哈哈饮料有限公司污水处理站处理工艺为“格栅+调节池+A/O池+二沉池+除磷池”，工艺流程图见</w:t>
            </w:r>
            <w:r>
              <w:rPr>
                <w:rFonts w:hint="eastAsia"/>
                <w:color w:val="auto"/>
                <w:highlight w:val="none"/>
                <w:lang w:val="en-US" w:eastAsia="zh-CN"/>
              </w:rPr>
              <w:t>下</w:t>
            </w:r>
            <w:r>
              <w:rPr>
                <w:rFonts w:hint="default"/>
                <w:color w:val="auto"/>
                <w:highlight w:val="none"/>
                <w:lang w:val="en-US" w:eastAsia="zh-CN"/>
              </w:rPr>
              <w:t>图</w:t>
            </w:r>
          </w:p>
          <w:p w14:paraId="60C23F5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color w:val="auto"/>
                <w:position w:val="-66"/>
              </w:rPr>
            </w:pPr>
            <w:r>
              <w:rPr>
                <w:rFonts w:hint="default"/>
                <w:color w:val="auto"/>
                <w:position w:val="-66"/>
              </w:rPr>
              <w:drawing>
                <wp:inline distT="0" distB="0" distL="0" distR="0">
                  <wp:extent cx="4850765" cy="1612265"/>
                  <wp:effectExtent l="0" t="0" r="6985" b="6985"/>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25"/>
                          <a:stretch>
                            <a:fillRect/>
                          </a:stretch>
                        </pic:blipFill>
                        <pic:spPr>
                          <a:xfrm>
                            <a:off x="0" y="0"/>
                            <a:ext cx="4850765" cy="1612265"/>
                          </a:xfrm>
                          <a:prstGeom prst="rect">
                            <a:avLst/>
                          </a:prstGeom>
                        </pic:spPr>
                      </pic:pic>
                    </a:graphicData>
                  </a:graphic>
                </wp:inline>
              </w:drawing>
            </w:r>
          </w:p>
          <w:p w14:paraId="54DEFD54">
            <w:pPr>
              <w:keepNext w:val="0"/>
              <w:keepLines w:val="0"/>
              <w:suppressLineNumbers w:val="0"/>
              <w:bidi w:val="0"/>
              <w:spacing w:before="0" w:beforeAutospacing="0" w:after="0" w:afterAutospacing="0"/>
              <w:ind w:left="0" w:right="0"/>
              <w:jc w:val="center"/>
              <w:rPr>
                <w:rFonts w:hint="default"/>
                <w:b/>
                <w:bCs/>
                <w:color w:val="auto"/>
                <w:lang w:val="en-US" w:eastAsia="zh-CN"/>
              </w:rPr>
            </w:pPr>
            <w:r>
              <w:rPr>
                <w:rFonts w:hint="eastAsia"/>
                <w:b/>
                <w:bCs/>
                <w:color w:val="auto"/>
                <w:lang w:val="en-US" w:eastAsia="zh-CN"/>
              </w:rPr>
              <w:t>图4-2租赁厂区污水处理站工艺流程图</w:t>
            </w:r>
          </w:p>
          <w:p w14:paraId="7044369E">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工艺简介：</w:t>
            </w:r>
          </w:p>
          <w:p w14:paraId="1DBA792B">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A、</w:t>
            </w:r>
            <w:r>
              <w:rPr>
                <w:rFonts w:hint="default"/>
                <w:color w:val="auto"/>
                <w:highlight w:val="none"/>
                <w:lang w:val="en-US" w:eastAsia="zh-CN"/>
              </w:rPr>
              <w:t>格栅：格栅用于去除污水中的各类漂浮物</w:t>
            </w:r>
            <w:r>
              <w:rPr>
                <w:rFonts w:hint="eastAsia"/>
                <w:color w:val="auto"/>
                <w:highlight w:val="none"/>
                <w:lang w:val="en-US" w:eastAsia="zh-CN"/>
              </w:rPr>
              <w:t>。</w:t>
            </w:r>
          </w:p>
          <w:p w14:paraId="3B676032">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B、</w:t>
            </w:r>
            <w:r>
              <w:rPr>
                <w:rFonts w:hint="default"/>
                <w:color w:val="auto"/>
                <w:highlight w:val="none"/>
                <w:lang w:val="en-US" w:eastAsia="zh-CN"/>
              </w:rPr>
              <w:t>调节池：用于调节污水水质水量。</w:t>
            </w:r>
          </w:p>
          <w:p w14:paraId="7620DBC1">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C、</w:t>
            </w:r>
            <w:r>
              <w:rPr>
                <w:rFonts w:hint="default"/>
                <w:color w:val="auto"/>
                <w:highlight w:val="none"/>
                <w:lang w:val="en-US" w:eastAsia="zh-CN"/>
              </w:rPr>
              <w:t>膜法A/O池：缺氧池及好氧池内均装有弹性立体填料，以增加池内微生物量。缺氧池内利用反硝化细菌在缺氧条件下进行反硝化，达到生物脱氮的目的，同时削减污水的有机负荷。好氧池内利用生物载体上生物膜上的微生物新陈代谢作用，在有氧条件下，将污水中的有机物进行吸附并氧化分解，使污水得到净化，并将氨氮硝化成硝态氮。通过混合液回流至缺氧池进行反硝化脱氮。好氧池采用潜水曝气机进行曝气。A/O池总停留时间为18h。</w:t>
            </w:r>
          </w:p>
          <w:p w14:paraId="28AE4C5B">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D、</w:t>
            </w:r>
            <w:r>
              <w:rPr>
                <w:rFonts w:hint="default"/>
                <w:color w:val="auto"/>
                <w:highlight w:val="none"/>
                <w:lang w:val="en-US" w:eastAsia="zh-CN"/>
              </w:rPr>
              <w:t>二沉池：二沉池采用竖流沉淀池。由于生物膜在运行过程中不断新陈代谢和微生物的老化死亡，生物膜从填料表面脱落而形成的生物污泥，通过竖流沉淀使泥水分离，污泥经排泥泵提升排入污泥池。</w:t>
            </w:r>
          </w:p>
          <w:p w14:paraId="14BB8B19">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E、</w:t>
            </w:r>
            <w:r>
              <w:rPr>
                <w:rFonts w:hint="default"/>
                <w:color w:val="auto"/>
                <w:highlight w:val="none"/>
                <w:lang w:val="en-US" w:eastAsia="zh-CN"/>
              </w:rPr>
              <w:t>除磷池：采用化学除磷，投加硫酸亚铁与磷酸盐生成不溶于水的磷酸铁，从而将磷酸盐从水中去除，</w:t>
            </w:r>
          </w:p>
          <w:p w14:paraId="3BD6A91B">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F、</w:t>
            </w:r>
            <w:r>
              <w:rPr>
                <w:rFonts w:hint="default"/>
                <w:color w:val="auto"/>
                <w:highlight w:val="none"/>
                <w:lang w:val="en-US" w:eastAsia="zh-CN"/>
              </w:rPr>
              <w:t>污泥池：用于贮存二沉池和除磷池排出的污泥。</w:t>
            </w:r>
          </w:p>
          <w:p w14:paraId="0FEC1611">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④处理效果</w:t>
            </w:r>
          </w:p>
          <w:p w14:paraId="63825584">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default"/>
                <w:color w:val="auto"/>
                <w:highlight w:val="none"/>
                <w:lang w:val="en-US" w:eastAsia="zh-CN"/>
              </w:rPr>
              <w:t>南京娃哈哈饮料有限公司污水处理站</w:t>
            </w:r>
            <w:r>
              <w:rPr>
                <w:rFonts w:hint="eastAsia" w:ascii="Times New Roman" w:hAnsi="Times New Roman" w:eastAsia="宋体"/>
                <w:color w:val="auto"/>
                <w:highlight w:val="none"/>
                <w:lang w:val="en-US"/>
              </w:rPr>
              <w:t>各段工艺</w:t>
            </w:r>
            <w:r>
              <w:rPr>
                <w:rFonts w:hint="eastAsia"/>
                <w:color w:val="auto"/>
                <w:highlight w:val="none"/>
                <w:lang w:val="en-US" w:eastAsia="zh-CN"/>
              </w:rPr>
              <w:t>设计处理</w:t>
            </w:r>
            <w:r>
              <w:rPr>
                <w:rFonts w:hint="eastAsia" w:ascii="Times New Roman" w:hAnsi="Times New Roman" w:eastAsia="宋体"/>
                <w:color w:val="auto"/>
                <w:highlight w:val="none"/>
                <w:lang w:val="en-US"/>
              </w:rPr>
              <w:t>效率见下表</w:t>
            </w:r>
            <w:r>
              <w:rPr>
                <w:rFonts w:hint="eastAsia"/>
                <w:color w:val="auto"/>
                <w:highlight w:val="none"/>
                <w:lang w:val="en-US" w:eastAsia="zh-CN"/>
              </w:rPr>
              <w:t>：</w:t>
            </w:r>
          </w:p>
          <w:p w14:paraId="353BC119">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表4-</w:t>
            </w:r>
            <w:r>
              <w:rPr>
                <w:rFonts w:hint="eastAsia" w:ascii="Times New Roman" w:hAnsi="Times New Roman" w:eastAsia="宋体"/>
                <w:color w:val="auto"/>
                <w:highlight w:val="none"/>
                <w:lang w:val="en-US" w:eastAsia="zh-CN"/>
              </w:rPr>
              <w:t>1</w:t>
            </w:r>
            <w:r>
              <w:rPr>
                <w:rFonts w:hint="eastAsia"/>
                <w:color w:val="auto"/>
                <w:highlight w:val="none"/>
                <w:lang w:val="en-US" w:eastAsia="zh-CN"/>
              </w:rPr>
              <w:t>4</w:t>
            </w:r>
            <w:r>
              <w:rPr>
                <w:rFonts w:hint="default" w:ascii="Times New Roman" w:hAnsi="Times New Roman" w:eastAsia="宋体"/>
                <w:color w:val="auto"/>
                <w:highlight w:val="none"/>
              </w:rPr>
              <w:t>南京娃哈哈饮料有限公司污水处理站各段处理效率表</w:t>
            </w:r>
          </w:p>
          <w:tbl>
            <w:tblPr>
              <w:tblStyle w:val="30"/>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150"/>
              <w:gridCol w:w="681"/>
              <w:gridCol w:w="790"/>
              <w:gridCol w:w="598"/>
              <w:gridCol w:w="761"/>
              <w:gridCol w:w="628"/>
              <w:gridCol w:w="689"/>
              <w:gridCol w:w="669"/>
              <w:gridCol w:w="780"/>
              <w:gridCol w:w="487"/>
              <w:gridCol w:w="731"/>
            </w:tblGrid>
            <w:tr w14:paraId="07B869A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50" w:type="dxa"/>
                  <w:vMerge w:val="restart"/>
                  <w:tcBorders>
                    <w:tl2br w:val="nil"/>
                    <w:tr2bl w:val="nil"/>
                  </w:tcBorders>
                  <w:vAlign w:val="center"/>
                </w:tcPr>
                <w:p w14:paraId="72B0B4D5">
                  <w:pPr>
                    <w:pStyle w:val="21"/>
                    <w:bidi w:val="0"/>
                    <w:rPr>
                      <w:b/>
                      <w:bCs/>
                      <w:color w:val="auto"/>
                    </w:rPr>
                  </w:pPr>
                  <w:r>
                    <w:rPr>
                      <w:b/>
                      <w:bCs/>
                      <w:color w:val="auto"/>
                    </w:rPr>
                    <w:t>污染物指标</w:t>
                  </w:r>
                </w:p>
              </w:tc>
              <w:tc>
                <w:tcPr>
                  <w:tcW w:w="2069" w:type="dxa"/>
                  <w:gridSpan w:val="3"/>
                  <w:tcBorders>
                    <w:tl2br w:val="nil"/>
                    <w:tr2bl w:val="nil"/>
                  </w:tcBorders>
                  <w:vAlign w:val="center"/>
                </w:tcPr>
                <w:p w14:paraId="763C7C12">
                  <w:pPr>
                    <w:pStyle w:val="21"/>
                    <w:bidi w:val="0"/>
                    <w:rPr>
                      <w:b/>
                      <w:bCs/>
                      <w:color w:val="auto"/>
                    </w:rPr>
                  </w:pPr>
                  <w:r>
                    <w:rPr>
                      <w:b/>
                      <w:bCs/>
                      <w:color w:val="auto"/>
                    </w:rPr>
                    <w:t>格栅</w:t>
                  </w:r>
                </w:p>
              </w:tc>
              <w:tc>
                <w:tcPr>
                  <w:tcW w:w="1389" w:type="dxa"/>
                  <w:gridSpan w:val="2"/>
                  <w:tcBorders>
                    <w:tl2br w:val="nil"/>
                    <w:tr2bl w:val="nil"/>
                  </w:tcBorders>
                  <w:vAlign w:val="center"/>
                </w:tcPr>
                <w:p w14:paraId="41D5D4EB">
                  <w:pPr>
                    <w:pStyle w:val="21"/>
                    <w:bidi w:val="0"/>
                    <w:rPr>
                      <w:b/>
                      <w:bCs/>
                      <w:color w:val="auto"/>
                    </w:rPr>
                  </w:pPr>
                  <w:r>
                    <w:rPr>
                      <w:b/>
                      <w:bCs/>
                      <w:color w:val="auto"/>
                    </w:rPr>
                    <w:t>A/O池</w:t>
                  </w:r>
                </w:p>
              </w:tc>
              <w:tc>
                <w:tcPr>
                  <w:tcW w:w="1358" w:type="dxa"/>
                  <w:gridSpan w:val="2"/>
                  <w:tcBorders>
                    <w:tl2br w:val="nil"/>
                    <w:tr2bl w:val="nil"/>
                  </w:tcBorders>
                  <w:vAlign w:val="center"/>
                </w:tcPr>
                <w:p w14:paraId="0AB3AC8D">
                  <w:pPr>
                    <w:pStyle w:val="21"/>
                    <w:bidi w:val="0"/>
                    <w:rPr>
                      <w:b/>
                      <w:bCs/>
                      <w:color w:val="auto"/>
                    </w:rPr>
                  </w:pPr>
                  <w:r>
                    <w:rPr>
                      <w:b/>
                      <w:bCs/>
                      <w:color w:val="auto"/>
                    </w:rPr>
                    <w:t>二沉池</w:t>
                  </w:r>
                </w:p>
              </w:tc>
              <w:tc>
                <w:tcPr>
                  <w:tcW w:w="1267" w:type="dxa"/>
                  <w:gridSpan w:val="2"/>
                  <w:tcBorders>
                    <w:tl2br w:val="nil"/>
                    <w:tr2bl w:val="nil"/>
                  </w:tcBorders>
                  <w:vAlign w:val="center"/>
                </w:tcPr>
                <w:p w14:paraId="1652217A">
                  <w:pPr>
                    <w:pStyle w:val="21"/>
                    <w:bidi w:val="0"/>
                    <w:rPr>
                      <w:b/>
                      <w:bCs/>
                      <w:color w:val="auto"/>
                    </w:rPr>
                  </w:pPr>
                  <w:r>
                    <w:rPr>
                      <w:b/>
                      <w:bCs/>
                      <w:color w:val="auto"/>
                    </w:rPr>
                    <w:t>除磷池</w:t>
                  </w:r>
                </w:p>
              </w:tc>
              <w:tc>
                <w:tcPr>
                  <w:tcW w:w="731" w:type="dxa"/>
                  <w:vMerge w:val="restart"/>
                  <w:tcBorders>
                    <w:tl2br w:val="nil"/>
                    <w:tr2bl w:val="nil"/>
                  </w:tcBorders>
                  <w:vAlign w:val="center"/>
                </w:tcPr>
                <w:p w14:paraId="5D41B60F">
                  <w:pPr>
                    <w:pStyle w:val="21"/>
                    <w:bidi w:val="0"/>
                    <w:rPr>
                      <w:rFonts w:hint="default" w:eastAsia="宋体"/>
                      <w:b/>
                      <w:bCs/>
                      <w:color w:val="auto"/>
                      <w:lang w:val="en-US" w:eastAsia="zh-CN"/>
                    </w:rPr>
                  </w:pPr>
                  <w:r>
                    <w:rPr>
                      <w:rFonts w:hint="eastAsia"/>
                      <w:b/>
                      <w:bCs/>
                      <w:color w:val="auto"/>
                      <w:lang w:val="en-US" w:eastAsia="zh-CN"/>
                    </w:rPr>
                    <w:t>综合处理效率</w:t>
                  </w:r>
                </w:p>
              </w:tc>
            </w:tr>
            <w:tr w14:paraId="2B863C0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50" w:type="dxa"/>
                  <w:vMerge w:val="continue"/>
                  <w:tcBorders>
                    <w:tl2br w:val="nil"/>
                    <w:tr2bl w:val="nil"/>
                  </w:tcBorders>
                  <w:vAlign w:val="center"/>
                </w:tcPr>
                <w:p w14:paraId="2B298A22">
                  <w:pPr>
                    <w:pStyle w:val="21"/>
                    <w:bidi w:val="0"/>
                    <w:rPr>
                      <w:b/>
                      <w:bCs/>
                      <w:color w:val="auto"/>
                    </w:rPr>
                  </w:pPr>
                </w:p>
              </w:tc>
              <w:tc>
                <w:tcPr>
                  <w:tcW w:w="681" w:type="dxa"/>
                  <w:tcBorders>
                    <w:tl2br w:val="nil"/>
                    <w:tr2bl w:val="nil"/>
                  </w:tcBorders>
                  <w:vAlign w:val="center"/>
                </w:tcPr>
                <w:p w14:paraId="4FE4ED5B">
                  <w:pPr>
                    <w:pStyle w:val="21"/>
                    <w:bidi w:val="0"/>
                    <w:rPr>
                      <w:b/>
                      <w:bCs/>
                      <w:color w:val="auto"/>
                    </w:rPr>
                  </w:pPr>
                  <w:r>
                    <w:rPr>
                      <w:b/>
                      <w:bCs/>
                      <w:color w:val="auto"/>
                    </w:rPr>
                    <w:t>进水</w:t>
                  </w:r>
                </w:p>
              </w:tc>
              <w:tc>
                <w:tcPr>
                  <w:tcW w:w="790" w:type="dxa"/>
                  <w:tcBorders>
                    <w:tl2br w:val="nil"/>
                    <w:tr2bl w:val="nil"/>
                  </w:tcBorders>
                  <w:vAlign w:val="center"/>
                </w:tcPr>
                <w:p w14:paraId="71285BE0">
                  <w:pPr>
                    <w:pStyle w:val="21"/>
                    <w:bidi w:val="0"/>
                    <w:rPr>
                      <w:b/>
                      <w:bCs/>
                      <w:color w:val="auto"/>
                    </w:rPr>
                  </w:pPr>
                  <w:r>
                    <w:rPr>
                      <w:b/>
                      <w:bCs/>
                      <w:color w:val="auto"/>
                    </w:rPr>
                    <w:t>去除率</w:t>
                  </w:r>
                </w:p>
              </w:tc>
              <w:tc>
                <w:tcPr>
                  <w:tcW w:w="598" w:type="dxa"/>
                  <w:tcBorders>
                    <w:tl2br w:val="nil"/>
                    <w:tr2bl w:val="nil"/>
                  </w:tcBorders>
                  <w:vAlign w:val="center"/>
                </w:tcPr>
                <w:p w14:paraId="3E9A9F0E">
                  <w:pPr>
                    <w:pStyle w:val="21"/>
                    <w:bidi w:val="0"/>
                    <w:rPr>
                      <w:b/>
                      <w:bCs/>
                      <w:color w:val="auto"/>
                    </w:rPr>
                  </w:pPr>
                  <w:r>
                    <w:rPr>
                      <w:b/>
                      <w:bCs/>
                      <w:color w:val="auto"/>
                    </w:rPr>
                    <w:t>出水</w:t>
                  </w:r>
                </w:p>
              </w:tc>
              <w:tc>
                <w:tcPr>
                  <w:tcW w:w="761" w:type="dxa"/>
                  <w:tcBorders>
                    <w:tl2br w:val="nil"/>
                    <w:tr2bl w:val="nil"/>
                  </w:tcBorders>
                  <w:vAlign w:val="center"/>
                </w:tcPr>
                <w:p w14:paraId="6C76B206">
                  <w:pPr>
                    <w:pStyle w:val="21"/>
                    <w:bidi w:val="0"/>
                    <w:rPr>
                      <w:b/>
                      <w:bCs/>
                      <w:color w:val="auto"/>
                    </w:rPr>
                  </w:pPr>
                  <w:r>
                    <w:rPr>
                      <w:b/>
                      <w:bCs/>
                      <w:color w:val="auto"/>
                    </w:rPr>
                    <w:t>去除率</w:t>
                  </w:r>
                </w:p>
              </w:tc>
              <w:tc>
                <w:tcPr>
                  <w:tcW w:w="628" w:type="dxa"/>
                  <w:tcBorders>
                    <w:tl2br w:val="nil"/>
                    <w:tr2bl w:val="nil"/>
                  </w:tcBorders>
                  <w:vAlign w:val="center"/>
                </w:tcPr>
                <w:p w14:paraId="249B598D">
                  <w:pPr>
                    <w:pStyle w:val="21"/>
                    <w:bidi w:val="0"/>
                    <w:rPr>
                      <w:b/>
                      <w:bCs/>
                      <w:color w:val="auto"/>
                    </w:rPr>
                  </w:pPr>
                  <w:r>
                    <w:rPr>
                      <w:b/>
                      <w:bCs/>
                      <w:color w:val="auto"/>
                    </w:rPr>
                    <w:t>出水</w:t>
                  </w:r>
                </w:p>
              </w:tc>
              <w:tc>
                <w:tcPr>
                  <w:tcW w:w="689" w:type="dxa"/>
                  <w:tcBorders>
                    <w:tl2br w:val="nil"/>
                    <w:tr2bl w:val="nil"/>
                  </w:tcBorders>
                  <w:vAlign w:val="center"/>
                </w:tcPr>
                <w:p w14:paraId="31539F41">
                  <w:pPr>
                    <w:pStyle w:val="21"/>
                    <w:bidi w:val="0"/>
                    <w:rPr>
                      <w:b/>
                      <w:bCs/>
                      <w:color w:val="auto"/>
                    </w:rPr>
                  </w:pPr>
                  <w:r>
                    <w:rPr>
                      <w:b/>
                      <w:bCs/>
                      <w:color w:val="auto"/>
                    </w:rPr>
                    <w:t>去除率</w:t>
                  </w:r>
                </w:p>
              </w:tc>
              <w:tc>
                <w:tcPr>
                  <w:tcW w:w="669" w:type="dxa"/>
                  <w:tcBorders>
                    <w:tl2br w:val="nil"/>
                    <w:tr2bl w:val="nil"/>
                  </w:tcBorders>
                  <w:vAlign w:val="center"/>
                </w:tcPr>
                <w:p w14:paraId="08FB891D">
                  <w:pPr>
                    <w:pStyle w:val="21"/>
                    <w:bidi w:val="0"/>
                    <w:rPr>
                      <w:b/>
                      <w:bCs/>
                      <w:color w:val="auto"/>
                    </w:rPr>
                  </w:pPr>
                  <w:r>
                    <w:rPr>
                      <w:b/>
                      <w:bCs/>
                      <w:color w:val="auto"/>
                    </w:rPr>
                    <w:t>出水</w:t>
                  </w:r>
                </w:p>
              </w:tc>
              <w:tc>
                <w:tcPr>
                  <w:tcW w:w="780" w:type="dxa"/>
                  <w:tcBorders>
                    <w:tl2br w:val="nil"/>
                    <w:tr2bl w:val="nil"/>
                  </w:tcBorders>
                  <w:vAlign w:val="center"/>
                </w:tcPr>
                <w:p w14:paraId="1CB61964">
                  <w:pPr>
                    <w:pStyle w:val="21"/>
                    <w:bidi w:val="0"/>
                    <w:rPr>
                      <w:b/>
                      <w:bCs/>
                      <w:color w:val="auto"/>
                    </w:rPr>
                  </w:pPr>
                  <w:r>
                    <w:rPr>
                      <w:b/>
                      <w:bCs/>
                      <w:color w:val="auto"/>
                    </w:rPr>
                    <w:t>去除率</w:t>
                  </w:r>
                </w:p>
              </w:tc>
              <w:tc>
                <w:tcPr>
                  <w:tcW w:w="487" w:type="dxa"/>
                  <w:tcBorders>
                    <w:tl2br w:val="nil"/>
                    <w:tr2bl w:val="nil"/>
                  </w:tcBorders>
                  <w:vAlign w:val="center"/>
                </w:tcPr>
                <w:p w14:paraId="66757154">
                  <w:pPr>
                    <w:pStyle w:val="21"/>
                    <w:bidi w:val="0"/>
                    <w:rPr>
                      <w:b/>
                      <w:bCs/>
                      <w:color w:val="auto"/>
                    </w:rPr>
                  </w:pPr>
                  <w:r>
                    <w:rPr>
                      <w:b/>
                      <w:bCs/>
                      <w:color w:val="auto"/>
                    </w:rPr>
                    <w:t>出水</w:t>
                  </w:r>
                </w:p>
              </w:tc>
              <w:tc>
                <w:tcPr>
                  <w:tcW w:w="731" w:type="dxa"/>
                  <w:vMerge w:val="continue"/>
                  <w:tcBorders>
                    <w:tl2br w:val="nil"/>
                    <w:tr2bl w:val="nil"/>
                  </w:tcBorders>
                  <w:vAlign w:val="center"/>
                </w:tcPr>
                <w:p w14:paraId="78CF7406">
                  <w:pPr>
                    <w:pStyle w:val="21"/>
                    <w:bidi w:val="0"/>
                    <w:rPr>
                      <w:b/>
                      <w:bCs/>
                      <w:color w:val="auto"/>
                    </w:rPr>
                  </w:pPr>
                </w:p>
              </w:tc>
            </w:tr>
            <w:tr w14:paraId="1ECD12B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50" w:type="dxa"/>
                  <w:tcBorders>
                    <w:tl2br w:val="nil"/>
                    <w:tr2bl w:val="nil"/>
                  </w:tcBorders>
                  <w:vAlign w:val="center"/>
                </w:tcPr>
                <w:p w14:paraId="1CBF009F">
                  <w:pPr>
                    <w:pStyle w:val="21"/>
                    <w:bidi w:val="0"/>
                    <w:rPr>
                      <w:color w:val="auto"/>
                    </w:rPr>
                  </w:pPr>
                  <w:r>
                    <w:rPr>
                      <w:color w:val="auto"/>
                    </w:rPr>
                    <w:t>COD</w:t>
                  </w:r>
                </w:p>
              </w:tc>
              <w:tc>
                <w:tcPr>
                  <w:tcW w:w="681" w:type="dxa"/>
                  <w:tcBorders>
                    <w:tl2br w:val="nil"/>
                    <w:tr2bl w:val="nil"/>
                  </w:tcBorders>
                  <w:vAlign w:val="center"/>
                </w:tcPr>
                <w:p w14:paraId="6B91D4F6">
                  <w:pPr>
                    <w:pStyle w:val="21"/>
                    <w:bidi w:val="0"/>
                    <w:rPr>
                      <w:color w:val="auto"/>
                    </w:rPr>
                  </w:pPr>
                  <w:r>
                    <w:rPr>
                      <w:rFonts w:hint="default"/>
                      <w:color w:val="auto"/>
                      <w:lang w:val="en-US" w:eastAsia="zh-CN"/>
                    </w:rPr>
                    <w:t>970</w:t>
                  </w:r>
                </w:p>
              </w:tc>
              <w:tc>
                <w:tcPr>
                  <w:tcW w:w="790" w:type="dxa"/>
                  <w:tcBorders>
                    <w:tl2br w:val="nil"/>
                    <w:tr2bl w:val="nil"/>
                  </w:tcBorders>
                  <w:vAlign w:val="center"/>
                </w:tcPr>
                <w:p w14:paraId="714057AF">
                  <w:pPr>
                    <w:pStyle w:val="21"/>
                    <w:bidi w:val="0"/>
                    <w:rPr>
                      <w:color w:val="auto"/>
                    </w:rPr>
                  </w:pPr>
                  <w:r>
                    <w:rPr>
                      <w:rFonts w:hint="default"/>
                      <w:color w:val="auto"/>
                      <w:lang w:val="en-US" w:eastAsia="zh-CN"/>
                    </w:rPr>
                    <w:t>0%</w:t>
                  </w:r>
                </w:p>
              </w:tc>
              <w:tc>
                <w:tcPr>
                  <w:tcW w:w="598" w:type="dxa"/>
                  <w:tcBorders>
                    <w:tl2br w:val="nil"/>
                    <w:tr2bl w:val="nil"/>
                  </w:tcBorders>
                  <w:vAlign w:val="center"/>
                </w:tcPr>
                <w:p w14:paraId="693F4926">
                  <w:pPr>
                    <w:pStyle w:val="21"/>
                    <w:bidi w:val="0"/>
                    <w:rPr>
                      <w:color w:val="auto"/>
                    </w:rPr>
                  </w:pPr>
                  <w:r>
                    <w:rPr>
                      <w:rFonts w:hint="default"/>
                      <w:color w:val="auto"/>
                      <w:lang w:val="en-US" w:eastAsia="zh-CN"/>
                    </w:rPr>
                    <w:t>970</w:t>
                  </w:r>
                </w:p>
              </w:tc>
              <w:tc>
                <w:tcPr>
                  <w:tcW w:w="761" w:type="dxa"/>
                  <w:tcBorders>
                    <w:tl2br w:val="nil"/>
                    <w:tr2bl w:val="nil"/>
                  </w:tcBorders>
                  <w:vAlign w:val="center"/>
                </w:tcPr>
                <w:p w14:paraId="04C4BD65">
                  <w:pPr>
                    <w:pStyle w:val="21"/>
                    <w:bidi w:val="0"/>
                    <w:rPr>
                      <w:color w:val="auto"/>
                    </w:rPr>
                  </w:pPr>
                  <w:r>
                    <w:rPr>
                      <w:rFonts w:hint="default"/>
                      <w:color w:val="auto"/>
                      <w:lang w:val="en-US" w:eastAsia="zh-CN"/>
                    </w:rPr>
                    <w:t>75%</w:t>
                  </w:r>
                </w:p>
              </w:tc>
              <w:tc>
                <w:tcPr>
                  <w:tcW w:w="628" w:type="dxa"/>
                  <w:tcBorders>
                    <w:tl2br w:val="nil"/>
                    <w:tr2bl w:val="nil"/>
                  </w:tcBorders>
                  <w:vAlign w:val="center"/>
                </w:tcPr>
                <w:p w14:paraId="4FC0CA63">
                  <w:pPr>
                    <w:pStyle w:val="21"/>
                    <w:bidi w:val="0"/>
                    <w:rPr>
                      <w:color w:val="auto"/>
                    </w:rPr>
                  </w:pPr>
                  <w:r>
                    <w:rPr>
                      <w:rFonts w:hint="default"/>
                      <w:color w:val="auto"/>
                      <w:lang w:val="en-US" w:eastAsia="zh-CN"/>
                    </w:rPr>
                    <w:t>243</w:t>
                  </w:r>
                </w:p>
              </w:tc>
              <w:tc>
                <w:tcPr>
                  <w:tcW w:w="689" w:type="dxa"/>
                  <w:tcBorders>
                    <w:tl2br w:val="nil"/>
                    <w:tr2bl w:val="nil"/>
                  </w:tcBorders>
                  <w:vAlign w:val="center"/>
                </w:tcPr>
                <w:p w14:paraId="3A9A2043">
                  <w:pPr>
                    <w:pStyle w:val="21"/>
                    <w:bidi w:val="0"/>
                    <w:rPr>
                      <w:color w:val="auto"/>
                    </w:rPr>
                  </w:pPr>
                  <w:r>
                    <w:rPr>
                      <w:rFonts w:hint="default"/>
                      <w:color w:val="auto"/>
                      <w:lang w:val="en-US" w:eastAsia="zh-CN"/>
                    </w:rPr>
                    <w:t>0%</w:t>
                  </w:r>
                </w:p>
              </w:tc>
              <w:tc>
                <w:tcPr>
                  <w:tcW w:w="669" w:type="dxa"/>
                  <w:tcBorders>
                    <w:tl2br w:val="nil"/>
                    <w:tr2bl w:val="nil"/>
                  </w:tcBorders>
                  <w:vAlign w:val="center"/>
                </w:tcPr>
                <w:p w14:paraId="5871AB32">
                  <w:pPr>
                    <w:pStyle w:val="21"/>
                    <w:bidi w:val="0"/>
                    <w:rPr>
                      <w:color w:val="auto"/>
                    </w:rPr>
                  </w:pPr>
                  <w:r>
                    <w:rPr>
                      <w:rFonts w:hint="default"/>
                      <w:color w:val="auto"/>
                      <w:lang w:val="en-US" w:eastAsia="zh-CN"/>
                    </w:rPr>
                    <w:t>243</w:t>
                  </w:r>
                </w:p>
              </w:tc>
              <w:tc>
                <w:tcPr>
                  <w:tcW w:w="780" w:type="dxa"/>
                  <w:tcBorders>
                    <w:tl2br w:val="nil"/>
                    <w:tr2bl w:val="nil"/>
                  </w:tcBorders>
                  <w:vAlign w:val="center"/>
                </w:tcPr>
                <w:p w14:paraId="4CA40B23">
                  <w:pPr>
                    <w:pStyle w:val="21"/>
                    <w:bidi w:val="0"/>
                    <w:rPr>
                      <w:color w:val="auto"/>
                    </w:rPr>
                  </w:pPr>
                  <w:r>
                    <w:rPr>
                      <w:rFonts w:hint="default"/>
                      <w:color w:val="auto"/>
                      <w:lang w:val="en-US" w:eastAsia="zh-CN"/>
                    </w:rPr>
                    <w:t>0%</w:t>
                  </w:r>
                </w:p>
              </w:tc>
              <w:tc>
                <w:tcPr>
                  <w:tcW w:w="487" w:type="dxa"/>
                  <w:tcBorders>
                    <w:tl2br w:val="nil"/>
                    <w:tr2bl w:val="nil"/>
                  </w:tcBorders>
                  <w:vAlign w:val="center"/>
                </w:tcPr>
                <w:p w14:paraId="1944CE12">
                  <w:pPr>
                    <w:pStyle w:val="21"/>
                    <w:bidi w:val="0"/>
                    <w:rPr>
                      <w:color w:val="auto"/>
                    </w:rPr>
                  </w:pPr>
                  <w:r>
                    <w:rPr>
                      <w:rFonts w:hint="default"/>
                      <w:color w:val="auto"/>
                      <w:lang w:val="en-US" w:eastAsia="zh-CN"/>
                    </w:rPr>
                    <w:t>243</w:t>
                  </w:r>
                </w:p>
              </w:tc>
              <w:tc>
                <w:tcPr>
                  <w:tcW w:w="731" w:type="dxa"/>
                  <w:tcBorders>
                    <w:tl2br w:val="nil"/>
                    <w:tr2bl w:val="nil"/>
                  </w:tcBorders>
                  <w:vAlign w:val="center"/>
                </w:tcPr>
                <w:p w14:paraId="06357054">
                  <w:pPr>
                    <w:pStyle w:val="21"/>
                    <w:bidi w:val="0"/>
                    <w:rPr>
                      <w:color w:val="auto"/>
                    </w:rPr>
                  </w:pPr>
                  <w:r>
                    <w:rPr>
                      <w:rFonts w:hint="eastAsia"/>
                      <w:color w:val="auto"/>
                      <w:lang w:val="en-US" w:eastAsia="zh-CN"/>
                    </w:rPr>
                    <w:t>75</w:t>
                  </w:r>
                  <w:r>
                    <w:rPr>
                      <w:rFonts w:hint="default"/>
                      <w:color w:val="auto"/>
                      <w:lang w:val="en-US" w:eastAsia="zh-CN"/>
                    </w:rPr>
                    <w:t>%</w:t>
                  </w:r>
                </w:p>
              </w:tc>
            </w:tr>
            <w:tr w14:paraId="68ED202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50" w:type="dxa"/>
                  <w:tcBorders>
                    <w:tl2br w:val="nil"/>
                    <w:tr2bl w:val="nil"/>
                  </w:tcBorders>
                  <w:vAlign w:val="center"/>
                </w:tcPr>
                <w:p w14:paraId="701F2422">
                  <w:pPr>
                    <w:pStyle w:val="21"/>
                    <w:bidi w:val="0"/>
                    <w:rPr>
                      <w:rFonts w:hint="default" w:eastAsia="宋体"/>
                      <w:color w:val="auto"/>
                      <w:vertAlign w:val="subscript"/>
                      <w:lang w:val="en-US" w:eastAsia="zh-CN"/>
                    </w:rPr>
                  </w:pPr>
                  <w:r>
                    <w:rPr>
                      <w:rFonts w:hint="eastAsia"/>
                      <w:color w:val="auto"/>
                      <w:lang w:val="en-US" w:eastAsia="zh-CN"/>
                    </w:rPr>
                    <w:t>BOD</w:t>
                  </w:r>
                  <w:r>
                    <w:rPr>
                      <w:rFonts w:hint="eastAsia"/>
                      <w:color w:val="auto"/>
                      <w:vertAlign w:val="subscript"/>
                      <w:lang w:val="en-US" w:eastAsia="zh-CN"/>
                    </w:rPr>
                    <w:t>5</w:t>
                  </w:r>
                </w:p>
              </w:tc>
              <w:tc>
                <w:tcPr>
                  <w:tcW w:w="681" w:type="dxa"/>
                  <w:tcBorders>
                    <w:tl2br w:val="nil"/>
                    <w:tr2bl w:val="nil"/>
                  </w:tcBorders>
                  <w:vAlign w:val="center"/>
                </w:tcPr>
                <w:p w14:paraId="2CCB4934">
                  <w:pPr>
                    <w:pStyle w:val="21"/>
                    <w:bidi w:val="0"/>
                    <w:rPr>
                      <w:rFonts w:hint="default"/>
                      <w:color w:val="auto"/>
                      <w:lang w:val="en-US" w:eastAsia="zh-CN"/>
                    </w:rPr>
                  </w:pPr>
                  <w:r>
                    <w:rPr>
                      <w:rFonts w:hint="default"/>
                      <w:color w:val="auto"/>
                      <w:lang w:val="en-US" w:eastAsia="zh-CN"/>
                    </w:rPr>
                    <w:t>585</w:t>
                  </w:r>
                </w:p>
              </w:tc>
              <w:tc>
                <w:tcPr>
                  <w:tcW w:w="790" w:type="dxa"/>
                  <w:tcBorders>
                    <w:tl2br w:val="nil"/>
                    <w:tr2bl w:val="nil"/>
                  </w:tcBorders>
                  <w:vAlign w:val="center"/>
                </w:tcPr>
                <w:p w14:paraId="27DC8EED">
                  <w:pPr>
                    <w:pStyle w:val="21"/>
                    <w:bidi w:val="0"/>
                    <w:rPr>
                      <w:rFonts w:hint="default"/>
                      <w:color w:val="auto"/>
                      <w:lang w:val="en-US" w:eastAsia="zh-CN"/>
                    </w:rPr>
                  </w:pPr>
                  <w:r>
                    <w:rPr>
                      <w:rFonts w:hint="default"/>
                      <w:color w:val="auto"/>
                      <w:lang w:val="en-US" w:eastAsia="zh-CN"/>
                    </w:rPr>
                    <w:t>0%</w:t>
                  </w:r>
                </w:p>
              </w:tc>
              <w:tc>
                <w:tcPr>
                  <w:tcW w:w="598" w:type="dxa"/>
                  <w:tcBorders>
                    <w:tl2br w:val="nil"/>
                    <w:tr2bl w:val="nil"/>
                  </w:tcBorders>
                  <w:vAlign w:val="center"/>
                </w:tcPr>
                <w:p w14:paraId="17E67030">
                  <w:pPr>
                    <w:pStyle w:val="21"/>
                    <w:bidi w:val="0"/>
                    <w:rPr>
                      <w:rFonts w:hint="default"/>
                      <w:color w:val="auto"/>
                      <w:lang w:val="en-US" w:eastAsia="zh-CN"/>
                    </w:rPr>
                  </w:pPr>
                  <w:r>
                    <w:rPr>
                      <w:rFonts w:hint="default"/>
                      <w:color w:val="auto"/>
                      <w:lang w:val="en-US" w:eastAsia="zh-CN"/>
                    </w:rPr>
                    <w:t>585</w:t>
                  </w:r>
                </w:p>
              </w:tc>
              <w:tc>
                <w:tcPr>
                  <w:tcW w:w="761" w:type="dxa"/>
                  <w:tcBorders>
                    <w:tl2br w:val="nil"/>
                    <w:tr2bl w:val="nil"/>
                  </w:tcBorders>
                  <w:vAlign w:val="center"/>
                </w:tcPr>
                <w:p w14:paraId="50AEB493">
                  <w:pPr>
                    <w:pStyle w:val="21"/>
                    <w:bidi w:val="0"/>
                    <w:rPr>
                      <w:rFonts w:hint="default"/>
                      <w:color w:val="auto"/>
                      <w:lang w:val="en-US" w:eastAsia="zh-CN"/>
                    </w:rPr>
                  </w:pPr>
                  <w:r>
                    <w:rPr>
                      <w:rFonts w:hint="default"/>
                      <w:color w:val="auto"/>
                      <w:lang w:val="en-US" w:eastAsia="zh-CN"/>
                    </w:rPr>
                    <w:t>70%</w:t>
                  </w:r>
                </w:p>
              </w:tc>
              <w:tc>
                <w:tcPr>
                  <w:tcW w:w="628" w:type="dxa"/>
                  <w:tcBorders>
                    <w:tl2br w:val="nil"/>
                    <w:tr2bl w:val="nil"/>
                  </w:tcBorders>
                  <w:vAlign w:val="center"/>
                </w:tcPr>
                <w:p w14:paraId="48A66059">
                  <w:pPr>
                    <w:pStyle w:val="21"/>
                    <w:bidi w:val="0"/>
                    <w:rPr>
                      <w:rFonts w:hint="default"/>
                      <w:color w:val="auto"/>
                      <w:lang w:val="en-US" w:eastAsia="zh-CN"/>
                    </w:rPr>
                  </w:pPr>
                  <w:r>
                    <w:rPr>
                      <w:rFonts w:hint="default"/>
                      <w:color w:val="auto"/>
                      <w:lang w:val="en-US" w:eastAsia="zh-CN"/>
                    </w:rPr>
                    <w:t>176</w:t>
                  </w:r>
                </w:p>
              </w:tc>
              <w:tc>
                <w:tcPr>
                  <w:tcW w:w="689" w:type="dxa"/>
                  <w:tcBorders>
                    <w:tl2br w:val="nil"/>
                    <w:tr2bl w:val="nil"/>
                  </w:tcBorders>
                  <w:vAlign w:val="center"/>
                </w:tcPr>
                <w:p w14:paraId="6C0B40E9">
                  <w:pPr>
                    <w:pStyle w:val="21"/>
                    <w:bidi w:val="0"/>
                    <w:rPr>
                      <w:rFonts w:hint="default"/>
                      <w:color w:val="auto"/>
                      <w:lang w:val="en-US" w:eastAsia="zh-CN"/>
                    </w:rPr>
                  </w:pPr>
                  <w:r>
                    <w:rPr>
                      <w:rFonts w:hint="default"/>
                      <w:color w:val="auto"/>
                      <w:lang w:val="en-US" w:eastAsia="zh-CN"/>
                    </w:rPr>
                    <w:t>0%</w:t>
                  </w:r>
                </w:p>
              </w:tc>
              <w:tc>
                <w:tcPr>
                  <w:tcW w:w="669" w:type="dxa"/>
                  <w:tcBorders>
                    <w:tl2br w:val="nil"/>
                    <w:tr2bl w:val="nil"/>
                  </w:tcBorders>
                  <w:vAlign w:val="center"/>
                </w:tcPr>
                <w:p w14:paraId="576D8F70">
                  <w:pPr>
                    <w:pStyle w:val="21"/>
                    <w:bidi w:val="0"/>
                    <w:rPr>
                      <w:rFonts w:hint="default"/>
                      <w:color w:val="auto"/>
                      <w:lang w:val="en-US" w:eastAsia="zh-CN"/>
                    </w:rPr>
                  </w:pPr>
                  <w:r>
                    <w:rPr>
                      <w:rFonts w:hint="default"/>
                      <w:color w:val="auto"/>
                      <w:lang w:val="en-US" w:eastAsia="zh-CN"/>
                    </w:rPr>
                    <w:t>176</w:t>
                  </w:r>
                </w:p>
              </w:tc>
              <w:tc>
                <w:tcPr>
                  <w:tcW w:w="780" w:type="dxa"/>
                  <w:tcBorders>
                    <w:tl2br w:val="nil"/>
                    <w:tr2bl w:val="nil"/>
                  </w:tcBorders>
                  <w:vAlign w:val="center"/>
                </w:tcPr>
                <w:p w14:paraId="71614F5F">
                  <w:pPr>
                    <w:pStyle w:val="21"/>
                    <w:bidi w:val="0"/>
                    <w:rPr>
                      <w:rFonts w:hint="default"/>
                      <w:color w:val="auto"/>
                      <w:lang w:val="en-US" w:eastAsia="zh-CN"/>
                    </w:rPr>
                  </w:pPr>
                  <w:r>
                    <w:rPr>
                      <w:rFonts w:hint="default"/>
                      <w:color w:val="auto"/>
                      <w:lang w:val="en-US" w:eastAsia="zh-CN"/>
                    </w:rPr>
                    <w:t>0%</w:t>
                  </w:r>
                </w:p>
              </w:tc>
              <w:tc>
                <w:tcPr>
                  <w:tcW w:w="487" w:type="dxa"/>
                  <w:tcBorders>
                    <w:tl2br w:val="nil"/>
                    <w:tr2bl w:val="nil"/>
                  </w:tcBorders>
                  <w:vAlign w:val="center"/>
                </w:tcPr>
                <w:p w14:paraId="4157F832">
                  <w:pPr>
                    <w:pStyle w:val="21"/>
                    <w:bidi w:val="0"/>
                    <w:rPr>
                      <w:rFonts w:hint="default"/>
                      <w:color w:val="auto"/>
                      <w:lang w:val="en-US" w:eastAsia="zh-CN"/>
                    </w:rPr>
                  </w:pPr>
                  <w:r>
                    <w:rPr>
                      <w:rFonts w:hint="default"/>
                      <w:color w:val="auto"/>
                      <w:lang w:val="en-US" w:eastAsia="zh-CN"/>
                    </w:rPr>
                    <w:t>176</w:t>
                  </w:r>
                </w:p>
              </w:tc>
              <w:tc>
                <w:tcPr>
                  <w:tcW w:w="731" w:type="dxa"/>
                  <w:tcBorders>
                    <w:tl2br w:val="nil"/>
                    <w:tr2bl w:val="nil"/>
                  </w:tcBorders>
                  <w:vAlign w:val="center"/>
                </w:tcPr>
                <w:p w14:paraId="4C6210A0">
                  <w:pPr>
                    <w:pStyle w:val="21"/>
                    <w:bidi w:val="0"/>
                    <w:rPr>
                      <w:rFonts w:hint="eastAsia"/>
                      <w:color w:val="auto"/>
                      <w:lang w:val="en-US" w:eastAsia="zh-CN"/>
                    </w:rPr>
                  </w:pPr>
                  <w:r>
                    <w:rPr>
                      <w:rFonts w:hint="eastAsia"/>
                      <w:color w:val="auto"/>
                      <w:lang w:val="en-US" w:eastAsia="zh-CN"/>
                    </w:rPr>
                    <w:t>70</w:t>
                  </w:r>
                  <w:r>
                    <w:rPr>
                      <w:rFonts w:hint="default"/>
                      <w:color w:val="auto"/>
                      <w:lang w:val="en-US" w:eastAsia="zh-CN"/>
                    </w:rPr>
                    <w:t>%</w:t>
                  </w:r>
                </w:p>
              </w:tc>
            </w:tr>
            <w:tr w14:paraId="1708DD8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50" w:type="dxa"/>
                  <w:tcBorders>
                    <w:tl2br w:val="nil"/>
                    <w:tr2bl w:val="nil"/>
                  </w:tcBorders>
                  <w:vAlign w:val="center"/>
                </w:tcPr>
                <w:p w14:paraId="18787DCE">
                  <w:pPr>
                    <w:pStyle w:val="21"/>
                    <w:bidi w:val="0"/>
                    <w:rPr>
                      <w:color w:val="auto"/>
                    </w:rPr>
                  </w:pPr>
                  <w:r>
                    <w:rPr>
                      <w:color w:val="auto"/>
                    </w:rPr>
                    <w:t>SS</w:t>
                  </w:r>
                </w:p>
              </w:tc>
              <w:tc>
                <w:tcPr>
                  <w:tcW w:w="681" w:type="dxa"/>
                  <w:tcBorders>
                    <w:tl2br w:val="nil"/>
                    <w:tr2bl w:val="nil"/>
                  </w:tcBorders>
                  <w:vAlign w:val="center"/>
                </w:tcPr>
                <w:p w14:paraId="226D89F5">
                  <w:pPr>
                    <w:pStyle w:val="21"/>
                    <w:bidi w:val="0"/>
                    <w:rPr>
                      <w:color w:val="auto"/>
                    </w:rPr>
                  </w:pPr>
                  <w:r>
                    <w:rPr>
                      <w:rFonts w:hint="default"/>
                      <w:color w:val="auto"/>
                      <w:lang w:val="en-US" w:eastAsia="zh-CN"/>
                    </w:rPr>
                    <w:t>583</w:t>
                  </w:r>
                </w:p>
              </w:tc>
              <w:tc>
                <w:tcPr>
                  <w:tcW w:w="790" w:type="dxa"/>
                  <w:tcBorders>
                    <w:tl2br w:val="nil"/>
                    <w:tr2bl w:val="nil"/>
                  </w:tcBorders>
                  <w:vAlign w:val="center"/>
                </w:tcPr>
                <w:p w14:paraId="51613FDA">
                  <w:pPr>
                    <w:pStyle w:val="21"/>
                    <w:bidi w:val="0"/>
                    <w:rPr>
                      <w:color w:val="auto"/>
                    </w:rPr>
                  </w:pPr>
                  <w:r>
                    <w:rPr>
                      <w:rFonts w:hint="default"/>
                      <w:color w:val="auto"/>
                      <w:lang w:val="en-US" w:eastAsia="zh-CN"/>
                    </w:rPr>
                    <w:t>14%</w:t>
                  </w:r>
                </w:p>
              </w:tc>
              <w:tc>
                <w:tcPr>
                  <w:tcW w:w="598" w:type="dxa"/>
                  <w:tcBorders>
                    <w:tl2br w:val="nil"/>
                    <w:tr2bl w:val="nil"/>
                  </w:tcBorders>
                  <w:vAlign w:val="center"/>
                </w:tcPr>
                <w:p w14:paraId="361D22CF">
                  <w:pPr>
                    <w:pStyle w:val="21"/>
                    <w:bidi w:val="0"/>
                    <w:rPr>
                      <w:color w:val="auto"/>
                    </w:rPr>
                  </w:pPr>
                  <w:r>
                    <w:rPr>
                      <w:rFonts w:hint="default"/>
                      <w:color w:val="auto"/>
                      <w:lang w:val="en-US" w:eastAsia="zh-CN"/>
                    </w:rPr>
                    <w:t>500</w:t>
                  </w:r>
                </w:p>
              </w:tc>
              <w:tc>
                <w:tcPr>
                  <w:tcW w:w="761" w:type="dxa"/>
                  <w:tcBorders>
                    <w:tl2br w:val="nil"/>
                    <w:tr2bl w:val="nil"/>
                  </w:tcBorders>
                  <w:vAlign w:val="center"/>
                </w:tcPr>
                <w:p w14:paraId="5EB689C3">
                  <w:pPr>
                    <w:pStyle w:val="21"/>
                    <w:bidi w:val="0"/>
                    <w:rPr>
                      <w:color w:val="auto"/>
                    </w:rPr>
                  </w:pPr>
                  <w:r>
                    <w:rPr>
                      <w:rFonts w:hint="default"/>
                      <w:color w:val="auto"/>
                      <w:lang w:val="en-US" w:eastAsia="zh-CN"/>
                    </w:rPr>
                    <w:t>0%</w:t>
                  </w:r>
                </w:p>
              </w:tc>
              <w:tc>
                <w:tcPr>
                  <w:tcW w:w="628" w:type="dxa"/>
                  <w:tcBorders>
                    <w:tl2br w:val="nil"/>
                    <w:tr2bl w:val="nil"/>
                  </w:tcBorders>
                  <w:vAlign w:val="center"/>
                </w:tcPr>
                <w:p w14:paraId="45E767A4">
                  <w:pPr>
                    <w:pStyle w:val="21"/>
                    <w:bidi w:val="0"/>
                    <w:rPr>
                      <w:color w:val="auto"/>
                    </w:rPr>
                  </w:pPr>
                  <w:r>
                    <w:rPr>
                      <w:rFonts w:hint="default"/>
                      <w:color w:val="auto"/>
                      <w:lang w:val="en-US" w:eastAsia="zh-CN"/>
                    </w:rPr>
                    <w:t>500</w:t>
                  </w:r>
                </w:p>
              </w:tc>
              <w:tc>
                <w:tcPr>
                  <w:tcW w:w="689" w:type="dxa"/>
                  <w:tcBorders>
                    <w:tl2br w:val="nil"/>
                    <w:tr2bl w:val="nil"/>
                  </w:tcBorders>
                  <w:vAlign w:val="center"/>
                </w:tcPr>
                <w:p w14:paraId="5A5A5547">
                  <w:pPr>
                    <w:pStyle w:val="21"/>
                    <w:bidi w:val="0"/>
                    <w:rPr>
                      <w:color w:val="auto"/>
                    </w:rPr>
                  </w:pPr>
                  <w:r>
                    <w:rPr>
                      <w:rFonts w:hint="default"/>
                      <w:color w:val="auto"/>
                      <w:lang w:val="en-US" w:eastAsia="zh-CN"/>
                    </w:rPr>
                    <w:t>77%</w:t>
                  </w:r>
                </w:p>
              </w:tc>
              <w:tc>
                <w:tcPr>
                  <w:tcW w:w="669" w:type="dxa"/>
                  <w:tcBorders>
                    <w:tl2br w:val="nil"/>
                    <w:tr2bl w:val="nil"/>
                  </w:tcBorders>
                  <w:vAlign w:val="center"/>
                </w:tcPr>
                <w:p w14:paraId="4854E591">
                  <w:pPr>
                    <w:pStyle w:val="21"/>
                    <w:bidi w:val="0"/>
                    <w:rPr>
                      <w:color w:val="auto"/>
                    </w:rPr>
                  </w:pPr>
                  <w:r>
                    <w:rPr>
                      <w:rFonts w:hint="default"/>
                      <w:color w:val="auto"/>
                      <w:lang w:val="en-US" w:eastAsia="zh-CN"/>
                    </w:rPr>
                    <w:t>117</w:t>
                  </w:r>
                </w:p>
              </w:tc>
              <w:tc>
                <w:tcPr>
                  <w:tcW w:w="780" w:type="dxa"/>
                  <w:tcBorders>
                    <w:tl2br w:val="nil"/>
                    <w:tr2bl w:val="nil"/>
                  </w:tcBorders>
                  <w:vAlign w:val="center"/>
                </w:tcPr>
                <w:p w14:paraId="24162231">
                  <w:pPr>
                    <w:pStyle w:val="21"/>
                    <w:bidi w:val="0"/>
                    <w:rPr>
                      <w:color w:val="auto"/>
                    </w:rPr>
                  </w:pPr>
                  <w:r>
                    <w:rPr>
                      <w:rFonts w:hint="default"/>
                      <w:color w:val="auto"/>
                      <w:lang w:val="en-US" w:eastAsia="zh-CN"/>
                    </w:rPr>
                    <w:t>0%</w:t>
                  </w:r>
                </w:p>
              </w:tc>
              <w:tc>
                <w:tcPr>
                  <w:tcW w:w="487" w:type="dxa"/>
                  <w:tcBorders>
                    <w:tl2br w:val="nil"/>
                    <w:tr2bl w:val="nil"/>
                  </w:tcBorders>
                  <w:vAlign w:val="center"/>
                </w:tcPr>
                <w:p w14:paraId="121B3678">
                  <w:pPr>
                    <w:pStyle w:val="21"/>
                    <w:bidi w:val="0"/>
                    <w:rPr>
                      <w:color w:val="auto"/>
                    </w:rPr>
                  </w:pPr>
                  <w:r>
                    <w:rPr>
                      <w:rFonts w:hint="default"/>
                      <w:color w:val="auto"/>
                      <w:lang w:val="en-US" w:eastAsia="zh-CN"/>
                    </w:rPr>
                    <w:t>117</w:t>
                  </w:r>
                </w:p>
              </w:tc>
              <w:tc>
                <w:tcPr>
                  <w:tcW w:w="731" w:type="dxa"/>
                  <w:tcBorders>
                    <w:tl2br w:val="nil"/>
                    <w:tr2bl w:val="nil"/>
                  </w:tcBorders>
                  <w:vAlign w:val="center"/>
                </w:tcPr>
                <w:p w14:paraId="78FC96F1">
                  <w:pPr>
                    <w:pStyle w:val="21"/>
                    <w:bidi w:val="0"/>
                    <w:rPr>
                      <w:color w:val="auto"/>
                    </w:rPr>
                  </w:pPr>
                  <w:r>
                    <w:rPr>
                      <w:rFonts w:hint="eastAsia"/>
                      <w:color w:val="auto"/>
                      <w:lang w:val="en-US" w:eastAsia="zh-CN"/>
                    </w:rPr>
                    <w:t>80</w:t>
                  </w:r>
                  <w:r>
                    <w:rPr>
                      <w:rFonts w:hint="default"/>
                      <w:color w:val="auto"/>
                      <w:lang w:val="en-US" w:eastAsia="zh-CN"/>
                    </w:rPr>
                    <w:t>%</w:t>
                  </w:r>
                </w:p>
              </w:tc>
            </w:tr>
            <w:tr w14:paraId="22074E8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50" w:type="dxa"/>
                  <w:tcBorders>
                    <w:tl2br w:val="nil"/>
                    <w:tr2bl w:val="nil"/>
                  </w:tcBorders>
                  <w:vAlign w:val="center"/>
                </w:tcPr>
                <w:p w14:paraId="118F7C2B">
                  <w:pPr>
                    <w:pStyle w:val="21"/>
                    <w:bidi w:val="0"/>
                    <w:rPr>
                      <w:color w:val="auto"/>
                    </w:rPr>
                  </w:pPr>
                  <w:r>
                    <w:rPr>
                      <w:color w:val="auto"/>
                    </w:rPr>
                    <w:t>氨氮</w:t>
                  </w:r>
                </w:p>
              </w:tc>
              <w:tc>
                <w:tcPr>
                  <w:tcW w:w="681" w:type="dxa"/>
                  <w:tcBorders>
                    <w:tl2br w:val="nil"/>
                    <w:tr2bl w:val="nil"/>
                  </w:tcBorders>
                  <w:vAlign w:val="center"/>
                </w:tcPr>
                <w:p w14:paraId="7DD0C83B">
                  <w:pPr>
                    <w:pStyle w:val="21"/>
                    <w:bidi w:val="0"/>
                    <w:rPr>
                      <w:color w:val="auto"/>
                    </w:rPr>
                  </w:pPr>
                  <w:r>
                    <w:rPr>
                      <w:rFonts w:hint="default"/>
                      <w:color w:val="auto"/>
                      <w:lang w:val="en-US" w:eastAsia="zh-CN"/>
                    </w:rPr>
                    <w:t>44</w:t>
                  </w:r>
                </w:p>
              </w:tc>
              <w:tc>
                <w:tcPr>
                  <w:tcW w:w="790" w:type="dxa"/>
                  <w:tcBorders>
                    <w:tl2br w:val="nil"/>
                    <w:tr2bl w:val="nil"/>
                  </w:tcBorders>
                  <w:vAlign w:val="center"/>
                </w:tcPr>
                <w:p w14:paraId="19803200">
                  <w:pPr>
                    <w:pStyle w:val="21"/>
                    <w:bidi w:val="0"/>
                    <w:rPr>
                      <w:color w:val="auto"/>
                    </w:rPr>
                  </w:pPr>
                  <w:r>
                    <w:rPr>
                      <w:rFonts w:hint="default"/>
                      <w:color w:val="auto"/>
                      <w:lang w:val="en-US" w:eastAsia="zh-CN"/>
                    </w:rPr>
                    <w:t>0%</w:t>
                  </w:r>
                </w:p>
              </w:tc>
              <w:tc>
                <w:tcPr>
                  <w:tcW w:w="598" w:type="dxa"/>
                  <w:tcBorders>
                    <w:tl2br w:val="nil"/>
                    <w:tr2bl w:val="nil"/>
                  </w:tcBorders>
                  <w:vAlign w:val="center"/>
                </w:tcPr>
                <w:p w14:paraId="4E631EB6">
                  <w:pPr>
                    <w:pStyle w:val="21"/>
                    <w:bidi w:val="0"/>
                    <w:rPr>
                      <w:color w:val="auto"/>
                    </w:rPr>
                  </w:pPr>
                  <w:r>
                    <w:rPr>
                      <w:rFonts w:hint="default"/>
                      <w:color w:val="auto"/>
                      <w:lang w:val="en-US" w:eastAsia="zh-CN"/>
                    </w:rPr>
                    <w:t>44</w:t>
                  </w:r>
                </w:p>
              </w:tc>
              <w:tc>
                <w:tcPr>
                  <w:tcW w:w="761" w:type="dxa"/>
                  <w:tcBorders>
                    <w:tl2br w:val="nil"/>
                    <w:tr2bl w:val="nil"/>
                  </w:tcBorders>
                  <w:vAlign w:val="center"/>
                </w:tcPr>
                <w:p w14:paraId="30A14E32">
                  <w:pPr>
                    <w:pStyle w:val="21"/>
                    <w:bidi w:val="0"/>
                    <w:rPr>
                      <w:color w:val="auto"/>
                    </w:rPr>
                  </w:pPr>
                  <w:r>
                    <w:rPr>
                      <w:rFonts w:hint="default"/>
                      <w:color w:val="auto"/>
                      <w:lang w:val="en-US" w:eastAsia="zh-CN"/>
                    </w:rPr>
                    <w:t>30%</w:t>
                  </w:r>
                </w:p>
              </w:tc>
              <w:tc>
                <w:tcPr>
                  <w:tcW w:w="628" w:type="dxa"/>
                  <w:tcBorders>
                    <w:tl2br w:val="nil"/>
                    <w:tr2bl w:val="nil"/>
                  </w:tcBorders>
                  <w:vAlign w:val="center"/>
                </w:tcPr>
                <w:p w14:paraId="0BFC9FDB">
                  <w:pPr>
                    <w:pStyle w:val="21"/>
                    <w:bidi w:val="0"/>
                    <w:rPr>
                      <w:rFonts w:hint="default"/>
                      <w:color w:val="auto"/>
                      <w:lang w:val="en-US" w:eastAsia="zh-CN"/>
                    </w:rPr>
                  </w:pPr>
                  <w:r>
                    <w:rPr>
                      <w:rFonts w:hint="default"/>
                      <w:color w:val="auto"/>
                      <w:lang w:val="en-US" w:eastAsia="zh-CN"/>
                    </w:rPr>
                    <w:t>31</w:t>
                  </w:r>
                </w:p>
              </w:tc>
              <w:tc>
                <w:tcPr>
                  <w:tcW w:w="689" w:type="dxa"/>
                  <w:tcBorders>
                    <w:tl2br w:val="nil"/>
                    <w:tr2bl w:val="nil"/>
                  </w:tcBorders>
                  <w:vAlign w:val="center"/>
                </w:tcPr>
                <w:p w14:paraId="55AF4962">
                  <w:pPr>
                    <w:pStyle w:val="21"/>
                    <w:bidi w:val="0"/>
                    <w:rPr>
                      <w:color w:val="auto"/>
                    </w:rPr>
                  </w:pPr>
                  <w:r>
                    <w:rPr>
                      <w:rFonts w:hint="default"/>
                      <w:color w:val="auto"/>
                      <w:lang w:val="en-US" w:eastAsia="zh-CN"/>
                    </w:rPr>
                    <w:t>0%</w:t>
                  </w:r>
                </w:p>
              </w:tc>
              <w:tc>
                <w:tcPr>
                  <w:tcW w:w="669" w:type="dxa"/>
                  <w:tcBorders>
                    <w:tl2br w:val="nil"/>
                    <w:tr2bl w:val="nil"/>
                  </w:tcBorders>
                  <w:vAlign w:val="center"/>
                </w:tcPr>
                <w:p w14:paraId="38863349">
                  <w:pPr>
                    <w:pStyle w:val="21"/>
                    <w:bidi w:val="0"/>
                    <w:rPr>
                      <w:rFonts w:hint="default"/>
                      <w:color w:val="auto"/>
                      <w:lang w:val="en-US" w:eastAsia="zh-CN"/>
                    </w:rPr>
                  </w:pPr>
                  <w:r>
                    <w:rPr>
                      <w:rFonts w:hint="default"/>
                      <w:color w:val="auto"/>
                      <w:lang w:val="en-US" w:eastAsia="zh-CN"/>
                    </w:rPr>
                    <w:t>31</w:t>
                  </w:r>
                </w:p>
              </w:tc>
              <w:tc>
                <w:tcPr>
                  <w:tcW w:w="780" w:type="dxa"/>
                  <w:tcBorders>
                    <w:tl2br w:val="nil"/>
                    <w:tr2bl w:val="nil"/>
                  </w:tcBorders>
                  <w:vAlign w:val="center"/>
                </w:tcPr>
                <w:p w14:paraId="7B269D5D">
                  <w:pPr>
                    <w:pStyle w:val="21"/>
                    <w:bidi w:val="0"/>
                    <w:rPr>
                      <w:color w:val="auto"/>
                    </w:rPr>
                  </w:pPr>
                  <w:r>
                    <w:rPr>
                      <w:rFonts w:hint="default"/>
                      <w:color w:val="auto"/>
                      <w:lang w:val="en-US" w:eastAsia="zh-CN"/>
                    </w:rPr>
                    <w:t>0%</w:t>
                  </w:r>
                </w:p>
              </w:tc>
              <w:tc>
                <w:tcPr>
                  <w:tcW w:w="487" w:type="dxa"/>
                  <w:tcBorders>
                    <w:tl2br w:val="nil"/>
                    <w:tr2bl w:val="nil"/>
                  </w:tcBorders>
                  <w:vAlign w:val="center"/>
                </w:tcPr>
                <w:p w14:paraId="23E13C0E">
                  <w:pPr>
                    <w:pStyle w:val="21"/>
                    <w:bidi w:val="0"/>
                    <w:rPr>
                      <w:color w:val="auto"/>
                    </w:rPr>
                  </w:pPr>
                  <w:r>
                    <w:rPr>
                      <w:rFonts w:hint="default"/>
                      <w:color w:val="auto"/>
                      <w:lang w:val="en-US" w:eastAsia="zh-CN"/>
                    </w:rPr>
                    <w:t>31</w:t>
                  </w:r>
                </w:p>
              </w:tc>
              <w:tc>
                <w:tcPr>
                  <w:tcW w:w="731" w:type="dxa"/>
                  <w:tcBorders>
                    <w:tl2br w:val="nil"/>
                    <w:tr2bl w:val="nil"/>
                  </w:tcBorders>
                  <w:vAlign w:val="center"/>
                </w:tcPr>
                <w:p w14:paraId="771F801F">
                  <w:pPr>
                    <w:pStyle w:val="21"/>
                    <w:bidi w:val="0"/>
                    <w:rPr>
                      <w:color w:val="auto"/>
                    </w:rPr>
                  </w:pPr>
                  <w:r>
                    <w:rPr>
                      <w:rFonts w:hint="eastAsia"/>
                      <w:color w:val="auto"/>
                      <w:lang w:val="en-US" w:eastAsia="zh-CN"/>
                    </w:rPr>
                    <w:t>30</w:t>
                  </w:r>
                  <w:r>
                    <w:rPr>
                      <w:rFonts w:hint="default"/>
                      <w:color w:val="auto"/>
                      <w:lang w:val="en-US" w:eastAsia="zh-CN"/>
                    </w:rPr>
                    <w:t>%</w:t>
                  </w:r>
                </w:p>
              </w:tc>
            </w:tr>
            <w:tr w14:paraId="0974A70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50" w:type="dxa"/>
                  <w:tcBorders>
                    <w:tl2br w:val="nil"/>
                    <w:tr2bl w:val="nil"/>
                  </w:tcBorders>
                  <w:vAlign w:val="center"/>
                </w:tcPr>
                <w:p w14:paraId="21406EC4">
                  <w:pPr>
                    <w:pStyle w:val="21"/>
                    <w:bidi w:val="0"/>
                    <w:rPr>
                      <w:rFonts w:hint="eastAsia" w:eastAsia="宋体"/>
                      <w:color w:val="auto"/>
                      <w:lang w:val="en-US" w:eastAsia="zh-CN"/>
                    </w:rPr>
                  </w:pPr>
                  <w:r>
                    <w:rPr>
                      <w:rFonts w:hint="eastAsia"/>
                      <w:color w:val="auto"/>
                      <w:lang w:val="en-US" w:eastAsia="zh-CN"/>
                    </w:rPr>
                    <w:t>总氮</w:t>
                  </w:r>
                </w:p>
              </w:tc>
              <w:tc>
                <w:tcPr>
                  <w:tcW w:w="681" w:type="dxa"/>
                  <w:tcBorders>
                    <w:tl2br w:val="nil"/>
                    <w:tr2bl w:val="nil"/>
                  </w:tcBorders>
                  <w:vAlign w:val="center"/>
                </w:tcPr>
                <w:p w14:paraId="1A79CEE7">
                  <w:pPr>
                    <w:pStyle w:val="21"/>
                    <w:bidi w:val="0"/>
                    <w:rPr>
                      <w:rFonts w:hint="default"/>
                      <w:color w:val="auto"/>
                      <w:lang w:val="en-US" w:eastAsia="zh-CN"/>
                    </w:rPr>
                  </w:pPr>
                  <w:r>
                    <w:rPr>
                      <w:rFonts w:hint="default"/>
                      <w:color w:val="auto"/>
                      <w:lang w:val="en-US" w:eastAsia="zh-CN"/>
                    </w:rPr>
                    <w:t>59</w:t>
                  </w:r>
                </w:p>
              </w:tc>
              <w:tc>
                <w:tcPr>
                  <w:tcW w:w="790" w:type="dxa"/>
                  <w:tcBorders>
                    <w:tl2br w:val="nil"/>
                    <w:tr2bl w:val="nil"/>
                  </w:tcBorders>
                  <w:vAlign w:val="center"/>
                </w:tcPr>
                <w:p w14:paraId="52FE4729">
                  <w:pPr>
                    <w:pStyle w:val="21"/>
                    <w:bidi w:val="0"/>
                    <w:rPr>
                      <w:color w:val="auto"/>
                    </w:rPr>
                  </w:pPr>
                  <w:r>
                    <w:rPr>
                      <w:rFonts w:hint="default"/>
                      <w:color w:val="auto"/>
                      <w:lang w:val="en-US" w:eastAsia="zh-CN"/>
                    </w:rPr>
                    <w:t>0%</w:t>
                  </w:r>
                </w:p>
              </w:tc>
              <w:tc>
                <w:tcPr>
                  <w:tcW w:w="598" w:type="dxa"/>
                  <w:tcBorders>
                    <w:tl2br w:val="nil"/>
                    <w:tr2bl w:val="nil"/>
                  </w:tcBorders>
                  <w:vAlign w:val="center"/>
                </w:tcPr>
                <w:p w14:paraId="23602DD6">
                  <w:pPr>
                    <w:pStyle w:val="21"/>
                    <w:bidi w:val="0"/>
                    <w:rPr>
                      <w:rFonts w:hint="default"/>
                      <w:color w:val="auto"/>
                      <w:lang w:val="en-US" w:eastAsia="zh-CN"/>
                    </w:rPr>
                  </w:pPr>
                  <w:r>
                    <w:rPr>
                      <w:rFonts w:hint="default"/>
                      <w:color w:val="auto"/>
                      <w:lang w:val="en-US" w:eastAsia="zh-CN"/>
                    </w:rPr>
                    <w:t>59</w:t>
                  </w:r>
                </w:p>
              </w:tc>
              <w:tc>
                <w:tcPr>
                  <w:tcW w:w="761" w:type="dxa"/>
                  <w:tcBorders>
                    <w:tl2br w:val="nil"/>
                    <w:tr2bl w:val="nil"/>
                  </w:tcBorders>
                  <w:vAlign w:val="center"/>
                </w:tcPr>
                <w:p w14:paraId="25C47794">
                  <w:pPr>
                    <w:pStyle w:val="21"/>
                    <w:bidi w:val="0"/>
                    <w:rPr>
                      <w:color w:val="auto"/>
                    </w:rPr>
                  </w:pPr>
                  <w:r>
                    <w:rPr>
                      <w:rFonts w:hint="default"/>
                      <w:color w:val="auto"/>
                      <w:lang w:val="en-US" w:eastAsia="zh-CN"/>
                    </w:rPr>
                    <w:t>31%</w:t>
                  </w:r>
                </w:p>
              </w:tc>
              <w:tc>
                <w:tcPr>
                  <w:tcW w:w="628" w:type="dxa"/>
                  <w:tcBorders>
                    <w:tl2br w:val="nil"/>
                    <w:tr2bl w:val="nil"/>
                  </w:tcBorders>
                  <w:vAlign w:val="center"/>
                </w:tcPr>
                <w:p w14:paraId="19BE982E">
                  <w:pPr>
                    <w:pStyle w:val="21"/>
                    <w:bidi w:val="0"/>
                    <w:rPr>
                      <w:rFonts w:hint="default"/>
                      <w:color w:val="auto"/>
                      <w:lang w:val="en-US" w:eastAsia="zh-CN"/>
                    </w:rPr>
                  </w:pPr>
                  <w:r>
                    <w:rPr>
                      <w:rFonts w:hint="default"/>
                      <w:color w:val="auto"/>
                      <w:lang w:val="en-US" w:eastAsia="zh-CN"/>
                    </w:rPr>
                    <w:t>41</w:t>
                  </w:r>
                </w:p>
              </w:tc>
              <w:tc>
                <w:tcPr>
                  <w:tcW w:w="689" w:type="dxa"/>
                  <w:tcBorders>
                    <w:tl2br w:val="nil"/>
                    <w:tr2bl w:val="nil"/>
                  </w:tcBorders>
                  <w:vAlign w:val="center"/>
                </w:tcPr>
                <w:p w14:paraId="33EB3A98">
                  <w:pPr>
                    <w:pStyle w:val="21"/>
                    <w:bidi w:val="0"/>
                    <w:rPr>
                      <w:color w:val="auto"/>
                    </w:rPr>
                  </w:pPr>
                  <w:r>
                    <w:rPr>
                      <w:rFonts w:hint="default"/>
                      <w:color w:val="auto"/>
                      <w:lang w:val="en-US" w:eastAsia="zh-CN"/>
                    </w:rPr>
                    <w:t>0%</w:t>
                  </w:r>
                </w:p>
              </w:tc>
              <w:tc>
                <w:tcPr>
                  <w:tcW w:w="669" w:type="dxa"/>
                  <w:tcBorders>
                    <w:tl2br w:val="nil"/>
                    <w:tr2bl w:val="nil"/>
                  </w:tcBorders>
                  <w:vAlign w:val="center"/>
                </w:tcPr>
                <w:p w14:paraId="17ACA374">
                  <w:pPr>
                    <w:pStyle w:val="21"/>
                    <w:bidi w:val="0"/>
                    <w:rPr>
                      <w:rFonts w:hint="default"/>
                      <w:color w:val="auto"/>
                      <w:lang w:val="en-US" w:eastAsia="zh-CN"/>
                    </w:rPr>
                  </w:pPr>
                  <w:r>
                    <w:rPr>
                      <w:rFonts w:hint="default"/>
                      <w:color w:val="auto"/>
                      <w:lang w:val="en-US" w:eastAsia="zh-CN"/>
                    </w:rPr>
                    <w:t>41</w:t>
                  </w:r>
                </w:p>
              </w:tc>
              <w:tc>
                <w:tcPr>
                  <w:tcW w:w="780" w:type="dxa"/>
                  <w:tcBorders>
                    <w:tl2br w:val="nil"/>
                    <w:tr2bl w:val="nil"/>
                  </w:tcBorders>
                  <w:vAlign w:val="center"/>
                </w:tcPr>
                <w:p w14:paraId="0E17331D">
                  <w:pPr>
                    <w:pStyle w:val="21"/>
                    <w:bidi w:val="0"/>
                    <w:rPr>
                      <w:color w:val="auto"/>
                    </w:rPr>
                  </w:pPr>
                  <w:r>
                    <w:rPr>
                      <w:rFonts w:hint="default"/>
                      <w:color w:val="auto"/>
                      <w:lang w:val="en-US" w:eastAsia="zh-CN"/>
                    </w:rPr>
                    <w:t>0%</w:t>
                  </w:r>
                </w:p>
              </w:tc>
              <w:tc>
                <w:tcPr>
                  <w:tcW w:w="487" w:type="dxa"/>
                  <w:tcBorders>
                    <w:tl2br w:val="nil"/>
                    <w:tr2bl w:val="nil"/>
                  </w:tcBorders>
                  <w:vAlign w:val="center"/>
                </w:tcPr>
                <w:p w14:paraId="0536AFDB">
                  <w:pPr>
                    <w:pStyle w:val="21"/>
                    <w:bidi w:val="0"/>
                    <w:rPr>
                      <w:color w:val="auto"/>
                    </w:rPr>
                  </w:pPr>
                  <w:r>
                    <w:rPr>
                      <w:rFonts w:hint="default"/>
                      <w:color w:val="auto"/>
                      <w:lang w:val="en-US" w:eastAsia="zh-CN"/>
                    </w:rPr>
                    <w:t>41</w:t>
                  </w:r>
                </w:p>
              </w:tc>
              <w:tc>
                <w:tcPr>
                  <w:tcW w:w="731" w:type="dxa"/>
                  <w:tcBorders>
                    <w:tl2br w:val="nil"/>
                    <w:tr2bl w:val="nil"/>
                  </w:tcBorders>
                  <w:vAlign w:val="center"/>
                </w:tcPr>
                <w:p w14:paraId="2BABF0C6">
                  <w:pPr>
                    <w:pStyle w:val="21"/>
                    <w:bidi w:val="0"/>
                    <w:rPr>
                      <w:color w:val="auto"/>
                    </w:rPr>
                  </w:pPr>
                  <w:r>
                    <w:rPr>
                      <w:rFonts w:hint="eastAsia"/>
                      <w:color w:val="auto"/>
                      <w:lang w:val="en-US" w:eastAsia="zh-CN"/>
                    </w:rPr>
                    <w:t>30</w:t>
                  </w:r>
                  <w:r>
                    <w:rPr>
                      <w:rFonts w:hint="default"/>
                      <w:color w:val="auto"/>
                      <w:lang w:val="en-US" w:eastAsia="zh-CN"/>
                    </w:rPr>
                    <w:t>%</w:t>
                  </w:r>
                </w:p>
              </w:tc>
            </w:tr>
            <w:tr w14:paraId="45774AF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50" w:type="dxa"/>
                  <w:tcBorders>
                    <w:tl2br w:val="nil"/>
                    <w:tr2bl w:val="nil"/>
                  </w:tcBorders>
                  <w:vAlign w:val="center"/>
                </w:tcPr>
                <w:p w14:paraId="606A1CFB">
                  <w:pPr>
                    <w:pStyle w:val="21"/>
                    <w:bidi w:val="0"/>
                    <w:rPr>
                      <w:color w:val="auto"/>
                    </w:rPr>
                  </w:pPr>
                  <w:r>
                    <w:rPr>
                      <w:color w:val="auto"/>
                    </w:rPr>
                    <w:t>TP</w:t>
                  </w:r>
                </w:p>
              </w:tc>
              <w:tc>
                <w:tcPr>
                  <w:tcW w:w="681" w:type="dxa"/>
                  <w:tcBorders>
                    <w:tl2br w:val="nil"/>
                    <w:tr2bl w:val="nil"/>
                  </w:tcBorders>
                  <w:vAlign w:val="center"/>
                </w:tcPr>
                <w:p w14:paraId="1C719A9C">
                  <w:pPr>
                    <w:pStyle w:val="21"/>
                    <w:bidi w:val="0"/>
                    <w:rPr>
                      <w:color w:val="auto"/>
                    </w:rPr>
                  </w:pPr>
                  <w:r>
                    <w:rPr>
                      <w:rFonts w:hint="default"/>
                      <w:color w:val="auto"/>
                      <w:lang w:val="en-US" w:eastAsia="zh-CN"/>
                    </w:rPr>
                    <w:t>19.2</w:t>
                  </w:r>
                </w:p>
              </w:tc>
              <w:tc>
                <w:tcPr>
                  <w:tcW w:w="790" w:type="dxa"/>
                  <w:tcBorders>
                    <w:tl2br w:val="nil"/>
                    <w:tr2bl w:val="nil"/>
                  </w:tcBorders>
                  <w:vAlign w:val="center"/>
                </w:tcPr>
                <w:p w14:paraId="45A33412">
                  <w:pPr>
                    <w:pStyle w:val="21"/>
                    <w:bidi w:val="0"/>
                    <w:rPr>
                      <w:color w:val="auto"/>
                    </w:rPr>
                  </w:pPr>
                  <w:r>
                    <w:rPr>
                      <w:rFonts w:hint="default"/>
                      <w:color w:val="auto"/>
                      <w:lang w:val="en-US" w:eastAsia="zh-CN"/>
                    </w:rPr>
                    <w:t>0%</w:t>
                  </w:r>
                </w:p>
              </w:tc>
              <w:tc>
                <w:tcPr>
                  <w:tcW w:w="598" w:type="dxa"/>
                  <w:tcBorders>
                    <w:tl2br w:val="nil"/>
                    <w:tr2bl w:val="nil"/>
                  </w:tcBorders>
                  <w:vAlign w:val="center"/>
                </w:tcPr>
                <w:p w14:paraId="26ADB896">
                  <w:pPr>
                    <w:pStyle w:val="21"/>
                    <w:bidi w:val="0"/>
                    <w:rPr>
                      <w:color w:val="auto"/>
                    </w:rPr>
                  </w:pPr>
                  <w:r>
                    <w:rPr>
                      <w:rFonts w:hint="default"/>
                      <w:color w:val="auto"/>
                      <w:lang w:val="en-US" w:eastAsia="zh-CN"/>
                    </w:rPr>
                    <w:t>19.2</w:t>
                  </w:r>
                </w:p>
              </w:tc>
              <w:tc>
                <w:tcPr>
                  <w:tcW w:w="761" w:type="dxa"/>
                  <w:tcBorders>
                    <w:tl2br w:val="nil"/>
                    <w:tr2bl w:val="nil"/>
                  </w:tcBorders>
                  <w:vAlign w:val="center"/>
                </w:tcPr>
                <w:p w14:paraId="336D3A0A">
                  <w:pPr>
                    <w:pStyle w:val="21"/>
                    <w:bidi w:val="0"/>
                    <w:rPr>
                      <w:color w:val="auto"/>
                    </w:rPr>
                  </w:pPr>
                  <w:r>
                    <w:rPr>
                      <w:rFonts w:hint="default"/>
                      <w:color w:val="auto"/>
                      <w:lang w:val="en-US" w:eastAsia="zh-CN"/>
                    </w:rPr>
                    <w:t>0%</w:t>
                  </w:r>
                </w:p>
              </w:tc>
              <w:tc>
                <w:tcPr>
                  <w:tcW w:w="628" w:type="dxa"/>
                  <w:tcBorders>
                    <w:tl2br w:val="nil"/>
                    <w:tr2bl w:val="nil"/>
                  </w:tcBorders>
                  <w:vAlign w:val="center"/>
                </w:tcPr>
                <w:p w14:paraId="2E5D88AD">
                  <w:pPr>
                    <w:pStyle w:val="21"/>
                    <w:bidi w:val="0"/>
                    <w:rPr>
                      <w:color w:val="auto"/>
                    </w:rPr>
                  </w:pPr>
                  <w:r>
                    <w:rPr>
                      <w:rFonts w:hint="default"/>
                      <w:color w:val="auto"/>
                      <w:lang w:val="en-US" w:eastAsia="zh-CN"/>
                    </w:rPr>
                    <w:t>19.2</w:t>
                  </w:r>
                </w:p>
              </w:tc>
              <w:tc>
                <w:tcPr>
                  <w:tcW w:w="689" w:type="dxa"/>
                  <w:tcBorders>
                    <w:tl2br w:val="nil"/>
                    <w:tr2bl w:val="nil"/>
                  </w:tcBorders>
                  <w:vAlign w:val="center"/>
                </w:tcPr>
                <w:p w14:paraId="60C0FB2A">
                  <w:pPr>
                    <w:pStyle w:val="21"/>
                    <w:bidi w:val="0"/>
                    <w:rPr>
                      <w:color w:val="auto"/>
                    </w:rPr>
                  </w:pPr>
                  <w:r>
                    <w:rPr>
                      <w:rFonts w:hint="default"/>
                      <w:color w:val="auto"/>
                      <w:lang w:val="en-US" w:eastAsia="zh-CN"/>
                    </w:rPr>
                    <w:t>0%</w:t>
                  </w:r>
                </w:p>
              </w:tc>
              <w:tc>
                <w:tcPr>
                  <w:tcW w:w="669" w:type="dxa"/>
                  <w:tcBorders>
                    <w:tl2br w:val="nil"/>
                    <w:tr2bl w:val="nil"/>
                  </w:tcBorders>
                  <w:vAlign w:val="center"/>
                </w:tcPr>
                <w:p w14:paraId="327081A4">
                  <w:pPr>
                    <w:pStyle w:val="21"/>
                    <w:bidi w:val="0"/>
                    <w:rPr>
                      <w:color w:val="auto"/>
                    </w:rPr>
                  </w:pPr>
                  <w:r>
                    <w:rPr>
                      <w:rFonts w:hint="default"/>
                      <w:color w:val="auto"/>
                      <w:lang w:val="en-US" w:eastAsia="zh-CN"/>
                    </w:rPr>
                    <w:t>19.2</w:t>
                  </w:r>
                </w:p>
              </w:tc>
              <w:tc>
                <w:tcPr>
                  <w:tcW w:w="780" w:type="dxa"/>
                  <w:tcBorders>
                    <w:tl2br w:val="nil"/>
                    <w:tr2bl w:val="nil"/>
                  </w:tcBorders>
                  <w:vAlign w:val="center"/>
                </w:tcPr>
                <w:p w14:paraId="5FC144BB">
                  <w:pPr>
                    <w:pStyle w:val="21"/>
                    <w:bidi w:val="0"/>
                    <w:rPr>
                      <w:color w:val="auto"/>
                    </w:rPr>
                  </w:pPr>
                  <w:r>
                    <w:rPr>
                      <w:rFonts w:hint="default"/>
                      <w:color w:val="auto"/>
                      <w:lang w:val="en-US" w:eastAsia="zh-CN"/>
                    </w:rPr>
                    <w:t>30%</w:t>
                  </w:r>
                </w:p>
              </w:tc>
              <w:tc>
                <w:tcPr>
                  <w:tcW w:w="487" w:type="dxa"/>
                  <w:tcBorders>
                    <w:tl2br w:val="nil"/>
                    <w:tr2bl w:val="nil"/>
                  </w:tcBorders>
                  <w:vAlign w:val="center"/>
                </w:tcPr>
                <w:p w14:paraId="7A331416">
                  <w:pPr>
                    <w:pStyle w:val="21"/>
                    <w:bidi w:val="0"/>
                    <w:rPr>
                      <w:rFonts w:hint="eastAsia"/>
                      <w:color w:val="auto"/>
                      <w:lang w:eastAsia="zh-CN"/>
                    </w:rPr>
                  </w:pPr>
                  <w:r>
                    <w:rPr>
                      <w:rFonts w:hint="default"/>
                      <w:color w:val="auto"/>
                      <w:lang w:val="en-US" w:eastAsia="zh-CN"/>
                    </w:rPr>
                    <w:t>13.5</w:t>
                  </w:r>
                </w:p>
              </w:tc>
              <w:tc>
                <w:tcPr>
                  <w:tcW w:w="731" w:type="dxa"/>
                  <w:tcBorders>
                    <w:tl2br w:val="nil"/>
                    <w:tr2bl w:val="nil"/>
                  </w:tcBorders>
                  <w:vAlign w:val="center"/>
                </w:tcPr>
                <w:p w14:paraId="40119C1B">
                  <w:pPr>
                    <w:pStyle w:val="21"/>
                    <w:bidi w:val="0"/>
                    <w:rPr>
                      <w:rFonts w:hint="eastAsia"/>
                      <w:color w:val="auto"/>
                      <w:lang w:val="en-US" w:eastAsia="zh-CN"/>
                    </w:rPr>
                  </w:pPr>
                  <w:r>
                    <w:rPr>
                      <w:rFonts w:hint="eastAsia"/>
                      <w:color w:val="auto"/>
                      <w:lang w:val="en-US" w:eastAsia="zh-CN"/>
                    </w:rPr>
                    <w:t>30</w:t>
                  </w:r>
                  <w:r>
                    <w:rPr>
                      <w:rFonts w:hint="default"/>
                      <w:color w:val="auto"/>
                      <w:lang w:val="en-US" w:eastAsia="zh-CN"/>
                    </w:rPr>
                    <w:t>%</w:t>
                  </w:r>
                </w:p>
              </w:tc>
            </w:tr>
            <w:tr w14:paraId="1D3BA41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50" w:type="dxa"/>
                  <w:tcBorders>
                    <w:tl2br w:val="nil"/>
                    <w:tr2bl w:val="nil"/>
                  </w:tcBorders>
                  <w:vAlign w:val="center"/>
                </w:tcPr>
                <w:p w14:paraId="266278F0">
                  <w:pPr>
                    <w:pStyle w:val="21"/>
                    <w:bidi w:val="0"/>
                    <w:rPr>
                      <w:rFonts w:hint="default" w:eastAsia="宋体"/>
                      <w:color w:val="auto"/>
                      <w:lang w:val="en-US" w:eastAsia="zh-CN"/>
                    </w:rPr>
                  </w:pPr>
                  <w:r>
                    <w:rPr>
                      <w:rFonts w:hint="eastAsia"/>
                      <w:color w:val="auto"/>
                      <w:lang w:val="en-US" w:eastAsia="zh-CN"/>
                    </w:rPr>
                    <w:t>动植物油</w:t>
                  </w:r>
                </w:p>
              </w:tc>
              <w:tc>
                <w:tcPr>
                  <w:tcW w:w="681" w:type="dxa"/>
                  <w:tcBorders>
                    <w:tl2br w:val="nil"/>
                    <w:tr2bl w:val="nil"/>
                  </w:tcBorders>
                  <w:vAlign w:val="center"/>
                </w:tcPr>
                <w:p w14:paraId="54721077">
                  <w:pPr>
                    <w:pStyle w:val="21"/>
                    <w:bidi w:val="0"/>
                    <w:rPr>
                      <w:rFonts w:hint="default"/>
                      <w:color w:val="auto"/>
                      <w:lang w:val="en-US" w:eastAsia="zh-CN"/>
                    </w:rPr>
                  </w:pPr>
                  <w:r>
                    <w:rPr>
                      <w:rFonts w:hint="default"/>
                      <w:color w:val="auto"/>
                      <w:lang w:val="en-US" w:eastAsia="zh-CN"/>
                    </w:rPr>
                    <w:t>3</w:t>
                  </w:r>
                </w:p>
              </w:tc>
              <w:tc>
                <w:tcPr>
                  <w:tcW w:w="790" w:type="dxa"/>
                  <w:tcBorders>
                    <w:tl2br w:val="nil"/>
                    <w:tr2bl w:val="nil"/>
                  </w:tcBorders>
                  <w:vAlign w:val="center"/>
                </w:tcPr>
                <w:p w14:paraId="7FE21FD0">
                  <w:pPr>
                    <w:pStyle w:val="21"/>
                    <w:bidi w:val="0"/>
                    <w:rPr>
                      <w:rFonts w:hint="default"/>
                      <w:color w:val="auto"/>
                      <w:lang w:val="en-US" w:eastAsia="zh-CN"/>
                    </w:rPr>
                  </w:pPr>
                  <w:r>
                    <w:rPr>
                      <w:rFonts w:hint="default"/>
                      <w:color w:val="auto"/>
                      <w:lang w:val="en-US" w:eastAsia="zh-CN"/>
                    </w:rPr>
                    <w:t>0%</w:t>
                  </w:r>
                </w:p>
              </w:tc>
              <w:tc>
                <w:tcPr>
                  <w:tcW w:w="598" w:type="dxa"/>
                  <w:tcBorders>
                    <w:tl2br w:val="nil"/>
                    <w:tr2bl w:val="nil"/>
                  </w:tcBorders>
                  <w:vAlign w:val="center"/>
                </w:tcPr>
                <w:p w14:paraId="5E4F8C9C">
                  <w:pPr>
                    <w:pStyle w:val="21"/>
                    <w:bidi w:val="0"/>
                    <w:rPr>
                      <w:rFonts w:hint="default"/>
                      <w:color w:val="auto"/>
                      <w:lang w:val="en-US" w:eastAsia="zh-CN"/>
                    </w:rPr>
                  </w:pPr>
                  <w:r>
                    <w:rPr>
                      <w:rFonts w:hint="default"/>
                      <w:color w:val="auto"/>
                      <w:lang w:val="en-US" w:eastAsia="zh-CN"/>
                    </w:rPr>
                    <w:t>3</w:t>
                  </w:r>
                </w:p>
              </w:tc>
              <w:tc>
                <w:tcPr>
                  <w:tcW w:w="761" w:type="dxa"/>
                  <w:tcBorders>
                    <w:tl2br w:val="nil"/>
                    <w:tr2bl w:val="nil"/>
                  </w:tcBorders>
                  <w:vAlign w:val="center"/>
                </w:tcPr>
                <w:p w14:paraId="6A9DFC6B">
                  <w:pPr>
                    <w:pStyle w:val="21"/>
                    <w:bidi w:val="0"/>
                    <w:rPr>
                      <w:rFonts w:hint="default"/>
                      <w:color w:val="auto"/>
                      <w:lang w:val="en-US" w:eastAsia="zh-CN"/>
                    </w:rPr>
                  </w:pPr>
                  <w:r>
                    <w:rPr>
                      <w:rFonts w:hint="default"/>
                      <w:color w:val="auto"/>
                      <w:lang w:val="en-US" w:eastAsia="zh-CN"/>
                    </w:rPr>
                    <w:t>67%</w:t>
                  </w:r>
                </w:p>
              </w:tc>
              <w:tc>
                <w:tcPr>
                  <w:tcW w:w="628" w:type="dxa"/>
                  <w:tcBorders>
                    <w:tl2br w:val="nil"/>
                    <w:tr2bl w:val="nil"/>
                  </w:tcBorders>
                  <w:vAlign w:val="center"/>
                </w:tcPr>
                <w:p w14:paraId="0D53B1E0">
                  <w:pPr>
                    <w:pStyle w:val="21"/>
                    <w:bidi w:val="0"/>
                    <w:rPr>
                      <w:rFonts w:hint="default"/>
                      <w:color w:val="auto"/>
                      <w:lang w:val="en-US" w:eastAsia="zh-CN"/>
                    </w:rPr>
                  </w:pPr>
                  <w:r>
                    <w:rPr>
                      <w:rFonts w:hint="default"/>
                      <w:color w:val="auto"/>
                      <w:lang w:val="en-US" w:eastAsia="zh-CN"/>
                    </w:rPr>
                    <w:t>1</w:t>
                  </w:r>
                </w:p>
              </w:tc>
              <w:tc>
                <w:tcPr>
                  <w:tcW w:w="689" w:type="dxa"/>
                  <w:tcBorders>
                    <w:tl2br w:val="nil"/>
                    <w:tr2bl w:val="nil"/>
                  </w:tcBorders>
                  <w:vAlign w:val="center"/>
                </w:tcPr>
                <w:p w14:paraId="4454F89C">
                  <w:pPr>
                    <w:pStyle w:val="21"/>
                    <w:bidi w:val="0"/>
                    <w:rPr>
                      <w:rFonts w:hint="default"/>
                      <w:color w:val="auto"/>
                      <w:lang w:val="en-US" w:eastAsia="zh-CN"/>
                    </w:rPr>
                  </w:pPr>
                  <w:r>
                    <w:rPr>
                      <w:rFonts w:hint="default"/>
                      <w:color w:val="auto"/>
                      <w:lang w:val="en-US" w:eastAsia="zh-CN"/>
                    </w:rPr>
                    <w:t>0%</w:t>
                  </w:r>
                </w:p>
              </w:tc>
              <w:tc>
                <w:tcPr>
                  <w:tcW w:w="669" w:type="dxa"/>
                  <w:tcBorders>
                    <w:tl2br w:val="nil"/>
                    <w:tr2bl w:val="nil"/>
                  </w:tcBorders>
                  <w:vAlign w:val="center"/>
                </w:tcPr>
                <w:p w14:paraId="5D633419">
                  <w:pPr>
                    <w:pStyle w:val="21"/>
                    <w:bidi w:val="0"/>
                    <w:rPr>
                      <w:rFonts w:hint="default"/>
                      <w:color w:val="auto"/>
                      <w:lang w:val="en-US" w:eastAsia="zh-CN"/>
                    </w:rPr>
                  </w:pPr>
                  <w:r>
                    <w:rPr>
                      <w:rFonts w:hint="default"/>
                      <w:color w:val="auto"/>
                      <w:lang w:val="en-US" w:eastAsia="zh-CN"/>
                    </w:rPr>
                    <w:t>1</w:t>
                  </w:r>
                </w:p>
              </w:tc>
              <w:tc>
                <w:tcPr>
                  <w:tcW w:w="780" w:type="dxa"/>
                  <w:tcBorders>
                    <w:tl2br w:val="nil"/>
                    <w:tr2bl w:val="nil"/>
                  </w:tcBorders>
                  <w:vAlign w:val="center"/>
                </w:tcPr>
                <w:p w14:paraId="366C5EEE">
                  <w:pPr>
                    <w:pStyle w:val="21"/>
                    <w:bidi w:val="0"/>
                    <w:rPr>
                      <w:rFonts w:hint="default"/>
                      <w:color w:val="auto"/>
                      <w:lang w:val="en-US" w:eastAsia="zh-CN"/>
                    </w:rPr>
                  </w:pPr>
                  <w:r>
                    <w:rPr>
                      <w:rFonts w:hint="default"/>
                      <w:color w:val="auto"/>
                      <w:lang w:val="en-US" w:eastAsia="zh-CN"/>
                    </w:rPr>
                    <w:t>0%</w:t>
                  </w:r>
                </w:p>
              </w:tc>
              <w:tc>
                <w:tcPr>
                  <w:tcW w:w="487" w:type="dxa"/>
                  <w:tcBorders>
                    <w:tl2br w:val="nil"/>
                    <w:tr2bl w:val="nil"/>
                  </w:tcBorders>
                  <w:vAlign w:val="center"/>
                </w:tcPr>
                <w:p w14:paraId="718FD901">
                  <w:pPr>
                    <w:pStyle w:val="21"/>
                    <w:bidi w:val="0"/>
                    <w:rPr>
                      <w:rFonts w:hint="default"/>
                      <w:color w:val="auto"/>
                      <w:lang w:val="en-US" w:eastAsia="zh-CN"/>
                    </w:rPr>
                  </w:pPr>
                  <w:r>
                    <w:rPr>
                      <w:rFonts w:hint="default"/>
                      <w:color w:val="auto"/>
                      <w:lang w:val="en-US" w:eastAsia="zh-CN"/>
                    </w:rPr>
                    <w:t>1</w:t>
                  </w:r>
                </w:p>
              </w:tc>
              <w:tc>
                <w:tcPr>
                  <w:tcW w:w="731" w:type="dxa"/>
                  <w:tcBorders>
                    <w:tl2br w:val="nil"/>
                    <w:tr2bl w:val="nil"/>
                  </w:tcBorders>
                  <w:vAlign w:val="center"/>
                </w:tcPr>
                <w:p w14:paraId="661E4004">
                  <w:pPr>
                    <w:pStyle w:val="21"/>
                    <w:bidi w:val="0"/>
                    <w:rPr>
                      <w:rFonts w:hint="default"/>
                      <w:color w:val="auto"/>
                      <w:lang w:val="en-US" w:eastAsia="zh-CN"/>
                    </w:rPr>
                  </w:pPr>
                  <w:r>
                    <w:rPr>
                      <w:rFonts w:hint="eastAsia"/>
                      <w:color w:val="auto"/>
                      <w:lang w:val="en-US" w:eastAsia="zh-CN"/>
                    </w:rPr>
                    <w:t>70</w:t>
                  </w:r>
                  <w:r>
                    <w:rPr>
                      <w:rFonts w:hint="default"/>
                      <w:color w:val="auto"/>
                      <w:lang w:val="en-US" w:eastAsia="zh-CN"/>
                    </w:rPr>
                    <w:t>%</w:t>
                  </w:r>
                </w:p>
              </w:tc>
            </w:tr>
          </w:tbl>
          <w:p w14:paraId="5A2BFE62">
            <w:pPr>
              <w:keepNext w:val="0"/>
              <w:keepLines w:val="0"/>
              <w:suppressLineNumbers w:val="0"/>
              <w:spacing w:before="0" w:beforeAutospacing="0" w:after="0" w:afterAutospacing="0"/>
              <w:ind w:left="0" w:right="0" w:firstLine="480"/>
              <w:rPr>
                <w:rFonts w:hint="default"/>
                <w:color w:val="auto"/>
                <w:highlight w:val="none"/>
                <w:lang w:val="en-US" w:eastAsia="zh-CN"/>
              </w:rPr>
            </w:pPr>
            <w:r>
              <w:rPr>
                <w:rFonts w:hint="eastAsia"/>
                <w:color w:val="auto"/>
                <w:highlight w:val="none"/>
                <w:lang w:val="en-US" w:eastAsia="zh-CN"/>
              </w:rPr>
              <w:t>2）废水处理措施可行性分析</w:t>
            </w:r>
          </w:p>
          <w:p w14:paraId="14106C8C">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default"/>
                <w:color w:val="auto"/>
                <w:highlight w:val="none"/>
                <w:lang w:val="en-US" w:eastAsia="zh-CN"/>
              </w:rPr>
              <w:t>南京娃哈哈饮料有限公司</w:t>
            </w:r>
            <w:r>
              <w:rPr>
                <w:rFonts w:hint="eastAsia"/>
                <w:color w:val="auto"/>
                <w:highlight w:val="none"/>
                <w:lang w:val="en-US" w:eastAsia="zh-CN"/>
              </w:rPr>
              <w:t>污水处理站运行稳定，污水排放口已安装在线监测设施，排放废水污染物均稳定达标，根据其在“全国排污许可证管理信息平台”公开的“2024年度排污许可执行报告”，2024年度企业排放废水污染物未发生超标情况。根据《排污许可证申请与核发技术规范酒、饮料制造工业》（HJ1028—2019）“厌氧－好氧”法是饮料制造工业排污单位综合污水处理的可行技术。</w:t>
            </w:r>
          </w:p>
          <w:p w14:paraId="146512A2">
            <w:pPr>
              <w:keepNext w:val="0"/>
              <w:keepLines w:val="0"/>
              <w:suppressLineNumbers w:val="0"/>
              <w:spacing w:before="0" w:beforeAutospacing="0" w:after="0" w:afterAutospacing="0"/>
              <w:ind w:left="0" w:right="0" w:firstLine="480"/>
              <w:rPr>
                <w:rFonts w:hint="default" w:eastAsia="宋体"/>
                <w:color w:val="auto"/>
                <w:highlight w:val="none"/>
                <w:lang w:val="en-US" w:eastAsia="zh-CN"/>
              </w:rPr>
            </w:pPr>
            <w:r>
              <w:rPr>
                <w:rFonts w:hint="eastAsia"/>
                <w:color w:val="auto"/>
                <w:highlight w:val="none"/>
                <w:lang w:val="en-US" w:eastAsia="zh-CN"/>
              </w:rPr>
              <w:t>综上，本项目综合废水依托南京娃哈哈饮料有限公司污水处理设施预处理后能达到</w:t>
            </w:r>
            <w:r>
              <w:rPr>
                <w:rFonts w:hint="eastAsia" w:ascii="Times New Roman" w:hAnsi="Times New Roman" w:eastAsia="宋体"/>
                <w:color w:val="auto"/>
                <w:highlight w:val="none"/>
                <w:lang w:val="en-US"/>
              </w:rPr>
              <w:t>《污水综合排放标准》（GB8978-1996）表4中三级标准及</w:t>
            </w:r>
            <w:r>
              <w:rPr>
                <w:rFonts w:hint="eastAsia"/>
                <w:color w:val="auto"/>
                <w:highlight w:val="none"/>
                <w:lang w:val="en-US" w:eastAsia="zh-CN"/>
              </w:rPr>
              <w:t>空港</w:t>
            </w:r>
            <w:r>
              <w:rPr>
                <w:rFonts w:hint="eastAsia" w:ascii="Times New Roman" w:hAnsi="Times New Roman" w:eastAsia="宋体"/>
                <w:color w:val="auto"/>
                <w:highlight w:val="none"/>
                <w:lang w:val="en-US"/>
              </w:rPr>
              <w:t>污水处理厂接管水质要求</w:t>
            </w:r>
            <w:r>
              <w:rPr>
                <w:rFonts w:hint="eastAsia"/>
                <w:color w:val="auto"/>
                <w:highlight w:val="none"/>
                <w:lang w:val="en-US" w:eastAsia="zh-CN"/>
              </w:rPr>
              <w:t>，项目废水预处理措施可行。</w:t>
            </w:r>
          </w:p>
          <w:p w14:paraId="62891F28">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eastAsia="zh-CN"/>
              </w:rPr>
              <w:t>3</w:t>
            </w:r>
            <w:r>
              <w:rPr>
                <w:rFonts w:hint="eastAsia" w:ascii="Times New Roman" w:hAnsi="Times New Roman" w:eastAsia="宋体"/>
                <w:color w:val="auto"/>
                <w:highlight w:val="none"/>
                <w:lang w:val="en-US"/>
              </w:rPr>
              <w:t>）依托</w:t>
            </w:r>
            <w:r>
              <w:rPr>
                <w:rFonts w:hint="eastAsia"/>
                <w:color w:val="auto"/>
                <w:highlight w:val="none"/>
                <w:lang w:val="en-US" w:eastAsia="zh-CN"/>
              </w:rPr>
              <w:t>空港</w:t>
            </w:r>
            <w:r>
              <w:rPr>
                <w:rFonts w:hint="eastAsia" w:ascii="Times New Roman" w:hAnsi="Times New Roman" w:eastAsia="宋体"/>
                <w:color w:val="auto"/>
                <w:highlight w:val="none"/>
                <w:lang w:val="en-US"/>
              </w:rPr>
              <w:t>污水处理厂可行性</w:t>
            </w:r>
          </w:p>
          <w:p w14:paraId="417D266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①</w:t>
            </w:r>
            <w:r>
              <w:rPr>
                <w:rFonts w:hint="eastAsia"/>
                <w:color w:val="auto"/>
                <w:highlight w:val="none"/>
                <w:lang w:val="en-US" w:eastAsia="zh-CN"/>
              </w:rPr>
              <w:t>空港</w:t>
            </w:r>
            <w:r>
              <w:rPr>
                <w:rFonts w:hint="eastAsia" w:ascii="Times New Roman" w:hAnsi="Times New Roman" w:eastAsia="宋体"/>
                <w:color w:val="auto"/>
                <w:highlight w:val="none"/>
                <w:lang w:val="en-US"/>
              </w:rPr>
              <w:t>污水处理厂概况</w:t>
            </w:r>
          </w:p>
          <w:p w14:paraId="79366A2B">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空港污水处理厂位于江宁空港工业园内将军大道以西、云台山河南侧，服务范围为爱陵路以西，宁丹高速以东，云台山河以南，诚信大道以北，总面积约32.29平方公里。</w:t>
            </w:r>
          </w:p>
          <w:p w14:paraId="3793FB64">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rPr>
              <w:t>工程已建规模为4万吨/日，</w:t>
            </w:r>
            <w:r>
              <w:rPr>
                <w:rFonts w:hint="eastAsia"/>
                <w:color w:val="auto"/>
                <w:highlight w:val="none"/>
                <w:lang w:val="en-US" w:eastAsia="zh-CN"/>
              </w:rPr>
              <w:t>分两期建设，</w:t>
            </w:r>
            <w:r>
              <w:rPr>
                <w:rFonts w:hint="eastAsia" w:ascii="Times New Roman" w:hAnsi="Times New Roman" w:eastAsia="宋体"/>
                <w:color w:val="auto"/>
                <w:highlight w:val="none"/>
                <w:lang w:val="en-US"/>
              </w:rPr>
              <w:t>一期</w:t>
            </w:r>
            <w:r>
              <w:rPr>
                <w:rFonts w:hint="eastAsia"/>
                <w:color w:val="auto"/>
                <w:highlight w:val="none"/>
                <w:lang w:val="en-US" w:eastAsia="zh-CN"/>
              </w:rPr>
              <w:t>采用</w:t>
            </w:r>
            <w:r>
              <w:rPr>
                <w:rFonts w:hint="eastAsia" w:ascii="Times New Roman" w:hAnsi="Times New Roman" w:eastAsia="宋体"/>
                <w:color w:val="auto"/>
                <w:highlight w:val="none"/>
                <w:lang w:val="en-US"/>
              </w:rPr>
              <w:t>A/O生物脱氮</w:t>
            </w:r>
            <w:r>
              <w:rPr>
                <w:rFonts w:hint="eastAsia"/>
                <w:color w:val="auto"/>
                <w:highlight w:val="none"/>
                <w:lang w:val="en-US" w:eastAsia="zh-CN"/>
              </w:rPr>
              <w:t>，</w:t>
            </w:r>
            <w:r>
              <w:rPr>
                <w:rFonts w:hint="eastAsia" w:ascii="Times New Roman" w:hAnsi="Times New Roman" w:eastAsia="宋体"/>
                <w:color w:val="auto"/>
                <w:highlight w:val="none"/>
                <w:lang w:val="en-US"/>
              </w:rPr>
              <w:t>二期改良A²/O+转盘滤池工艺</w:t>
            </w:r>
            <w:r>
              <w:rPr>
                <w:rFonts w:hint="eastAsia"/>
                <w:color w:val="auto"/>
                <w:highlight w:val="none"/>
                <w:lang w:val="en-US" w:eastAsia="zh-CN"/>
              </w:rPr>
              <w:t>，</w:t>
            </w:r>
            <w:r>
              <w:rPr>
                <w:rFonts w:hint="eastAsia" w:ascii="Times New Roman" w:hAnsi="Times New Roman" w:eastAsia="宋体"/>
                <w:color w:val="auto"/>
                <w:highlight w:val="none"/>
                <w:lang w:val="en-US"/>
              </w:rPr>
              <w:t>处理后的尾水</w:t>
            </w:r>
            <w:r>
              <w:rPr>
                <w:rFonts w:hint="eastAsia"/>
                <w:color w:val="auto"/>
                <w:highlight w:val="none"/>
                <w:lang w:val="en-US" w:eastAsia="zh-CN"/>
              </w:rPr>
              <w:t>排入云台山河，</w:t>
            </w:r>
            <w:r>
              <w:rPr>
                <w:rFonts w:hint="eastAsia" w:ascii="Times New Roman" w:hAnsi="Times New Roman" w:eastAsia="宋体"/>
                <w:color w:val="auto"/>
                <w:highlight w:val="none"/>
                <w:lang w:val="en-US"/>
              </w:rPr>
              <w:t>尾水</w:t>
            </w:r>
            <w:r>
              <w:rPr>
                <w:rFonts w:hint="eastAsia"/>
                <w:color w:val="auto"/>
                <w:highlight w:val="none"/>
                <w:lang w:val="en-US" w:eastAsia="zh-CN"/>
              </w:rPr>
              <w:t>执行</w:t>
            </w:r>
            <w:r>
              <w:rPr>
                <w:rFonts w:hint="eastAsia" w:ascii="Times New Roman" w:hAnsi="Times New Roman" w:eastAsia="宋体"/>
                <w:color w:val="auto"/>
                <w:highlight w:val="none"/>
                <w:lang w:val="en-US"/>
              </w:rPr>
              <w:t>《城镇污水处理厂污染物排放标准》</w:t>
            </w:r>
            <w:r>
              <w:rPr>
                <w:rFonts w:hint="eastAsia"/>
                <w:color w:val="auto"/>
                <w:highlight w:val="none"/>
                <w:lang w:val="en-US" w:eastAsia="zh-CN"/>
              </w:rPr>
              <w:t>（</w:t>
            </w:r>
            <w:r>
              <w:rPr>
                <w:rFonts w:hint="eastAsia" w:ascii="Times New Roman" w:hAnsi="Times New Roman" w:eastAsia="宋体"/>
                <w:color w:val="auto"/>
                <w:highlight w:val="none"/>
                <w:lang w:val="en-US"/>
              </w:rPr>
              <w:t>GB18918-2002</w:t>
            </w:r>
            <w:r>
              <w:rPr>
                <w:rFonts w:hint="eastAsia"/>
                <w:color w:val="auto"/>
                <w:highlight w:val="none"/>
                <w:lang w:val="en-US" w:eastAsia="zh-CN"/>
              </w:rPr>
              <w:t>）</w:t>
            </w:r>
            <w:r>
              <w:rPr>
                <w:rFonts w:hint="eastAsia" w:ascii="Times New Roman" w:hAnsi="Times New Roman" w:eastAsia="宋体"/>
                <w:color w:val="auto"/>
                <w:highlight w:val="none"/>
                <w:lang w:val="en-US"/>
              </w:rPr>
              <w:t>表1中一级A标准执行</w:t>
            </w:r>
            <w:r>
              <w:rPr>
                <w:rFonts w:hint="eastAsia" w:ascii="Times New Roman" w:hAnsi="Times New Roman" w:eastAsia="宋体"/>
                <w:color w:val="auto"/>
                <w:highlight w:val="none"/>
                <w:lang w:val="en-US" w:eastAsia="zh-CN"/>
              </w:rPr>
              <w:t>。</w:t>
            </w:r>
          </w:p>
          <w:p w14:paraId="43200A4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color w:val="auto"/>
                <w:highlight w:val="none"/>
                <w:lang w:val="en-US" w:eastAsia="zh-CN"/>
              </w:rPr>
              <w:t>空港</w:t>
            </w:r>
            <w:r>
              <w:rPr>
                <w:rFonts w:hint="eastAsia" w:ascii="Times New Roman" w:hAnsi="Times New Roman" w:eastAsia="宋体"/>
                <w:color w:val="auto"/>
                <w:highlight w:val="none"/>
                <w:lang w:val="en-US"/>
              </w:rPr>
              <w:t>污水处理厂</w:t>
            </w:r>
            <w:r>
              <w:rPr>
                <w:rFonts w:hint="eastAsia" w:ascii="Times New Roman" w:hAnsi="Times New Roman" w:eastAsia="宋体"/>
                <w:color w:val="auto"/>
                <w:highlight w:val="none"/>
                <w:lang w:val="en-US" w:eastAsia="zh-CN"/>
              </w:rPr>
              <w:t>三期</w:t>
            </w:r>
            <w:r>
              <w:rPr>
                <w:rFonts w:hint="eastAsia" w:ascii="Times New Roman" w:hAnsi="Times New Roman" w:eastAsia="宋体"/>
                <w:color w:val="auto"/>
                <w:highlight w:val="none"/>
                <w:lang w:val="en-US"/>
              </w:rPr>
              <w:t>工程工艺</w:t>
            </w:r>
            <w:r>
              <w:rPr>
                <w:rFonts w:hint="eastAsia" w:ascii="Times New Roman" w:hAnsi="Times New Roman" w:eastAsia="宋体"/>
                <w:color w:val="auto"/>
                <w:highlight w:val="none"/>
                <w:lang w:val="en-US" w:eastAsia="zh-CN"/>
              </w:rPr>
              <w:t>流程</w:t>
            </w:r>
            <w:r>
              <w:rPr>
                <w:rFonts w:hint="eastAsia" w:ascii="Times New Roman" w:hAnsi="Times New Roman" w:eastAsia="宋体"/>
                <w:color w:val="auto"/>
                <w:highlight w:val="none"/>
                <w:lang w:val="en-US"/>
              </w:rPr>
              <w:t>见下图：</w:t>
            </w:r>
          </w:p>
          <w:p w14:paraId="508D3B3A">
            <w:pPr>
              <w:keepNext w:val="0"/>
              <w:keepLines w:val="0"/>
              <w:pageBreakBefore w:val="0"/>
              <w:widowControl w:val="0"/>
              <w:suppressLineNumbers w:val="0"/>
              <w:tabs>
                <w:tab w:val="left" w:pos="0"/>
              </w:tabs>
              <w:kinsoku/>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olor w:val="auto"/>
                <w:highlight w:val="none"/>
                <w:lang w:val="en-US"/>
              </w:rPr>
            </w:pPr>
            <w:r>
              <w:rPr>
                <w:rFonts w:hint="default" w:ascii="Times New Roman" w:hAnsi="Times New Roman" w:cs="Times New Roman"/>
                <w:color w:val="auto"/>
                <w:highlight w:val="none"/>
              </w:rPr>
              <w:drawing>
                <wp:inline distT="0" distB="0" distL="114300" distR="114300">
                  <wp:extent cx="4816475" cy="1824355"/>
                  <wp:effectExtent l="0" t="0" r="3175" b="4445"/>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26"/>
                          <a:srcRect l="3198" t="600" r="9814"/>
                          <a:stretch>
                            <a:fillRect/>
                          </a:stretch>
                        </pic:blipFill>
                        <pic:spPr>
                          <a:xfrm>
                            <a:off x="0" y="0"/>
                            <a:ext cx="4816475" cy="1824355"/>
                          </a:xfrm>
                          <a:prstGeom prst="rect">
                            <a:avLst/>
                          </a:prstGeom>
                          <a:noFill/>
                          <a:ln>
                            <a:noFill/>
                          </a:ln>
                        </pic:spPr>
                      </pic:pic>
                    </a:graphicData>
                  </a:graphic>
                </wp:inline>
              </w:drawing>
            </w:r>
          </w:p>
          <w:p w14:paraId="552608E5">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图4-</w:t>
            </w:r>
            <w:r>
              <w:rPr>
                <w:rFonts w:hint="eastAsia"/>
                <w:color w:val="auto"/>
                <w:highlight w:val="none"/>
                <w:lang w:val="en-US" w:eastAsia="zh-CN"/>
              </w:rPr>
              <w:t>3空港</w:t>
            </w:r>
            <w:r>
              <w:rPr>
                <w:rFonts w:hint="default" w:ascii="Times New Roman" w:hAnsi="Times New Roman" w:eastAsia="宋体"/>
                <w:color w:val="auto"/>
                <w:highlight w:val="none"/>
              </w:rPr>
              <w:t>污水处理厂工艺流程图</w:t>
            </w:r>
          </w:p>
          <w:p w14:paraId="232A56B9">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②本项目废水依托</w:t>
            </w:r>
            <w:r>
              <w:rPr>
                <w:rFonts w:hint="eastAsia"/>
                <w:color w:val="auto"/>
                <w:highlight w:val="none"/>
                <w:lang w:val="en-US" w:eastAsia="zh-CN"/>
              </w:rPr>
              <w:t>空港</w:t>
            </w:r>
            <w:r>
              <w:rPr>
                <w:rFonts w:hint="eastAsia" w:ascii="Times New Roman" w:hAnsi="Times New Roman" w:eastAsia="宋体"/>
                <w:color w:val="auto"/>
                <w:highlight w:val="none"/>
                <w:lang w:val="en-US"/>
              </w:rPr>
              <w:t>污水处理厂处理可行性分析</w:t>
            </w:r>
          </w:p>
          <w:p w14:paraId="2A4DB300">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A.接管水量可行</w:t>
            </w:r>
          </w:p>
          <w:p w14:paraId="01D8DEE5">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目前</w:t>
            </w:r>
            <w:r>
              <w:rPr>
                <w:rFonts w:hint="eastAsia"/>
                <w:color w:val="auto"/>
                <w:highlight w:val="none"/>
                <w:lang w:val="en-US" w:eastAsia="zh-CN"/>
              </w:rPr>
              <w:t>空港</w:t>
            </w:r>
            <w:r>
              <w:rPr>
                <w:rFonts w:hint="eastAsia" w:ascii="Times New Roman" w:hAnsi="Times New Roman" w:eastAsia="宋体"/>
                <w:color w:val="auto"/>
                <w:highlight w:val="none"/>
                <w:lang w:val="en-US"/>
              </w:rPr>
              <w:t>污水处理厂</w:t>
            </w:r>
            <w:r>
              <w:rPr>
                <w:rFonts w:hint="eastAsia" w:ascii="Times New Roman" w:hAnsi="Times New Roman" w:eastAsia="宋体"/>
                <w:color w:val="auto"/>
                <w:highlight w:val="none"/>
                <w:lang w:val="en-US" w:eastAsia="zh-CN"/>
              </w:rPr>
              <w:t>尚有</w:t>
            </w:r>
            <w:r>
              <w:rPr>
                <w:rFonts w:hint="default" w:ascii="Times New Roman" w:hAnsi="Times New Roman" w:eastAsia="宋体"/>
                <w:color w:val="auto"/>
                <w:highlight w:val="none"/>
                <w:lang w:val="en-US"/>
              </w:rPr>
              <w:t>余量约为</w:t>
            </w:r>
            <w:r>
              <w:rPr>
                <w:rFonts w:hint="eastAsia"/>
                <w:color w:val="auto"/>
                <w:highlight w:val="none"/>
                <w:lang w:val="en-US" w:eastAsia="zh-CN"/>
              </w:rPr>
              <w:t>4</w:t>
            </w:r>
            <w:r>
              <w:rPr>
                <w:rFonts w:hint="default" w:ascii="Times New Roman" w:hAnsi="Times New Roman" w:eastAsia="宋体"/>
                <w:color w:val="auto"/>
                <w:highlight w:val="none"/>
                <w:lang w:val="en-US"/>
              </w:rPr>
              <w:t>000t/d。本项目</w:t>
            </w:r>
            <w:r>
              <w:rPr>
                <w:rFonts w:hint="eastAsia" w:ascii="Times New Roman" w:hAnsi="Times New Roman" w:eastAsia="宋体"/>
                <w:color w:val="auto"/>
                <w:highlight w:val="none"/>
                <w:lang w:val="en-US" w:eastAsia="zh-CN"/>
              </w:rPr>
              <w:t>新增</w:t>
            </w:r>
            <w:r>
              <w:rPr>
                <w:rFonts w:hint="default" w:ascii="Times New Roman" w:hAnsi="Times New Roman" w:eastAsia="宋体"/>
                <w:color w:val="auto"/>
                <w:highlight w:val="none"/>
                <w:lang w:val="en-US"/>
              </w:rPr>
              <w:t>接管废水量</w:t>
            </w:r>
            <w:r>
              <w:rPr>
                <w:rFonts w:hint="eastAsia"/>
                <w:color w:val="auto"/>
                <w:highlight w:val="none"/>
                <w:lang w:val="en-US" w:eastAsia="zh-CN"/>
              </w:rPr>
              <w:t>约</w:t>
            </w:r>
            <w:r>
              <w:rPr>
                <w:rFonts w:hint="default" w:ascii="Times New Roman" w:hAnsi="Times New Roman" w:eastAsia="宋体"/>
                <w:color w:val="auto"/>
                <w:highlight w:val="none"/>
                <w:lang w:val="en-US"/>
              </w:rPr>
              <w:t>为</w:t>
            </w:r>
            <w:r>
              <w:rPr>
                <w:rFonts w:hint="eastAsia"/>
                <w:color w:val="auto"/>
                <w:highlight w:val="none"/>
                <w:lang w:val="en-US" w:eastAsia="zh-CN"/>
              </w:rPr>
              <w:t>469</w:t>
            </w:r>
            <w:r>
              <w:rPr>
                <w:rFonts w:hint="eastAsia" w:ascii="Times New Roman" w:hAnsi="Times New Roman" w:eastAsia="宋体"/>
                <w:color w:val="auto"/>
                <w:highlight w:val="none"/>
                <w:lang w:val="en-US"/>
              </w:rPr>
              <w:t>t/</w:t>
            </w:r>
            <w:r>
              <w:rPr>
                <w:rFonts w:hint="eastAsia"/>
                <w:color w:val="auto"/>
                <w:highlight w:val="none"/>
                <w:lang w:val="en-US" w:eastAsia="zh-CN"/>
              </w:rPr>
              <w:t>d</w:t>
            </w:r>
            <w:r>
              <w:rPr>
                <w:rFonts w:hint="eastAsia" w:ascii="Times New Roman" w:hAnsi="Times New Roman" w:eastAsia="宋体"/>
                <w:color w:val="auto"/>
                <w:highlight w:val="none"/>
                <w:lang w:val="en-US"/>
              </w:rPr>
              <w:t>，</w:t>
            </w:r>
            <w:r>
              <w:rPr>
                <w:rFonts w:hint="eastAsia"/>
                <w:color w:val="auto"/>
                <w:highlight w:val="none"/>
                <w:lang w:val="en-US" w:eastAsia="zh-CN"/>
              </w:rPr>
              <w:t>约</w:t>
            </w:r>
            <w:r>
              <w:rPr>
                <w:rFonts w:hint="default" w:ascii="Times New Roman" w:hAnsi="Times New Roman" w:eastAsia="宋体"/>
                <w:color w:val="auto"/>
                <w:highlight w:val="none"/>
                <w:lang w:val="en-US"/>
              </w:rPr>
              <w:t>占</w:t>
            </w:r>
            <w:r>
              <w:rPr>
                <w:rFonts w:hint="eastAsia"/>
                <w:color w:val="auto"/>
                <w:highlight w:val="none"/>
                <w:lang w:val="en-US" w:eastAsia="zh-CN"/>
              </w:rPr>
              <w:t>空港</w:t>
            </w:r>
            <w:r>
              <w:rPr>
                <w:rFonts w:hint="eastAsia" w:ascii="Times New Roman" w:hAnsi="Times New Roman" w:eastAsia="宋体"/>
                <w:color w:val="auto"/>
                <w:highlight w:val="none"/>
                <w:lang w:val="en-US"/>
              </w:rPr>
              <w:t>污水处理厂</w:t>
            </w:r>
            <w:r>
              <w:rPr>
                <w:rFonts w:hint="default" w:ascii="Times New Roman" w:hAnsi="Times New Roman" w:eastAsia="宋体"/>
                <w:color w:val="auto"/>
                <w:highlight w:val="none"/>
                <w:lang w:val="en-US"/>
              </w:rPr>
              <w:t>剩余负荷的</w:t>
            </w:r>
            <w:r>
              <w:rPr>
                <w:rFonts w:hint="eastAsia"/>
                <w:color w:val="auto"/>
                <w:highlight w:val="none"/>
                <w:lang w:val="en-US" w:eastAsia="zh-CN"/>
              </w:rPr>
              <w:t>11.7</w:t>
            </w:r>
            <w:r>
              <w:rPr>
                <w:rFonts w:hint="default" w:ascii="Times New Roman" w:hAnsi="Times New Roman" w:eastAsia="宋体"/>
                <w:color w:val="auto"/>
                <w:highlight w:val="none"/>
                <w:lang w:val="en-US"/>
              </w:rPr>
              <w:t>%，</w:t>
            </w:r>
            <w:r>
              <w:rPr>
                <w:rFonts w:hint="eastAsia"/>
                <w:color w:val="auto"/>
                <w:highlight w:val="none"/>
                <w:lang w:val="en-US" w:eastAsia="zh-CN"/>
              </w:rPr>
              <w:t>空港</w:t>
            </w:r>
            <w:r>
              <w:rPr>
                <w:rFonts w:hint="eastAsia" w:ascii="Times New Roman" w:hAnsi="Times New Roman" w:eastAsia="宋体"/>
                <w:color w:val="auto"/>
                <w:highlight w:val="none"/>
                <w:lang w:val="en-US"/>
              </w:rPr>
              <w:t>污水处理厂</w:t>
            </w:r>
            <w:r>
              <w:rPr>
                <w:rFonts w:hint="eastAsia" w:ascii="Times New Roman" w:hAnsi="Times New Roman" w:eastAsia="宋体"/>
                <w:color w:val="auto"/>
                <w:highlight w:val="none"/>
                <w:lang w:val="en-US" w:eastAsia="zh-CN"/>
              </w:rPr>
              <w:t>尚有</w:t>
            </w:r>
            <w:r>
              <w:rPr>
                <w:rFonts w:hint="eastAsia"/>
                <w:color w:val="auto"/>
                <w:highlight w:val="none"/>
                <w:lang w:val="en-US" w:eastAsia="zh-CN"/>
              </w:rPr>
              <w:t>足够容量接纳本项目产生的废水，</w:t>
            </w:r>
            <w:r>
              <w:rPr>
                <w:rFonts w:hint="default" w:ascii="Times New Roman" w:hAnsi="Times New Roman" w:eastAsia="宋体"/>
                <w:color w:val="auto"/>
                <w:highlight w:val="none"/>
                <w:lang w:val="en-US"/>
              </w:rPr>
              <w:t>不会对污水处理厂的正常运行造成影响。</w:t>
            </w:r>
          </w:p>
          <w:p w14:paraId="77EBAD2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B.接管水质可行</w:t>
            </w:r>
          </w:p>
          <w:p w14:paraId="275E0F88">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本项目排放废水</w:t>
            </w:r>
            <w:r>
              <w:rPr>
                <w:rFonts w:hint="eastAsia"/>
                <w:color w:val="auto"/>
                <w:highlight w:val="none"/>
                <w:lang w:val="en-US" w:eastAsia="zh-CN"/>
              </w:rPr>
              <w:t>经南京娃哈哈饮料有限公司污水处理站预处理后</w:t>
            </w:r>
            <w:r>
              <w:rPr>
                <w:rFonts w:hint="eastAsia" w:ascii="Times New Roman" w:hAnsi="Times New Roman" w:eastAsia="宋体"/>
                <w:color w:val="auto"/>
                <w:highlight w:val="none"/>
                <w:lang w:val="en-US"/>
              </w:rPr>
              <w:t>，水质满足《污水综合排放标准》（GB8978-1996）表4中三级标准及</w:t>
            </w:r>
            <w:r>
              <w:rPr>
                <w:rFonts w:hint="eastAsia"/>
                <w:color w:val="auto"/>
                <w:highlight w:val="none"/>
                <w:lang w:val="en-US" w:eastAsia="zh-CN"/>
              </w:rPr>
              <w:t>空港</w:t>
            </w:r>
            <w:r>
              <w:rPr>
                <w:rFonts w:hint="eastAsia" w:ascii="Times New Roman" w:hAnsi="Times New Roman" w:eastAsia="宋体"/>
                <w:color w:val="auto"/>
                <w:highlight w:val="none"/>
                <w:lang w:val="en-US"/>
              </w:rPr>
              <w:t>污水处理厂接管水质要求。</w:t>
            </w:r>
          </w:p>
          <w:p w14:paraId="5E868987">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C.区域管网建设进度</w:t>
            </w:r>
          </w:p>
          <w:p w14:paraId="6A56F7ED">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本项目位于</w:t>
            </w:r>
            <w:r>
              <w:rPr>
                <w:rFonts w:hint="eastAsia"/>
                <w:color w:val="auto"/>
                <w:highlight w:val="none"/>
                <w:lang w:val="en-US" w:eastAsia="zh-CN"/>
              </w:rPr>
              <w:t>空港</w:t>
            </w:r>
            <w:r>
              <w:rPr>
                <w:rFonts w:hint="eastAsia" w:ascii="Times New Roman" w:hAnsi="Times New Roman" w:eastAsia="宋体"/>
                <w:color w:val="auto"/>
                <w:highlight w:val="none"/>
                <w:lang w:val="en-US"/>
              </w:rPr>
              <w:t>污水处理厂服务范围内，项目所在地污水管网已建设完备。</w:t>
            </w:r>
          </w:p>
          <w:p w14:paraId="2AEE8BCB">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综上，从水质、水量及区域污水管网建设情况考虑，本项目运营期</w:t>
            </w:r>
            <w:r>
              <w:rPr>
                <w:rFonts w:hint="eastAsia"/>
                <w:color w:val="auto"/>
                <w:highlight w:val="none"/>
                <w:lang w:val="en-US" w:eastAsia="zh-CN"/>
              </w:rPr>
              <w:t>废水</w:t>
            </w:r>
            <w:r>
              <w:rPr>
                <w:rFonts w:hint="eastAsia" w:ascii="Times New Roman" w:hAnsi="Times New Roman" w:eastAsia="宋体"/>
                <w:color w:val="auto"/>
                <w:highlight w:val="none"/>
                <w:lang w:val="en-US"/>
              </w:rPr>
              <w:t>接管到</w:t>
            </w:r>
            <w:r>
              <w:rPr>
                <w:rFonts w:hint="eastAsia"/>
                <w:color w:val="auto"/>
                <w:highlight w:val="none"/>
                <w:lang w:val="en-US" w:eastAsia="zh-CN"/>
              </w:rPr>
              <w:t>空港</w:t>
            </w:r>
            <w:r>
              <w:rPr>
                <w:rFonts w:hint="eastAsia" w:ascii="Times New Roman" w:hAnsi="Times New Roman" w:eastAsia="宋体"/>
                <w:color w:val="auto"/>
                <w:highlight w:val="none"/>
                <w:lang w:val="en-US"/>
              </w:rPr>
              <w:t>污水处理厂集中处理可行。</w:t>
            </w:r>
          </w:p>
          <w:p w14:paraId="1C75A498">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w:t>
            </w:r>
            <w:r>
              <w:rPr>
                <w:rFonts w:hint="eastAsia"/>
                <w:color w:val="auto"/>
                <w:highlight w:val="none"/>
                <w:lang w:val="en-US" w:eastAsia="zh-CN"/>
              </w:rPr>
              <w:t>5</w:t>
            </w:r>
            <w:r>
              <w:rPr>
                <w:rFonts w:hint="default" w:ascii="Times New Roman" w:hAnsi="Times New Roman" w:eastAsia="宋体"/>
                <w:color w:val="auto"/>
                <w:highlight w:val="none"/>
                <w:lang w:val="en-US"/>
              </w:rPr>
              <w:t>）废水</w:t>
            </w:r>
            <w:r>
              <w:rPr>
                <w:rFonts w:hint="eastAsia" w:ascii="Times New Roman" w:hAnsi="Times New Roman" w:eastAsia="宋体"/>
                <w:color w:val="auto"/>
                <w:highlight w:val="none"/>
                <w:lang w:val="en-US"/>
              </w:rPr>
              <w:t>污染源</w:t>
            </w:r>
            <w:r>
              <w:rPr>
                <w:rFonts w:hint="default" w:ascii="Times New Roman" w:hAnsi="Times New Roman" w:eastAsia="宋体"/>
                <w:color w:val="auto"/>
                <w:highlight w:val="none"/>
                <w:lang w:val="en-US"/>
              </w:rPr>
              <w:t>监测计划</w:t>
            </w:r>
          </w:p>
          <w:p w14:paraId="68381762">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本项目建成后，建设单位应</w:t>
            </w:r>
            <w:r>
              <w:rPr>
                <w:rFonts w:hint="default" w:ascii="Times New Roman" w:hAnsi="Times New Roman" w:eastAsia="宋体"/>
                <w:color w:val="auto"/>
                <w:highlight w:val="none"/>
                <w:lang w:val="en-US"/>
              </w:rPr>
              <w:t>根据</w:t>
            </w:r>
            <w:r>
              <w:rPr>
                <w:rFonts w:hint="default" w:ascii="Times New Roman" w:hAnsi="Times New Roman" w:eastAsia="宋体"/>
                <w:color w:val="auto"/>
                <w:highlight w:val="none"/>
                <w:lang w:val="en-US" w:eastAsia="zh-CN"/>
              </w:rPr>
              <w:t>《排污单位自行监测技术指南</w:t>
            </w:r>
            <w:r>
              <w:rPr>
                <w:rFonts w:hint="eastAsia"/>
                <w:color w:val="auto"/>
                <w:highlight w:val="none"/>
                <w:lang w:val="en-US" w:eastAsia="zh-CN"/>
              </w:rPr>
              <w:t>总则</w:t>
            </w:r>
            <w:r>
              <w:rPr>
                <w:rFonts w:hint="default" w:ascii="Times New Roman" w:hAnsi="Times New Roman" w:eastAsia="宋体"/>
                <w:color w:val="auto"/>
                <w:highlight w:val="none"/>
                <w:lang w:val="en-US" w:eastAsia="zh-CN"/>
              </w:rPr>
              <w:t>》（HJ</w:t>
            </w:r>
            <w:r>
              <w:rPr>
                <w:rFonts w:hint="eastAsia"/>
                <w:color w:val="auto"/>
                <w:highlight w:val="none"/>
                <w:lang w:val="en-US" w:eastAsia="zh-CN"/>
              </w:rPr>
              <w:t>819</w:t>
            </w:r>
            <w:r>
              <w:rPr>
                <w:rFonts w:hint="default" w:ascii="Times New Roman" w:hAnsi="Times New Roman" w:eastAsia="宋体"/>
                <w:color w:val="auto"/>
                <w:highlight w:val="none"/>
                <w:lang w:val="en-US" w:eastAsia="zh-CN"/>
              </w:rPr>
              <w:t>-20</w:t>
            </w:r>
            <w:r>
              <w:rPr>
                <w:rFonts w:hint="eastAsia"/>
                <w:color w:val="auto"/>
                <w:highlight w:val="none"/>
                <w:lang w:val="en-US" w:eastAsia="zh-CN"/>
              </w:rPr>
              <w:t>17</w:t>
            </w:r>
            <w:r>
              <w:rPr>
                <w:rFonts w:hint="default" w:ascii="Times New Roman" w:hAnsi="Times New Roman" w:eastAsia="宋体"/>
                <w:color w:val="auto"/>
                <w:highlight w:val="none"/>
                <w:lang w:val="en-US" w:eastAsia="zh-CN"/>
              </w:rPr>
              <w:t>）</w:t>
            </w:r>
            <w:r>
              <w:rPr>
                <w:rFonts w:hint="eastAsia" w:ascii="Times New Roman" w:hAnsi="Times New Roman" w:eastAsia="宋体"/>
                <w:color w:val="auto"/>
                <w:highlight w:val="none"/>
                <w:lang w:val="en-US"/>
              </w:rPr>
              <w:t>相关要求开展废水污染源自行监测</w:t>
            </w:r>
            <w:r>
              <w:rPr>
                <w:rFonts w:hint="default" w:ascii="Times New Roman" w:hAnsi="Times New Roman" w:eastAsia="宋体"/>
                <w:color w:val="auto"/>
                <w:highlight w:val="none"/>
                <w:lang w:val="en-US"/>
              </w:rPr>
              <w:t>，</w:t>
            </w:r>
            <w:r>
              <w:rPr>
                <w:rFonts w:hint="eastAsia" w:ascii="Times New Roman" w:hAnsi="Times New Roman" w:eastAsia="宋体"/>
                <w:color w:val="auto"/>
                <w:highlight w:val="none"/>
                <w:lang w:val="en-US"/>
              </w:rPr>
              <w:t>具体</w:t>
            </w:r>
            <w:r>
              <w:rPr>
                <w:rFonts w:hint="default" w:ascii="Times New Roman" w:hAnsi="Times New Roman" w:eastAsia="宋体"/>
                <w:color w:val="auto"/>
                <w:highlight w:val="none"/>
                <w:lang w:val="en-US"/>
              </w:rPr>
              <w:t>监测计划表见下</w:t>
            </w:r>
            <w:r>
              <w:rPr>
                <w:rFonts w:hint="eastAsia" w:ascii="Times New Roman" w:hAnsi="Times New Roman" w:eastAsia="宋体"/>
                <w:color w:val="auto"/>
                <w:highlight w:val="none"/>
                <w:lang w:val="en-US"/>
              </w:rPr>
              <w:t>表：</w:t>
            </w:r>
          </w:p>
          <w:p w14:paraId="4AE60555">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表4-</w:t>
            </w:r>
            <w:r>
              <w:rPr>
                <w:rFonts w:hint="eastAsia" w:ascii="Times New Roman" w:hAnsi="Times New Roman" w:eastAsia="宋体"/>
                <w:color w:val="auto"/>
                <w:highlight w:val="none"/>
                <w:lang w:val="en-US" w:eastAsia="zh-CN"/>
              </w:rPr>
              <w:t>1</w:t>
            </w:r>
            <w:r>
              <w:rPr>
                <w:rFonts w:hint="eastAsia"/>
                <w:color w:val="auto"/>
                <w:highlight w:val="none"/>
                <w:lang w:val="en-US" w:eastAsia="zh-CN"/>
              </w:rPr>
              <w:t>5</w:t>
            </w:r>
            <w:r>
              <w:rPr>
                <w:rFonts w:hint="default" w:ascii="Times New Roman" w:hAnsi="Times New Roman" w:eastAsia="宋体"/>
                <w:color w:val="auto"/>
                <w:highlight w:val="none"/>
              </w:rPr>
              <w:t>废水</w:t>
            </w:r>
            <w:r>
              <w:rPr>
                <w:rFonts w:ascii="Times New Roman" w:hAnsi="Times New Roman" w:eastAsia="宋体"/>
                <w:color w:val="auto"/>
                <w:highlight w:val="none"/>
              </w:rPr>
              <w:t>污染源</w:t>
            </w:r>
            <w:r>
              <w:rPr>
                <w:rFonts w:hint="default" w:ascii="Times New Roman" w:hAnsi="Times New Roman" w:eastAsia="宋体"/>
                <w:color w:val="auto"/>
                <w:highlight w:val="none"/>
              </w:rPr>
              <w:t>监测计划表</w:t>
            </w:r>
          </w:p>
          <w:tbl>
            <w:tblPr>
              <w:tblStyle w:val="16"/>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615"/>
              <w:gridCol w:w="4905"/>
              <w:gridCol w:w="1438"/>
            </w:tblGrid>
            <w:tr w14:paraId="015E98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584" w:type="dxa"/>
                  <w:tcBorders>
                    <w:tl2br w:val="nil"/>
                    <w:tr2bl w:val="nil"/>
                  </w:tcBorders>
                  <w:shd w:val="clear" w:color="auto" w:fill="auto"/>
                  <w:vAlign w:val="center"/>
                </w:tcPr>
                <w:p w14:paraId="75677BF2">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监测点位</w:t>
                  </w:r>
                </w:p>
              </w:tc>
              <w:tc>
                <w:tcPr>
                  <w:tcW w:w="4812" w:type="dxa"/>
                  <w:tcBorders>
                    <w:tl2br w:val="nil"/>
                    <w:tr2bl w:val="nil"/>
                  </w:tcBorders>
                  <w:shd w:val="clear" w:color="auto" w:fill="auto"/>
                  <w:vAlign w:val="center"/>
                </w:tcPr>
                <w:p w14:paraId="1E0AEC9A">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监测项目</w:t>
                  </w:r>
                </w:p>
              </w:tc>
              <w:tc>
                <w:tcPr>
                  <w:tcW w:w="1410" w:type="dxa"/>
                  <w:tcBorders>
                    <w:tl2br w:val="nil"/>
                    <w:tr2bl w:val="nil"/>
                  </w:tcBorders>
                  <w:shd w:val="clear" w:color="auto" w:fill="auto"/>
                  <w:vAlign w:val="center"/>
                </w:tcPr>
                <w:p w14:paraId="242382D3">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监测频次</w:t>
                  </w:r>
                </w:p>
              </w:tc>
            </w:tr>
            <w:tr w14:paraId="64AF14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584" w:type="dxa"/>
                  <w:tcBorders>
                    <w:tl2br w:val="nil"/>
                    <w:tr2bl w:val="nil"/>
                  </w:tcBorders>
                  <w:shd w:val="clear" w:color="auto" w:fill="auto"/>
                  <w:vAlign w:val="center"/>
                </w:tcPr>
                <w:p w14:paraId="251E298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废水总排口</w:t>
                  </w:r>
                </w:p>
              </w:tc>
              <w:tc>
                <w:tcPr>
                  <w:tcW w:w="4812" w:type="dxa"/>
                  <w:tcBorders>
                    <w:tl2br w:val="nil"/>
                    <w:tr2bl w:val="nil"/>
                  </w:tcBorders>
                  <w:shd w:val="clear" w:color="auto" w:fill="auto"/>
                  <w:vAlign w:val="center"/>
                </w:tcPr>
                <w:p w14:paraId="112CAB1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rPr>
                    <w:t>流量、</w:t>
                  </w:r>
                  <w:r>
                    <w:rPr>
                      <w:rFonts w:hint="default" w:ascii="Times New Roman" w:hAnsi="Times New Roman" w:eastAsia="宋体"/>
                      <w:color w:val="auto"/>
                      <w:highlight w:val="none"/>
                      <w:lang w:val="en-US"/>
                    </w:rPr>
                    <w:t>pH</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COD</w:t>
                  </w:r>
                  <w:r>
                    <w:rPr>
                      <w:rFonts w:hint="eastAsia" w:ascii="Times New Roman" w:hAnsi="Times New Roman" w:eastAsia="宋体"/>
                      <w:color w:val="auto"/>
                      <w:highlight w:val="none"/>
                      <w:lang w:val="en-US"/>
                    </w:rPr>
                    <w:t>、</w:t>
                  </w:r>
                  <w:r>
                    <w:rPr>
                      <w:rFonts w:hint="eastAsia"/>
                      <w:color w:val="auto"/>
                      <w:highlight w:val="none"/>
                      <w:lang w:val="en-US" w:eastAsia="zh-CN"/>
                    </w:rPr>
                    <w:t>BOD</w:t>
                  </w:r>
                  <w:r>
                    <w:rPr>
                      <w:rFonts w:hint="eastAsia"/>
                      <w:color w:val="auto"/>
                      <w:highlight w:val="none"/>
                      <w:vertAlign w:val="subscript"/>
                      <w:lang w:val="en-US" w:eastAsia="zh-CN"/>
                    </w:rPr>
                    <w:t>5</w:t>
                  </w:r>
                  <w:r>
                    <w:rPr>
                      <w:rFonts w:hint="eastAsia"/>
                      <w:color w:val="auto"/>
                      <w:highlight w:val="none"/>
                      <w:lang w:val="en-US" w:eastAsia="zh-CN"/>
                    </w:rPr>
                    <w:t>、</w:t>
                  </w:r>
                  <w:r>
                    <w:rPr>
                      <w:rFonts w:hint="default" w:ascii="Times New Roman" w:hAnsi="Times New Roman" w:eastAsia="宋体"/>
                      <w:color w:val="auto"/>
                      <w:highlight w:val="none"/>
                      <w:lang w:val="en-US"/>
                    </w:rPr>
                    <w:t>SS</w:t>
                  </w:r>
                  <w:r>
                    <w:rPr>
                      <w:rFonts w:hint="eastAsia" w:ascii="Times New Roman" w:hAnsi="Times New Roman" w:eastAsia="宋体"/>
                      <w:color w:val="auto"/>
                      <w:highlight w:val="none"/>
                      <w:lang w:val="en-US"/>
                    </w:rPr>
                    <w:t>、氨氮、</w:t>
                  </w:r>
                  <w:r>
                    <w:rPr>
                      <w:rFonts w:hint="default" w:ascii="Times New Roman" w:hAnsi="Times New Roman" w:eastAsia="宋体"/>
                      <w:color w:val="auto"/>
                      <w:highlight w:val="none"/>
                      <w:lang w:val="en-US"/>
                    </w:rPr>
                    <w:t>TP</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TN</w:t>
                  </w:r>
                </w:p>
              </w:tc>
              <w:tc>
                <w:tcPr>
                  <w:tcW w:w="1410" w:type="dxa"/>
                  <w:tcBorders>
                    <w:tl2br w:val="nil"/>
                    <w:tr2bl w:val="nil"/>
                  </w:tcBorders>
                  <w:shd w:val="clear" w:color="auto" w:fill="auto"/>
                  <w:vAlign w:val="center"/>
                </w:tcPr>
                <w:p w14:paraId="79AC5E6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1</w:t>
                  </w:r>
                  <w:r>
                    <w:rPr>
                      <w:rFonts w:hint="eastAsia" w:ascii="Times New Roman" w:hAnsi="Times New Roman" w:eastAsia="宋体"/>
                      <w:color w:val="auto"/>
                      <w:highlight w:val="none"/>
                      <w:lang w:val="en-US"/>
                    </w:rPr>
                    <w:t>次</w:t>
                  </w:r>
                  <w:r>
                    <w:rPr>
                      <w:rFonts w:hint="default" w:ascii="Times New Roman" w:hAnsi="Times New Roman" w:eastAsia="宋体"/>
                      <w:color w:val="auto"/>
                      <w:highlight w:val="none"/>
                      <w:lang w:val="en-US"/>
                    </w:rPr>
                    <w:t>/</w:t>
                  </w:r>
                  <w:r>
                    <w:rPr>
                      <w:rFonts w:hint="eastAsia" w:ascii="Times New Roman" w:hAnsi="Times New Roman" w:eastAsia="宋体"/>
                      <w:color w:val="auto"/>
                      <w:highlight w:val="none"/>
                      <w:lang w:val="en-US"/>
                    </w:rPr>
                    <w:t>年</w:t>
                  </w:r>
                </w:p>
              </w:tc>
            </w:tr>
          </w:tbl>
          <w:p w14:paraId="2A2E68F1">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w:t>
            </w:r>
            <w:r>
              <w:rPr>
                <w:rFonts w:hint="eastAsia"/>
                <w:color w:val="auto"/>
                <w:highlight w:val="none"/>
                <w:lang w:val="en-US" w:eastAsia="zh-CN"/>
              </w:rPr>
              <w:t>6</w:t>
            </w:r>
            <w:r>
              <w:rPr>
                <w:rFonts w:hint="eastAsia" w:ascii="Times New Roman" w:hAnsi="Times New Roman" w:eastAsia="宋体"/>
                <w:color w:val="auto"/>
                <w:highlight w:val="none"/>
                <w:lang w:val="en-US"/>
              </w:rPr>
              <w:t>）结论</w:t>
            </w:r>
          </w:p>
          <w:p w14:paraId="517CB50D">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项目污水</w:t>
            </w:r>
            <w:r>
              <w:rPr>
                <w:rFonts w:hint="eastAsia"/>
                <w:color w:val="auto"/>
                <w:highlight w:val="none"/>
                <w:lang w:val="en-US" w:eastAsia="zh-CN"/>
              </w:rPr>
              <w:t>经南京娃哈哈饮料有限公司污水处理站预处理后满足空港污水处理厂接管水质要求，项目污水达标排放</w:t>
            </w:r>
            <w:r>
              <w:rPr>
                <w:rFonts w:hint="eastAsia" w:ascii="Times New Roman" w:hAnsi="Times New Roman" w:eastAsia="宋体"/>
                <w:color w:val="auto"/>
                <w:highlight w:val="none"/>
                <w:lang w:val="en-US"/>
              </w:rPr>
              <w:t>，不会对污水处理厂运行产生冲击负荷，目前污水处理厂有足够的能力接纳本项目废水。综上所述，本项目的污水得到合理处置，对受纳水体</w:t>
            </w:r>
            <w:r>
              <w:rPr>
                <w:rFonts w:hint="eastAsia" w:ascii="Times New Roman" w:hAnsi="Times New Roman" w:eastAsia="宋体"/>
                <w:color w:val="auto"/>
                <w:highlight w:val="none"/>
                <w:lang w:val="en-US" w:eastAsia="zh-CN"/>
              </w:rPr>
              <w:t>秦淮河</w:t>
            </w:r>
            <w:r>
              <w:rPr>
                <w:rFonts w:hint="eastAsia" w:ascii="Times New Roman" w:hAnsi="Times New Roman" w:eastAsia="宋体"/>
                <w:color w:val="auto"/>
                <w:highlight w:val="none"/>
                <w:lang w:val="en-US"/>
              </w:rPr>
              <w:t>影响较小，不会改变其水环境功能级别，水质功能可维持现状。</w:t>
            </w:r>
          </w:p>
          <w:p w14:paraId="383A82D9">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3、噪声</w:t>
            </w:r>
          </w:p>
          <w:p w14:paraId="37BA917B">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（1）噪声源及降噪情况</w:t>
            </w:r>
          </w:p>
          <w:p w14:paraId="0B6BDC9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建设项目高噪声设备为</w:t>
            </w:r>
            <w:r>
              <w:rPr>
                <w:rFonts w:hint="eastAsia" w:ascii="Times New Roman" w:hAnsi="Times New Roman" w:eastAsia="宋体"/>
                <w:color w:val="auto"/>
                <w:kern w:val="0"/>
                <w:sz w:val="24"/>
                <w:highlight w:val="none"/>
              </w:rPr>
              <w:t>吹瓶机</w:t>
            </w:r>
            <w:r>
              <w:rPr>
                <w:rFonts w:hint="eastAsia"/>
                <w:color w:val="auto"/>
                <w:kern w:val="0"/>
                <w:sz w:val="24"/>
                <w:highlight w:val="none"/>
                <w:lang w:eastAsia="zh-CN"/>
              </w:rPr>
              <w:t>、</w:t>
            </w:r>
            <w:r>
              <w:rPr>
                <w:rFonts w:hint="eastAsia" w:ascii="Times New Roman" w:hAnsi="Times New Roman" w:eastAsia="宋体"/>
                <w:color w:val="auto"/>
                <w:kern w:val="0"/>
                <w:sz w:val="24"/>
                <w:highlight w:val="none"/>
              </w:rPr>
              <w:t>灌旋一体机</w:t>
            </w:r>
            <w:r>
              <w:rPr>
                <w:rFonts w:hint="eastAsia" w:ascii="Times New Roman" w:hAnsi="Times New Roman" w:eastAsia="宋体"/>
                <w:color w:val="auto"/>
                <w:highlight w:val="none"/>
                <w:lang w:val="en-US" w:eastAsia="zh-CN"/>
              </w:rPr>
              <w:t>、冷水机组</w:t>
            </w:r>
            <w:r>
              <w:rPr>
                <w:rFonts w:hint="eastAsia"/>
                <w:color w:val="auto"/>
                <w:highlight w:val="none"/>
                <w:lang w:val="en-US" w:eastAsia="zh-CN"/>
              </w:rPr>
              <w:t>、</w:t>
            </w:r>
            <w:r>
              <w:rPr>
                <w:rFonts w:hint="eastAsia" w:ascii="Times New Roman" w:hAnsi="Times New Roman" w:eastAsia="宋体"/>
                <w:color w:val="auto"/>
                <w:highlight w:val="none"/>
                <w:lang w:val="en-US" w:eastAsia="zh-CN"/>
              </w:rPr>
              <w:t>冷却水泵</w:t>
            </w:r>
            <w:r>
              <w:rPr>
                <w:rFonts w:hint="eastAsia"/>
                <w:color w:val="auto"/>
                <w:highlight w:val="none"/>
                <w:lang w:val="en-US" w:eastAsia="zh-CN"/>
              </w:rPr>
              <w:t>、废气处理风机</w:t>
            </w:r>
            <w:r>
              <w:rPr>
                <w:rFonts w:hint="eastAsia" w:ascii="Times New Roman" w:hAnsi="Times New Roman" w:eastAsia="宋体"/>
                <w:color w:val="auto"/>
                <w:highlight w:val="none"/>
                <w:lang w:val="en-US" w:eastAsia="zh-CN"/>
              </w:rPr>
              <w:t>等机械设备</w:t>
            </w:r>
            <w:r>
              <w:rPr>
                <w:rFonts w:hint="default" w:ascii="Times New Roman" w:hAnsi="Times New Roman" w:eastAsia="宋体"/>
                <w:color w:val="auto"/>
                <w:highlight w:val="none"/>
                <w:lang w:val="en-US"/>
              </w:rPr>
              <w:t>，噪声级</w:t>
            </w:r>
            <w:r>
              <w:rPr>
                <w:rFonts w:hint="eastAsia" w:ascii="Times New Roman" w:hAnsi="Times New Roman" w:eastAsia="宋体"/>
                <w:color w:val="auto"/>
                <w:highlight w:val="none"/>
                <w:lang w:val="en-US" w:eastAsia="zh-CN"/>
              </w:rPr>
              <w:t>75</w:t>
            </w:r>
            <w:r>
              <w:rPr>
                <w:rFonts w:hint="default" w:ascii="Times New Roman" w:hAnsi="Times New Roman" w:eastAsia="宋体"/>
                <w:color w:val="auto"/>
                <w:highlight w:val="none"/>
                <w:lang w:val="en-US"/>
              </w:rPr>
              <w:t>～</w:t>
            </w:r>
            <w:r>
              <w:rPr>
                <w:rFonts w:hint="eastAsia" w:ascii="Times New Roman" w:hAnsi="Times New Roman" w:eastAsia="宋体"/>
                <w:color w:val="auto"/>
                <w:highlight w:val="none"/>
                <w:lang w:val="en-US" w:eastAsia="zh-CN"/>
              </w:rPr>
              <w:t>85</w:t>
            </w:r>
            <w:r>
              <w:rPr>
                <w:rFonts w:hint="default" w:ascii="Times New Roman" w:hAnsi="Times New Roman" w:eastAsia="宋体"/>
                <w:color w:val="auto"/>
                <w:highlight w:val="none"/>
                <w:lang w:val="en-US"/>
              </w:rPr>
              <w:t>dB(A)。建设项目高噪声设备情况见下表：</w:t>
            </w:r>
          </w:p>
          <w:p w14:paraId="4A402F93">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表4-</w:t>
            </w:r>
            <w:r>
              <w:rPr>
                <w:rFonts w:hint="eastAsia" w:ascii="Times New Roman" w:hAnsi="Times New Roman" w:eastAsia="宋体"/>
                <w:color w:val="auto"/>
                <w:highlight w:val="none"/>
                <w:lang w:val="en-US" w:eastAsia="zh-CN"/>
              </w:rPr>
              <w:t>1</w:t>
            </w:r>
            <w:r>
              <w:rPr>
                <w:rFonts w:hint="eastAsia"/>
                <w:color w:val="auto"/>
                <w:highlight w:val="none"/>
                <w:lang w:val="en-US" w:eastAsia="zh-CN"/>
              </w:rPr>
              <w:t>4</w:t>
            </w:r>
            <w:r>
              <w:rPr>
                <w:rFonts w:hint="default" w:ascii="Times New Roman" w:hAnsi="Times New Roman" w:eastAsia="宋体"/>
                <w:color w:val="auto"/>
                <w:highlight w:val="none"/>
              </w:rPr>
              <w:t>工业企业噪声源强调查清单（室</w:t>
            </w:r>
            <w:r>
              <w:rPr>
                <w:rFonts w:hint="eastAsia" w:ascii="Times New Roman" w:hAnsi="Times New Roman" w:eastAsia="宋体"/>
                <w:color w:val="auto"/>
                <w:highlight w:val="none"/>
                <w:lang w:val="en-US" w:eastAsia="zh-CN"/>
              </w:rPr>
              <w:t>外</w:t>
            </w:r>
            <w:r>
              <w:rPr>
                <w:rFonts w:hint="default" w:ascii="Times New Roman" w:hAnsi="Times New Roman" w:eastAsia="宋体"/>
                <w:color w:val="auto"/>
                <w:highlight w:val="none"/>
              </w:rPr>
              <w:t>声源）</w:t>
            </w:r>
          </w:p>
          <w:tbl>
            <w:tblPr>
              <w:tblStyle w:val="16"/>
              <w:tblW w:w="789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302"/>
              <w:gridCol w:w="1299"/>
              <w:gridCol w:w="995"/>
              <w:gridCol w:w="543"/>
              <w:gridCol w:w="630"/>
              <w:gridCol w:w="491"/>
              <w:gridCol w:w="1274"/>
              <w:gridCol w:w="1418"/>
              <w:gridCol w:w="938"/>
            </w:tblGrid>
            <w:tr w14:paraId="66C0F8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02" w:type="dxa"/>
                  <w:vMerge w:val="restart"/>
                  <w:tcBorders>
                    <w:tl2br w:val="nil"/>
                    <w:tr2bl w:val="nil"/>
                  </w:tcBorders>
                  <w:shd w:val="clear" w:color="auto" w:fill="auto"/>
                  <w:noWrap/>
                  <w:vAlign w:val="center"/>
                </w:tcPr>
                <w:p w14:paraId="3B565250">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b/>
                      <w:bCs/>
                      <w:color w:val="auto"/>
                      <w:highlight w:val="none"/>
                    </w:rPr>
                  </w:pPr>
                  <w:r>
                    <w:rPr>
                      <w:rFonts w:hint="eastAsia" w:ascii="Times New Roman" w:hAnsi="Times New Roman" w:eastAsia="宋体"/>
                      <w:b/>
                      <w:bCs/>
                      <w:color w:val="auto"/>
                      <w:highlight w:val="none"/>
                      <w:lang w:val="en-US" w:eastAsia="zh-CN"/>
                    </w:rPr>
                    <w:t>序号</w:t>
                  </w:r>
                </w:p>
              </w:tc>
              <w:tc>
                <w:tcPr>
                  <w:tcW w:w="1299" w:type="dxa"/>
                  <w:vMerge w:val="restart"/>
                  <w:tcBorders>
                    <w:tl2br w:val="nil"/>
                    <w:tr2bl w:val="nil"/>
                  </w:tcBorders>
                  <w:shd w:val="clear" w:color="auto" w:fill="auto"/>
                  <w:noWrap/>
                  <w:vAlign w:val="center"/>
                </w:tcPr>
                <w:p w14:paraId="50298D90">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b/>
                      <w:bCs/>
                      <w:color w:val="auto"/>
                      <w:highlight w:val="none"/>
                    </w:rPr>
                  </w:pPr>
                  <w:r>
                    <w:rPr>
                      <w:rFonts w:hint="eastAsia" w:ascii="Times New Roman" w:hAnsi="Times New Roman" w:eastAsia="宋体"/>
                      <w:b/>
                      <w:bCs/>
                      <w:color w:val="auto"/>
                      <w:highlight w:val="none"/>
                      <w:lang w:val="en-US" w:eastAsia="zh-CN"/>
                    </w:rPr>
                    <w:t>声源名称</w:t>
                  </w:r>
                </w:p>
              </w:tc>
              <w:tc>
                <w:tcPr>
                  <w:tcW w:w="995" w:type="dxa"/>
                  <w:vMerge w:val="restart"/>
                  <w:tcBorders>
                    <w:tl2br w:val="nil"/>
                    <w:tr2bl w:val="nil"/>
                  </w:tcBorders>
                  <w:shd w:val="clear" w:color="auto" w:fill="auto"/>
                  <w:noWrap/>
                  <w:vAlign w:val="center"/>
                </w:tcPr>
                <w:p w14:paraId="27152CE7">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b/>
                      <w:bCs/>
                      <w:color w:val="auto"/>
                      <w:highlight w:val="none"/>
                    </w:rPr>
                  </w:pPr>
                  <w:r>
                    <w:rPr>
                      <w:rFonts w:hint="eastAsia" w:ascii="Times New Roman" w:hAnsi="Times New Roman" w:eastAsia="宋体"/>
                      <w:b/>
                      <w:bCs/>
                      <w:color w:val="auto"/>
                      <w:highlight w:val="none"/>
                      <w:lang w:val="en-US" w:eastAsia="zh-CN"/>
                    </w:rPr>
                    <w:t>型号</w:t>
                  </w:r>
                </w:p>
              </w:tc>
              <w:tc>
                <w:tcPr>
                  <w:tcW w:w="1664" w:type="dxa"/>
                  <w:gridSpan w:val="3"/>
                  <w:tcBorders>
                    <w:tl2br w:val="nil"/>
                    <w:tr2bl w:val="nil"/>
                  </w:tcBorders>
                  <w:shd w:val="clear" w:color="auto" w:fill="auto"/>
                  <w:noWrap/>
                  <w:vAlign w:val="center"/>
                </w:tcPr>
                <w:p w14:paraId="708860C2">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b/>
                      <w:bCs/>
                      <w:color w:val="auto"/>
                      <w:highlight w:val="none"/>
                    </w:rPr>
                  </w:pPr>
                  <w:r>
                    <w:rPr>
                      <w:rFonts w:hint="eastAsia" w:ascii="Times New Roman" w:hAnsi="Times New Roman" w:eastAsia="宋体"/>
                      <w:b/>
                      <w:bCs/>
                      <w:color w:val="auto"/>
                      <w:highlight w:val="none"/>
                      <w:lang w:val="en-US" w:eastAsia="zh-CN"/>
                    </w:rPr>
                    <w:t>空间相对位置/m</w:t>
                  </w:r>
                </w:p>
              </w:tc>
              <w:tc>
                <w:tcPr>
                  <w:tcW w:w="1274" w:type="dxa"/>
                  <w:vMerge w:val="restart"/>
                  <w:tcBorders>
                    <w:tl2br w:val="nil"/>
                    <w:tr2bl w:val="nil"/>
                  </w:tcBorders>
                  <w:shd w:val="clear" w:color="auto" w:fill="auto"/>
                  <w:vAlign w:val="center"/>
                </w:tcPr>
                <w:p w14:paraId="4E9A0667">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b/>
                      <w:bCs/>
                      <w:color w:val="auto"/>
                      <w:highlight w:val="none"/>
                    </w:rPr>
                  </w:pPr>
                  <w:r>
                    <w:rPr>
                      <w:rFonts w:hint="eastAsia" w:ascii="Times New Roman" w:hAnsi="Times New Roman" w:eastAsia="宋体"/>
                      <w:b/>
                      <w:bCs/>
                      <w:color w:val="auto"/>
                      <w:highlight w:val="none"/>
                      <w:lang w:val="en-US" w:eastAsia="zh-CN"/>
                    </w:rPr>
                    <w:t>声源源强（声功率级/dB(A)</w:t>
                  </w:r>
                </w:p>
              </w:tc>
              <w:tc>
                <w:tcPr>
                  <w:tcW w:w="1418" w:type="dxa"/>
                  <w:vMerge w:val="restart"/>
                  <w:tcBorders>
                    <w:tl2br w:val="nil"/>
                    <w:tr2bl w:val="nil"/>
                  </w:tcBorders>
                  <w:shd w:val="clear" w:color="auto" w:fill="auto"/>
                  <w:noWrap/>
                  <w:vAlign w:val="center"/>
                </w:tcPr>
                <w:p w14:paraId="7A790D14">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b/>
                      <w:bCs/>
                      <w:color w:val="auto"/>
                      <w:highlight w:val="none"/>
                    </w:rPr>
                  </w:pPr>
                  <w:r>
                    <w:rPr>
                      <w:rFonts w:hint="eastAsia" w:ascii="Times New Roman" w:hAnsi="Times New Roman" w:eastAsia="宋体"/>
                      <w:b/>
                      <w:bCs/>
                      <w:color w:val="auto"/>
                      <w:highlight w:val="none"/>
                      <w:lang w:val="en-US" w:eastAsia="zh-CN"/>
                    </w:rPr>
                    <w:t>声源控制措施</w:t>
                  </w:r>
                </w:p>
              </w:tc>
              <w:tc>
                <w:tcPr>
                  <w:tcW w:w="938" w:type="dxa"/>
                  <w:vMerge w:val="restart"/>
                  <w:tcBorders>
                    <w:tl2br w:val="nil"/>
                    <w:tr2bl w:val="nil"/>
                  </w:tcBorders>
                  <w:shd w:val="clear" w:color="auto" w:fill="auto"/>
                  <w:noWrap/>
                  <w:vAlign w:val="center"/>
                </w:tcPr>
                <w:p w14:paraId="500DDAAD">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b/>
                      <w:bCs/>
                      <w:color w:val="auto"/>
                      <w:highlight w:val="none"/>
                    </w:rPr>
                  </w:pPr>
                  <w:r>
                    <w:rPr>
                      <w:rFonts w:hint="eastAsia" w:ascii="Times New Roman" w:hAnsi="Times New Roman" w:eastAsia="宋体"/>
                      <w:b/>
                      <w:bCs/>
                      <w:color w:val="auto"/>
                      <w:highlight w:val="none"/>
                      <w:lang w:val="en-US" w:eastAsia="zh-CN"/>
                    </w:rPr>
                    <w:t>运行时段</w:t>
                  </w:r>
                </w:p>
              </w:tc>
            </w:tr>
            <w:tr w14:paraId="3E8046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02" w:type="dxa"/>
                  <w:vMerge w:val="continue"/>
                  <w:tcBorders>
                    <w:tl2br w:val="nil"/>
                    <w:tr2bl w:val="nil"/>
                  </w:tcBorders>
                  <w:shd w:val="clear" w:color="auto" w:fill="auto"/>
                  <w:noWrap/>
                  <w:vAlign w:val="center"/>
                </w:tcPr>
                <w:p w14:paraId="7ABFA22A">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color w:val="auto"/>
                      <w:highlight w:val="none"/>
                    </w:rPr>
                  </w:pPr>
                </w:p>
              </w:tc>
              <w:tc>
                <w:tcPr>
                  <w:tcW w:w="1299" w:type="dxa"/>
                  <w:vMerge w:val="continue"/>
                  <w:tcBorders>
                    <w:tl2br w:val="nil"/>
                    <w:tr2bl w:val="nil"/>
                  </w:tcBorders>
                  <w:shd w:val="clear" w:color="auto" w:fill="auto"/>
                  <w:noWrap/>
                  <w:vAlign w:val="center"/>
                </w:tcPr>
                <w:p w14:paraId="4D62A8C1">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color w:val="auto"/>
                      <w:highlight w:val="none"/>
                    </w:rPr>
                  </w:pPr>
                </w:p>
              </w:tc>
              <w:tc>
                <w:tcPr>
                  <w:tcW w:w="995" w:type="dxa"/>
                  <w:vMerge w:val="continue"/>
                  <w:tcBorders>
                    <w:tl2br w:val="nil"/>
                    <w:tr2bl w:val="nil"/>
                  </w:tcBorders>
                  <w:shd w:val="clear" w:color="auto" w:fill="auto"/>
                  <w:noWrap/>
                  <w:vAlign w:val="center"/>
                </w:tcPr>
                <w:p w14:paraId="5DC793F3">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color w:val="auto"/>
                      <w:highlight w:val="none"/>
                    </w:rPr>
                  </w:pPr>
                </w:p>
              </w:tc>
              <w:tc>
                <w:tcPr>
                  <w:tcW w:w="543" w:type="dxa"/>
                  <w:tcBorders>
                    <w:tl2br w:val="nil"/>
                    <w:tr2bl w:val="nil"/>
                  </w:tcBorders>
                  <w:shd w:val="clear" w:color="auto" w:fill="auto"/>
                  <w:noWrap/>
                  <w:vAlign w:val="center"/>
                </w:tcPr>
                <w:p w14:paraId="3A8671E9">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b/>
                      <w:bCs/>
                      <w:color w:val="auto"/>
                      <w:highlight w:val="none"/>
                    </w:rPr>
                  </w:pPr>
                  <w:r>
                    <w:rPr>
                      <w:rFonts w:hint="eastAsia" w:ascii="Times New Roman" w:hAnsi="Times New Roman" w:eastAsia="宋体"/>
                      <w:b/>
                      <w:bCs/>
                      <w:color w:val="auto"/>
                      <w:highlight w:val="none"/>
                      <w:lang w:val="en-US" w:eastAsia="zh-CN"/>
                    </w:rPr>
                    <w:t>X</w:t>
                  </w:r>
                </w:p>
              </w:tc>
              <w:tc>
                <w:tcPr>
                  <w:tcW w:w="630" w:type="dxa"/>
                  <w:tcBorders>
                    <w:tl2br w:val="nil"/>
                    <w:tr2bl w:val="nil"/>
                  </w:tcBorders>
                  <w:shd w:val="clear" w:color="auto" w:fill="auto"/>
                  <w:noWrap/>
                  <w:vAlign w:val="center"/>
                </w:tcPr>
                <w:p w14:paraId="7EB37EF6">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b/>
                      <w:bCs/>
                      <w:color w:val="auto"/>
                      <w:highlight w:val="none"/>
                    </w:rPr>
                  </w:pPr>
                  <w:r>
                    <w:rPr>
                      <w:rFonts w:hint="eastAsia" w:ascii="Times New Roman" w:hAnsi="Times New Roman" w:eastAsia="宋体"/>
                      <w:b/>
                      <w:bCs/>
                      <w:color w:val="auto"/>
                      <w:highlight w:val="none"/>
                      <w:lang w:val="en-US" w:eastAsia="zh-CN"/>
                    </w:rPr>
                    <w:t>Y</w:t>
                  </w:r>
                </w:p>
              </w:tc>
              <w:tc>
                <w:tcPr>
                  <w:tcW w:w="491" w:type="dxa"/>
                  <w:tcBorders>
                    <w:tl2br w:val="nil"/>
                    <w:tr2bl w:val="nil"/>
                  </w:tcBorders>
                  <w:shd w:val="clear" w:color="auto" w:fill="auto"/>
                  <w:noWrap/>
                  <w:vAlign w:val="center"/>
                </w:tcPr>
                <w:p w14:paraId="7F75FDDE">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b/>
                      <w:bCs/>
                      <w:color w:val="auto"/>
                      <w:highlight w:val="none"/>
                    </w:rPr>
                  </w:pPr>
                  <w:r>
                    <w:rPr>
                      <w:rFonts w:hint="eastAsia" w:ascii="Times New Roman" w:hAnsi="Times New Roman" w:eastAsia="宋体"/>
                      <w:b/>
                      <w:bCs/>
                      <w:color w:val="auto"/>
                      <w:highlight w:val="none"/>
                      <w:lang w:val="en-US" w:eastAsia="zh-CN"/>
                    </w:rPr>
                    <w:t>Z</w:t>
                  </w:r>
                </w:p>
              </w:tc>
              <w:tc>
                <w:tcPr>
                  <w:tcW w:w="1274" w:type="dxa"/>
                  <w:vMerge w:val="continue"/>
                  <w:tcBorders>
                    <w:tl2br w:val="nil"/>
                    <w:tr2bl w:val="nil"/>
                  </w:tcBorders>
                  <w:shd w:val="clear" w:color="auto" w:fill="auto"/>
                  <w:vAlign w:val="center"/>
                </w:tcPr>
                <w:p w14:paraId="5F18DE79">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color w:val="auto"/>
                      <w:highlight w:val="none"/>
                    </w:rPr>
                  </w:pPr>
                </w:p>
              </w:tc>
              <w:tc>
                <w:tcPr>
                  <w:tcW w:w="1418" w:type="dxa"/>
                  <w:vMerge w:val="continue"/>
                  <w:tcBorders>
                    <w:tl2br w:val="nil"/>
                    <w:tr2bl w:val="nil"/>
                  </w:tcBorders>
                  <w:shd w:val="clear" w:color="auto" w:fill="auto"/>
                  <w:noWrap/>
                  <w:vAlign w:val="center"/>
                </w:tcPr>
                <w:p w14:paraId="4B067476">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color w:val="auto"/>
                      <w:highlight w:val="none"/>
                    </w:rPr>
                  </w:pPr>
                </w:p>
              </w:tc>
              <w:tc>
                <w:tcPr>
                  <w:tcW w:w="938" w:type="dxa"/>
                  <w:vMerge w:val="continue"/>
                  <w:tcBorders>
                    <w:tl2br w:val="nil"/>
                    <w:tr2bl w:val="nil"/>
                  </w:tcBorders>
                  <w:shd w:val="clear" w:color="auto" w:fill="auto"/>
                  <w:noWrap/>
                  <w:vAlign w:val="center"/>
                </w:tcPr>
                <w:p w14:paraId="5194BBF9">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color w:val="auto"/>
                      <w:highlight w:val="none"/>
                    </w:rPr>
                  </w:pPr>
                </w:p>
              </w:tc>
            </w:tr>
            <w:tr w14:paraId="4BE973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PrEx>
              <w:trPr>
                <w:trHeight w:val="340" w:hRule="atLeast"/>
                <w:jc w:val="center"/>
              </w:trPr>
              <w:tc>
                <w:tcPr>
                  <w:tcW w:w="302" w:type="dxa"/>
                  <w:tcBorders>
                    <w:tl2br w:val="nil"/>
                    <w:tr2bl w:val="nil"/>
                  </w:tcBorders>
                  <w:shd w:val="clear" w:color="auto" w:fill="auto"/>
                  <w:noWrap/>
                  <w:vAlign w:val="center"/>
                </w:tcPr>
                <w:p w14:paraId="15E67960">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color w:val="auto"/>
                      <w:highlight w:val="none"/>
                    </w:rPr>
                  </w:pPr>
                  <w:r>
                    <w:rPr>
                      <w:rFonts w:hint="eastAsia" w:ascii="Times New Roman" w:hAnsi="Times New Roman" w:eastAsia="宋体"/>
                      <w:color w:val="auto"/>
                      <w:highlight w:val="none"/>
                      <w:lang w:val="en-US" w:eastAsia="zh-CN"/>
                    </w:rPr>
                    <w:t>1</w:t>
                  </w:r>
                </w:p>
              </w:tc>
              <w:tc>
                <w:tcPr>
                  <w:tcW w:w="1299" w:type="dxa"/>
                  <w:tcBorders>
                    <w:tl2br w:val="nil"/>
                    <w:tr2bl w:val="nil"/>
                  </w:tcBorders>
                  <w:shd w:val="clear" w:color="auto" w:fill="FFFFFF"/>
                  <w:noWrap/>
                  <w:vAlign w:val="center"/>
                </w:tcPr>
                <w:p w14:paraId="344A28BC">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冷却塔2</w:t>
                  </w:r>
                </w:p>
              </w:tc>
              <w:tc>
                <w:tcPr>
                  <w:tcW w:w="995" w:type="dxa"/>
                  <w:tcBorders>
                    <w:tl2br w:val="nil"/>
                    <w:tr2bl w:val="nil"/>
                  </w:tcBorders>
                  <w:shd w:val="clear" w:color="auto" w:fill="FFFFFF"/>
                  <w:noWrap/>
                  <w:vAlign w:val="center"/>
                </w:tcPr>
                <w:p w14:paraId="2FBA1BFE">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w:t>
                  </w:r>
                </w:p>
              </w:tc>
              <w:tc>
                <w:tcPr>
                  <w:tcW w:w="543" w:type="dxa"/>
                  <w:tcBorders>
                    <w:tl2br w:val="nil"/>
                    <w:tr2bl w:val="nil"/>
                  </w:tcBorders>
                  <w:shd w:val="clear" w:color="auto" w:fill="FFFFFF"/>
                  <w:noWrap/>
                  <w:vAlign w:val="center"/>
                </w:tcPr>
                <w:p w14:paraId="44E88561">
                  <w:pPr>
                    <w:pStyle w:val="21"/>
                    <w:keepNext w:val="0"/>
                    <w:keepLines w:val="0"/>
                    <w:suppressLineNumbers w:val="0"/>
                    <w:bidi w:val="0"/>
                    <w:spacing w:before="0" w:beforeAutospacing="0" w:after="0" w:afterAutospacing="0"/>
                    <w:ind w:left="0" w:right="0"/>
                    <w:rPr>
                      <w:rFonts w:hint="eastAsia"/>
                      <w:color w:val="auto"/>
                      <w:lang w:val="zh-CN" w:eastAsia="zh-CN"/>
                    </w:rPr>
                  </w:pPr>
                  <w:r>
                    <w:rPr>
                      <w:rFonts w:hint="eastAsia"/>
                      <w:color w:val="auto"/>
                      <w:lang w:val="en-US" w:eastAsia="zh-CN"/>
                    </w:rPr>
                    <w:t>34</w:t>
                  </w:r>
                </w:p>
              </w:tc>
              <w:tc>
                <w:tcPr>
                  <w:tcW w:w="630" w:type="dxa"/>
                  <w:tcBorders>
                    <w:tl2br w:val="nil"/>
                    <w:tr2bl w:val="nil"/>
                  </w:tcBorders>
                  <w:shd w:val="clear" w:color="auto" w:fill="FFFFFF"/>
                  <w:noWrap/>
                  <w:vAlign w:val="center"/>
                </w:tcPr>
                <w:p w14:paraId="0334797D">
                  <w:pPr>
                    <w:pStyle w:val="21"/>
                    <w:keepNext w:val="0"/>
                    <w:keepLines w:val="0"/>
                    <w:suppressLineNumbers w:val="0"/>
                    <w:bidi w:val="0"/>
                    <w:spacing w:before="0" w:beforeAutospacing="0" w:after="0" w:afterAutospacing="0"/>
                    <w:ind w:left="0" w:right="0"/>
                    <w:rPr>
                      <w:rFonts w:hint="eastAsia"/>
                      <w:color w:val="auto"/>
                      <w:lang w:val="zh-CN" w:eastAsia="zh-CN"/>
                    </w:rPr>
                  </w:pPr>
                  <w:r>
                    <w:rPr>
                      <w:rFonts w:hint="eastAsia"/>
                      <w:color w:val="auto"/>
                      <w:lang w:val="en-US" w:eastAsia="zh-CN"/>
                    </w:rPr>
                    <w:t>-2</w:t>
                  </w:r>
                </w:p>
              </w:tc>
              <w:tc>
                <w:tcPr>
                  <w:tcW w:w="491" w:type="dxa"/>
                  <w:tcBorders>
                    <w:tl2br w:val="nil"/>
                    <w:tr2bl w:val="nil"/>
                  </w:tcBorders>
                  <w:shd w:val="clear" w:color="auto" w:fill="FFFFFF"/>
                  <w:noWrap/>
                  <w:vAlign w:val="center"/>
                </w:tcPr>
                <w:p w14:paraId="556B18E7">
                  <w:pPr>
                    <w:pStyle w:val="21"/>
                    <w:keepNext w:val="0"/>
                    <w:keepLines w:val="0"/>
                    <w:suppressLineNumbers w:val="0"/>
                    <w:bidi w:val="0"/>
                    <w:spacing w:before="0" w:beforeAutospacing="0" w:after="0" w:afterAutospacing="0"/>
                    <w:ind w:left="0" w:right="0"/>
                    <w:rPr>
                      <w:rFonts w:hint="eastAsia"/>
                      <w:color w:val="auto"/>
                      <w:lang w:val="zh-CN" w:eastAsia="zh-CN"/>
                    </w:rPr>
                  </w:pPr>
                  <w:r>
                    <w:rPr>
                      <w:rFonts w:hint="eastAsia"/>
                      <w:color w:val="auto"/>
                      <w:lang w:val="en-US" w:eastAsia="zh-CN"/>
                    </w:rPr>
                    <w:t>1</w:t>
                  </w:r>
                </w:p>
              </w:tc>
              <w:tc>
                <w:tcPr>
                  <w:tcW w:w="1274" w:type="dxa"/>
                  <w:tcBorders>
                    <w:tl2br w:val="nil"/>
                    <w:tr2bl w:val="nil"/>
                  </w:tcBorders>
                  <w:shd w:val="clear" w:color="auto" w:fill="FFFFFF"/>
                  <w:noWrap/>
                  <w:vAlign w:val="center"/>
                </w:tcPr>
                <w:p w14:paraId="6CDD0E85">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80/1</w:t>
                  </w:r>
                </w:p>
              </w:tc>
              <w:tc>
                <w:tcPr>
                  <w:tcW w:w="1418" w:type="dxa"/>
                  <w:vMerge w:val="restart"/>
                  <w:tcBorders>
                    <w:tl2br w:val="nil"/>
                    <w:tr2bl w:val="nil"/>
                  </w:tcBorders>
                  <w:shd w:val="clear" w:color="auto" w:fill="auto"/>
                  <w:noWrap/>
                  <w:vAlign w:val="center"/>
                </w:tcPr>
                <w:p w14:paraId="0C2860B3">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安装建筑底座</w:t>
                  </w:r>
                  <w:r>
                    <w:rPr>
                      <w:rFonts w:hint="eastAsia"/>
                      <w:color w:val="auto"/>
                      <w:highlight w:val="none"/>
                      <w:lang w:val="en-US" w:eastAsia="zh-CN"/>
                    </w:rPr>
                    <w:t>，风机进出风口设置消声器</w:t>
                  </w:r>
                </w:p>
              </w:tc>
              <w:tc>
                <w:tcPr>
                  <w:tcW w:w="938" w:type="dxa"/>
                  <w:vMerge w:val="restart"/>
                  <w:tcBorders>
                    <w:tl2br w:val="nil"/>
                    <w:tr2bl w:val="nil"/>
                  </w:tcBorders>
                  <w:shd w:val="clear" w:color="auto" w:fill="auto"/>
                  <w:noWrap/>
                  <w:vAlign w:val="center"/>
                </w:tcPr>
                <w:p w14:paraId="5C941552">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color w:val="auto"/>
                      <w:highlight w:val="none"/>
                    </w:rPr>
                  </w:pPr>
                  <w:r>
                    <w:rPr>
                      <w:rFonts w:hint="eastAsia"/>
                      <w:color w:val="auto"/>
                      <w:highlight w:val="none"/>
                      <w:lang w:val="en-US" w:eastAsia="zh-CN"/>
                    </w:rPr>
                    <w:t>昼间+夜间</w:t>
                  </w:r>
                </w:p>
              </w:tc>
            </w:tr>
            <w:tr w14:paraId="45AAF5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02" w:type="dxa"/>
                  <w:tcBorders>
                    <w:tl2br w:val="nil"/>
                    <w:tr2bl w:val="nil"/>
                  </w:tcBorders>
                  <w:shd w:val="clear" w:color="auto" w:fill="auto"/>
                  <w:noWrap/>
                  <w:vAlign w:val="center"/>
                </w:tcPr>
                <w:p w14:paraId="689069F3">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default" w:ascii="Times New Roman" w:hAnsi="Times New Roman" w:eastAsia="宋体"/>
                      <w:color w:val="auto"/>
                      <w:highlight w:val="none"/>
                      <w:lang w:val="en-US" w:eastAsia="zh-CN"/>
                    </w:rPr>
                  </w:pPr>
                  <w:r>
                    <w:rPr>
                      <w:rFonts w:hint="eastAsia"/>
                      <w:color w:val="auto"/>
                      <w:highlight w:val="none"/>
                      <w:lang w:val="en-US" w:eastAsia="zh-CN"/>
                    </w:rPr>
                    <w:t>2</w:t>
                  </w:r>
                </w:p>
              </w:tc>
              <w:tc>
                <w:tcPr>
                  <w:tcW w:w="1299" w:type="dxa"/>
                  <w:tcBorders>
                    <w:tl2br w:val="nil"/>
                    <w:tr2bl w:val="nil"/>
                  </w:tcBorders>
                  <w:shd w:val="clear" w:color="auto" w:fill="auto"/>
                  <w:noWrap/>
                  <w:vAlign w:val="center"/>
                </w:tcPr>
                <w:p w14:paraId="1117F7EC">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冷却水泵</w:t>
                  </w:r>
                </w:p>
              </w:tc>
              <w:tc>
                <w:tcPr>
                  <w:tcW w:w="995" w:type="dxa"/>
                  <w:tcBorders>
                    <w:tl2br w:val="nil"/>
                    <w:tr2bl w:val="nil"/>
                  </w:tcBorders>
                  <w:shd w:val="clear" w:color="auto" w:fill="auto"/>
                  <w:noWrap/>
                  <w:vAlign w:val="center"/>
                </w:tcPr>
                <w:p w14:paraId="056DBF44">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w:t>
                  </w:r>
                </w:p>
              </w:tc>
              <w:tc>
                <w:tcPr>
                  <w:tcW w:w="543" w:type="dxa"/>
                  <w:tcBorders>
                    <w:tl2br w:val="nil"/>
                    <w:tr2bl w:val="nil"/>
                  </w:tcBorders>
                  <w:shd w:val="clear" w:color="auto" w:fill="FFFFFF"/>
                  <w:noWrap/>
                  <w:vAlign w:val="center"/>
                </w:tcPr>
                <w:p w14:paraId="4E7ECA98">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9</w:t>
                  </w:r>
                </w:p>
              </w:tc>
              <w:tc>
                <w:tcPr>
                  <w:tcW w:w="630" w:type="dxa"/>
                  <w:tcBorders>
                    <w:tl2br w:val="nil"/>
                    <w:tr2bl w:val="nil"/>
                  </w:tcBorders>
                  <w:shd w:val="clear" w:color="auto" w:fill="FFFFFF"/>
                  <w:noWrap/>
                  <w:vAlign w:val="center"/>
                </w:tcPr>
                <w:p w14:paraId="2351B3F4">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84</w:t>
                  </w:r>
                </w:p>
              </w:tc>
              <w:tc>
                <w:tcPr>
                  <w:tcW w:w="491" w:type="dxa"/>
                  <w:tcBorders>
                    <w:tl2br w:val="nil"/>
                    <w:tr2bl w:val="nil"/>
                  </w:tcBorders>
                  <w:shd w:val="clear" w:color="auto" w:fill="FFFFFF"/>
                  <w:noWrap/>
                  <w:vAlign w:val="center"/>
                </w:tcPr>
                <w:p w14:paraId="63EDEB94">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w:t>
                  </w:r>
                </w:p>
              </w:tc>
              <w:tc>
                <w:tcPr>
                  <w:tcW w:w="1274" w:type="dxa"/>
                  <w:tcBorders>
                    <w:tl2br w:val="nil"/>
                    <w:tr2bl w:val="nil"/>
                  </w:tcBorders>
                  <w:shd w:val="clear" w:color="auto" w:fill="FFFFFF"/>
                  <w:noWrap/>
                  <w:vAlign w:val="center"/>
                </w:tcPr>
                <w:p w14:paraId="397BD998">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80/1</w:t>
                  </w:r>
                </w:p>
              </w:tc>
              <w:tc>
                <w:tcPr>
                  <w:tcW w:w="1418" w:type="dxa"/>
                  <w:vMerge w:val="continue"/>
                  <w:tcBorders>
                    <w:tl2br w:val="nil"/>
                    <w:tr2bl w:val="nil"/>
                  </w:tcBorders>
                  <w:shd w:val="clear" w:color="auto" w:fill="auto"/>
                  <w:noWrap/>
                  <w:vAlign w:val="center"/>
                </w:tcPr>
                <w:p w14:paraId="5EA051BB">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color w:val="auto"/>
                      <w:highlight w:val="none"/>
                      <w:lang w:val="en-US" w:eastAsia="zh-CN"/>
                    </w:rPr>
                  </w:pPr>
                </w:p>
              </w:tc>
              <w:tc>
                <w:tcPr>
                  <w:tcW w:w="938" w:type="dxa"/>
                  <w:vMerge w:val="continue"/>
                  <w:tcBorders>
                    <w:tl2br w:val="nil"/>
                    <w:tr2bl w:val="nil"/>
                  </w:tcBorders>
                  <w:shd w:val="clear" w:color="auto" w:fill="auto"/>
                  <w:noWrap/>
                  <w:vAlign w:val="center"/>
                </w:tcPr>
                <w:p w14:paraId="207080D8">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color w:val="auto"/>
                      <w:highlight w:val="none"/>
                      <w:lang w:val="en-US" w:eastAsia="zh-CN"/>
                    </w:rPr>
                  </w:pPr>
                </w:p>
              </w:tc>
            </w:tr>
            <w:tr w14:paraId="12F911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302" w:type="dxa"/>
                  <w:tcBorders>
                    <w:tl2br w:val="nil"/>
                    <w:tr2bl w:val="nil"/>
                  </w:tcBorders>
                  <w:shd w:val="clear" w:color="auto" w:fill="auto"/>
                  <w:noWrap/>
                  <w:vAlign w:val="center"/>
                </w:tcPr>
                <w:p w14:paraId="3372F693">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default" w:ascii="Times New Roman" w:hAnsi="Times New Roman" w:eastAsia="宋体"/>
                      <w:color w:val="auto"/>
                      <w:highlight w:val="none"/>
                      <w:lang w:val="en-US" w:eastAsia="zh-CN"/>
                    </w:rPr>
                  </w:pPr>
                  <w:r>
                    <w:rPr>
                      <w:rFonts w:hint="eastAsia"/>
                      <w:color w:val="auto"/>
                      <w:highlight w:val="none"/>
                      <w:lang w:val="en-US" w:eastAsia="zh-CN"/>
                    </w:rPr>
                    <w:t>3</w:t>
                  </w:r>
                </w:p>
              </w:tc>
              <w:tc>
                <w:tcPr>
                  <w:tcW w:w="1299" w:type="dxa"/>
                  <w:tcBorders>
                    <w:tl2br w:val="nil"/>
                    <w:tr2bl w:val="nil"/>
                  </w:tcBorders>
                  <w:shd w:val="clear" w:color="auto" w:fill="auto"/>
                  <w:noWrap/>
                  <w:vAlign w:val="center"/>
                </w:tcPr>
                <w:p w14:paraId="15369DD0">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冷水机组</w:t>
                  </w:r>
                </w:p>
              </w:tc>
              <w:tc>
                <w:tcPr>
                  <w:tcW w:w="995" w:type="dxa"/>
                  <w:tcBorders>
                    <w:tl2br w:val="nil"/>
                    <w:tr2bl w:val="nil"/>
                  </w:tcBorders>
                  <w:shd w:val="clear" w:color="auto" w:fill="auto"/>
                  <w:noWrap/>
                  <w:vAlign w:val="center"/>
                </w:tcPr>
                <w:p w14:paraId="1E638CC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w:t>
                  </w:r>
                </w:p>
              </w:tc>
              <w:tc>
                <w:tcPr>
                  <w:tcW w:w="543" w:type="dxa"/>
                  <w:tcBorders>
                    <w:tl2br w:val="nil"/>
                    <w:tr2bl w:val="nil"/>
                  </w:tcBorders>
                  <w:shd w:val="clear" w:color="auto" w:fill="FFFFFF"/>
                  <w:noWrap/>
                  <w:vAlign w:val="center"/>
                </w:tcPr>
                <w:p w14:paraId="7E12F75C">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29</w:t>
                  </w:r>
                </w:p>
              </w:tc>
              <w:tc>
                <w:tcPr>
                  <w:tcW w:w="630" w:type="dxa"/>
                  <w:tcBorders>
                    <w:tl2br w:val="nil"/>
                    <w:tr2bl w:val="nil"/>
                  </w:tcBorders>
                  <w:shd w:val="clear" w:color="auto" w:fill="FFFFFF"/>
                  <w:noWrap/>
                  <w:vAlign w:val="center"/>
                </w:tcPr>
                <w:p w14:paraId="706B8AC4">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-2</w:t>
                  </w:r>
                </w:p>
              </w:tc>
              <w:tc>
                <w:tcPr>
                  <w:tcW w:w="491" w:type="dxa"/>
                  <w:tcBorders>
                    <w:tl2br w:val="nil"/>
                    <w:tr2bl w:val="nil"/>
                  </w:tcBorders>
                  <w:shd w:val="clear" w:color="auto" w:fill="FFFFFF"/>
                  <w:noWrap/>
                  <w:vAlign w:val="center"/>
                </w:tcPr>
                <w:p w14:paraId="48F7C506">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w:t>
                  </w:r>
                </w:p>
              </w:tc>
              <w:tc>
                <w:tcPr>
                  <w:tcW w:w="1274" w:type="dxa"/>
                  <w:tcBorders>
                    <w:tl2br w:val="nil"/>
                    <w:tr2bl w:val="nil"/>
                  </w:tcBorders>
                  <w:shd w:val="clear" w:color="auto" w:fill="FFFFFF"/>
                  <w:noWrap/>
                  <w:vAlign w:val="center"/>
                </w:tcPr>
                <w:p w14:paraId="57DD0B87">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80/1</w:t>
                  </w:r>
                </w:p>
              </w:tc>
              <w:tc>
                <w:tcPr>
                  <w:tcW w:w="1418" w:type="dxa"/>
                  <w:vMerge w:val="continue"/>
                  <w:tcBorders>
                    <w:tl2br w:val="nil"/>
                    <w:tr2bl w:val="nil"/>
                  </w:tcBorders>
                  <w:shd w:val="clear" w:color="auto" w:fill="auto"/>
                  <w:noWrap/>
                  <w:vAlign w:val="center"/>
                </w:tcPr>
                <w:p w14:paraId="654485C0">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color w:val="auto"/>
                      <w:highlight w:val="none"/>
                      <w:lang w:val="en-US" w:eastAsia="zh-CN"/>
                    </w:rPr>
                  </w:pPr>
                </w:p>
              </w:tc>
              <w:tc>
                <w:tcPr>
                  <w:tcW w:w="938" w:type="dxa"/>
                  <w:vMerge w:val="continue"/>
                  <w:tcBorders>
                    <w:tl2br w:val="nil"/>
                    <w:tr2bl w:val="nil"/>
                  </w:tcBorders>
                  <w:shd w:val="clear" w:color="auto" w:fill="auto"/>
                  <w:noWrap/>
                  <w:vAlign w:val="center"/>
                </w:tcPr>
                <w:p w14:paraId="3BBB3CA4">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color w:val="auto"/>
                      <w:highlight w:val="none"/>
                      <w:lang w:val="en-US" w:eastAsia="zh-CN"/>
                    </w:rPr>
                  </w:pPr>
                </w:p>
              </w:tc>
            </w:tr>
            <w:tr w14:paraId="5E818C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0" w:type="auto"/>
                  <w:shd w:val="clear" w:color="auto" w:fill="auto"/>
                </w:tcPr>
                <w:p w14:paraId="7B17F45D">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default" w:ascii="Times New Roman" w:hAnsi="Times New Roman" w:eastAsia="宋体"/>
                      <w:color w:val="auto"/>
                      <w:highlight w:val="none"/>
                      <w:lang w:val="en-US" w:eastAsia="zh-CN"/>
                    </w:rPr>
                  </w:pPr>
                  <w:r>
                    <w:rPr>
                      <w:rFonts w:hint="eastAsia"/>
                      <w:color w:val="auto"/>
                      <w:highlight w:val="none"/>
                      <w:lang w:val="en-US" w:eastAsia="zh-CN"/>
                    </w:rPr>
                    <w:t>4</w:t>
                  </w:r>
                </w:p>
              </w:tc>
              <w:tc>
                <w:tcPr>
                  <w:tcW w:w="1299" w:type="dxa"/>
                  <w:shd w:val="clear" w:color="auto" w:fill="auto"/>
                  <w:vAlign w:val="center"/>
                </w:tcPr>
                <w:p w14:paraId="7051B310">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废气处理风机</w:t>
                  </w:r>
                </w:p>
              </w:tc>
              <w:tc>
                <w:tcPr>
                  <w:tcW w:w="995" w:type="dxa"/>
                  <w:shd w:val="clear" w:color="auto" w:fill="auto"/>
                  <w:vAlign w:val="center"/>
                </w:tcPr>
                <w:p w14:paraId="6C8123F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w:t>
                  </w:r>
                </w:p>
              </w:tc>
              <w:tc>
                <w:tcPr>
                  <w:tcW w:w="543" w:type="dxa"/>
                  <w:shd w:val="clear" w:color="auto" w:fill="auto"/>
                  <w:vAlign w:val="center"/>
                </w:tcPr>
                <w:p w14:paraId="398AA65E">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32</w:t>
                  </w:r>
                </w:p>
              </w:tc>
              <w:tc>
                <w:tcPr>
                  <w:tcW w:w="630" w:type="dxa"/>
                  <w:shd w:val="clear" w:color="auto" w:fill="auto"/>
                  <w:vAlign w:val="center"/>
                </w:tcPr>
                <w:p w14:paraId="74945362">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22</w:t>
                  </w:r>
                </w:p>
              </w:tc>
              <w:tc>
                <w:tcPr>
                  <w:tcW w:w="491" w:type="dxa"/>
                  <w:shd w:val="clear" w:color="auto" w:fill="auto"/>
                  <w:vAlign w:val="center"/>
                </w:tcPr>
                <w:p w14:paraId="54127610">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w:t>
                  </w:r>
                </w:p>
              </w:tc>
              <w:tc>
                <w:tcPr>
                  <w:tcW w:w="1274" w:type="dxa"/>
                  <w:shd w:val="clear" w:color="auto" w:fill="auto"/>
                  <w:vAlign w:val="center"/>
                </w:tcPr>
                <w:p w14:paraId="277E7295">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85/1</w:t>
                  </w:r>
                </w:p>
              </w:tc>
              <w:tc>
                <w:tcPr>
                  <w:tcW w:w="1418" w:type="dxa"/>
                  <w:vMerge w:val="continue"/>
                  <w:shd w:val="clear" w:color="auto" w:fill="auto"/>
                </w:tcPr>
                <w:p w14:paraId="28B55D11">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color w:val="auto"/>
                      <w:highlight w:val="none"/>
                      <w:lang w:val="en-US" w:eastAsia="zh-CN"/>
                    </w:rPr>
                  </w:pPr>
                </w:p>
              </w:tc>
              <w:tc>
                <w:tcPr>
                  <w:tcW w:w="938" w:type="dxa"/>
                  <w:vMerge w:val="continue"/>
                  <w:shd w:val="clear" w:color="auto" w:fill="auto"/>
                </w:tcPr>
                <w:p w14:paraId="57818014">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color w:val="auto"/>
                      <w:highlight w:val="none"/>
                      <w:lang w:val="en-US" w:eastAsia="zh-CN"/>
                    </w:rPr>
                  </w:pPr>
                </w:p>
              </w:tc>
            </w:tr>
            <w:tr w14:paraId="431812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shd w:val="clear" w:color="auto" w:fill="auto"/>
                </w:tcPr>
                <w:p w14:paraId="396AEC53">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default" w:ascii="Times New Roman" w:hAnsi="Times New Roman" w:eastAsia="宋体"/>
                      <w:color w:val="auto"/>
                      <w:highlight w:val="none"/>
                      <w:lang w:val="en-US" w:eastAsia="zh-CN"/>
                    </w:rPr>
                  </w:pPr>
                  <w:r>
                    <w:rPr>
                      <w:rFonts w:hint="eastAsia"/>
                      <w:color w:val="auto"/>
                      <w:highlight w:val="none"/>
                      <w:lang w:val="en-US" w:eastAsia="zh-CN"/>
                    </w:rPr>
                    <w:t>5</w:t>
                  </w:r>
                </w:p>
              </w:tc>
              <w:tc>
                <w:tcPr>
                  <w:tcW w:w="1299" w:type="dxa"/>
                  <w:shd w:val="clear" w:color="auto" w:fill="auto"/>
                  <w:vAlign w:val="center"/>
                </w:tcPr>
                <w:p w14:paraId="518D614A">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冷却塔1</w:t>
                  </w:r>
                </w:p>
              </w:tc>
              <w:tc>
                <w:tcPr>
                  <w:tcW w:w="995" w:type="dxa"/>
                  <w:shd w:val="clear" w:color="auto" w:fill="auto"/>
                  <w:vAlign w:val="center"/>
                </w:tcPr>
                <w:p w14:paraId="0EF8AB51">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w:t>
                  </w:r>
                </w:p>
              </w:tc>
              <w:tc>
                <w:tcPr>
                  <w:tcW w:w="543" w:type="dxa"/>
                  <w:shd w:val="clear" w:color="auto" w:fill="auto"/>
                  <w:vAlign w:val="center"/>
                </w:tcPr>
                <w:p w14:paraId="471987D4">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9</w:t>
                  </w:r>
                </w:p>
              </w:tc>
              <w:tc>
                <w:tcPr>
                  <w:tcW w:w="630" w:type="dxa"/>
                  <w:shd w:val="clear" w:color="auto" w:fill="auto"/>
                  <w:vAlign w:val="center"/>
                </w:tcPr>
                <w:p w14:paraId="237581B8">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81</w:t>
                  </w:r>
                </w:p>
              </w:tc>
              <w:tc>
                <w:tcPr>
                  <w:tcW w:w="491" w:type="dxa"/>
                  <w:shd w:val="clear" w:color="auto" w:fill="auto"/>
                  <w:vAlign w:val="center"/>
                </w:tcPr>
                <w:p w14:paraId="709E5D2A">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w:t>
                  </w:r>
                </w:p>
              </w:tc>
              <w:tc>
                <w:tcPr>
                  <w:tcW w:w="1274" w:type="dxa"/>
                  <w:shd w:val="clear" w:color="auto" w:fill="auto"/>
                  <w:vAlign w:val="center"/>
                </w:tcPr>
                <w:p w14:paraId="1B4ED790">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80/1</w:t>
                  </w:r>
                </w:p>
              </w:tc>
              <w:tc>
                <w:tcPr>
                  <w:tcW w:w="1418" w:type="dxa"/>
                  <w:vMerge w:val="continue"/>
                  <w:shd w:val="clear" w:color="auto" w:fill="auto"/>
                </w:tcPr>
                <w:p w14:paraId="322C3823">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color w:val="auto"/>
                      <w:highlight w:val="none"/>
                      <w:lang w:val="en-US" w:eastAsia="zh-CN"/>
                    </w:rPr>
                  </w:pPr>
                </w:p>
              </w:tc>
              <w:tc>
                <w:tcPr>
                  <w:tcW w:w="938" w:type="dxa"/>
                  <w:vMerge w:val="continue"/>
                  <w:shd w:val="clear" w:color="auto" w:fill="auto"/>
                </w:tcPr>
                <w:p w14:paraId="4BB0ED23">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color w:val="auto"/>
                      <w:highlight w:val="none"/>
                      <w:lang w:val="en-US" w:eastAsia="zh-CN"/>
                    </w:rPr>
                  </w:pPr>
                </w:p>
              </w:tc>
            </w:tr>
            <w:tr w14:paraId="43ECE5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0" w:type="auto"/>
                  <w:shd w:val="clear" w:color="auto" w:fill="auto"/>
                </w:tcPr>
                <w:p w14:paraId="0A5CFF08">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default" w:ascii="Times New Roman" w:hAnsi="Times New Roman" w:eastAsia="宋体"/>
                      <w:color w:val="auto"/>
                      <w:highlight w:val="none"/>
                      <w:lang w:val="en-US" w:eastAsia="zh-CN"/>
                    </w:rPr>
                  </w:pPr>
                  <w:r>
                    <w:rPr>
                      <w:rFonts w:hint="eastAsia"/>
                      <w:color w:val="auto"/>
                      <w:highlight w:val="none"/>
                      <w:lang w:val="en-US" w:eastAsia="zh-CN"/>
                    </w:rPr>
                    <w:t>6</w:t>
                  </w:r>
                </w:p>
              </w:tc>
              <w:tc>
                <w:tcPr>
                  <w:tcW w:w="1299" w:type="dxa"/>
                  <w:shd w:val="clear" w:color="auto" w:fill="auto"/>
                  <w:vAlign w:val="center"/>
                </w:tcPr>
                <w:p w14:paraId="2BD41C6A">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闭式塔</w:t>
                  </w:r>
                </w:p>
              </w:tc>
              <w:tc>
                <w:tcPr>
                  <w:tcW w:w="995" w:type="dxa"/>
                  <w:shd w:val="clear" w:color="auto" w:fill="auto"/>
                  <w:vAlign w:val="center"/>
                </w:tcPr>
                <w:p w14:paraId="5C9CF39D">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w:t>
                  </w:r>
                </w:p>
              </w:tc>
              <w:tc>
                <w:tcPr>
                  <w:tcW w:w="543" w:type="dxa"/>
                  <w:shd w:val="clear" w:color="auto" w:fill="auto"/>
                  <w:vAlign w:val="center"/>
                </w:tcPr>
                <w:p w14:paraId="18DAA315">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9</w:t>
                  </w:r>
                </w:p>
              </w:tc>
              <w:tc>
                <w:tcPr>
                  <w:tcW w:w="630" w:type="dxa"/>
                  <w:shd w:val="clear" w:color="auto" w:fill="auto"/>
                  <w:vAlign w:val="center"/>
                </w:tcPr>
                <w:p w14:paraId="6FE752F7">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76</w:t>
                  </w:r>
                </w:p>
              </w:tc>
              <w:tc>
                <w:tcPr>
                  <w:tcW w:w="491" w:type="dxa"/>
                  <w:shd w:val="clear" w:color="auto" w:fill="auto"/>
                  <w:vAlign w:val="center"/>
                </w:tcPr>
                <w:p w14:paraId="2AA97656">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w:t>
                  </w:r>
                </w:p>
              </w:tc>
              <w:tc>
                <w:tcPr>
                  <w:tcW w:w="1274" w:type="dxa"/>
                  <w:shd w:val="clear" w:color="auto" w:fill="auto"/>
                  <w:vAlign w:val="center"/>
                </w:tcPr>
                <w:p w14:paraId="5DFF4C96">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80/1</w:t>
                  </w:r>
                </w:p>
              </w:tc>
              <w:tc>
                <w:tcPr>
                  <w:tcW w:w="1418" w:type="dxa"/>
                  <w:vMerge w:val="continue"/>
                  <w:shd w:val="clear" w:color="auto" w:fill="auto"/>
                </w:tcPr>
                <w:p w14:paraId="2E7F3BE2">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color w:val="auto"/>
                      <w:highlight w:val="none"/>
                      <w:lang w:val="en-US" w:eastAsia="zh-CN"/>
                    </w:rPr>
                  </w:pPr>
                </w:p>
              </w:tc>
              <w:tc>
                <w:tcPr>
                  <w:tcW w:w="938" w:type="dxa"/>
                  <w:vMerge w:val="continue"/>
                  <w:shd w:val="clear" w:color="auto" w:fill="auto"/>
                </w:tcPr>
                <w:p w14:paraId="1C5F4CE1">
                  <w:pPr>
                    <w:pStyle w:val="21"/>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textAlignment w:val="auto"/>
                    <w:rPr>
                      <w:rFonts w:hint="eastAsia" w:ascii="Times New Roman" w:hAnsi="Times New Roman" w:eastAsia="宋体"/>
                      <w:color w:val="auto"/>
                      <w:highlight w:val="none"/>
                      <w:lang w:val="en-US" w:eastAsia="zh-CN"/>
                    </w:rPr>
                  </w:pPr>
                </w:p>
              </w:tc>
            </w:tr>
          </w:tbl>
          <w:p w14:paraId="291C23B2">
            <w:pPr>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注：以厂区西南角为原点，正东方向为X轴正方向，正北方向为Y轴正方向，单位长度1m，建立坐标系。</w:t>
            </w:r>
          </w:p>
          <w:p w14:paraId="43F9B26B">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p>
        </w:tc>
      </w:tr>
    </w:tbl>
    <w:p w14:paraId="7F3DC5C9">
      <w:pPr>
        <w:ind w:firstLine="480"/>
        <w:rPr>
          <w:rFonts w:ascii="Times New Roman" w:hAnsi="Times New Roman" w:eastAsia="宋体"/>
          <w:color w:val="auto"/>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72ABA236">
      <w:pPr>
        <w:ind w:firstLine="480"/>
        <w:rPr>
          <w:rFonts w:ascii="Times New Roman" w:hAnsi="Times New Roman" w:eastAsia="宋体"/>
          <w:color w:val="auto"/>
          <w:highlight w:val="none"/>
        </w:rPr>
      </w:pPr>
    </w:p>
    <w:tbl>
      <w:tblPr>
        <w:tblStyle w:val="16"/>
        <w:tblW w:w="500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310"/>
        <w:gridCol w:w="13703"/>
      </w:tblGrid>
      <w:tr w14:paraId="770658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99" w:hRule="atLeast"/>
          <w:jc w:val="center"/>
        </w:trPr>
        <w:tc>
          <w:tcPr>
            <w:tcW w:w="310" w:type="dxa"/>
            <w:tcMar>
              <w:top w:w="16" w:type="dxa"/>
              <w:left w:w="16" w:type="dxa"/>
              <w:right w:w="16" w:type="dxa"/>
            </w:tcMar>
            <w:vAlign w:val="center"/>
          </w:tcPr>
          <w:p w14:paraId="3D7AEEE6">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运营期环境影响和保护措施</w:t>
            </w:r>
          </w:p>
        </w:tc>
        <w:tc>
          <w:tcPr>
            <w:tcW w:w="13692" w:type="dxa"/>
            <w:vAlign w:val="center"/>
          </w:tcPr>
          <w:p w14:paraId="302BBC02">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表4-</w:t>
            </w:r>
            <w:r>
              <w:rPr>
                <w:rFonts w:hint="eastAsia" w:ascii="Times New Roman" w:hAnsi="Times New Roman" w:eastAsia="宋体"/>
                <w:color w:val="auto"/>
                <w:highlight w:val="none"/>
                <w:lang w:val="en-US" w:eastAsia="zh-CN"/>
              </w:rPr>
              <w:t>1</w:t>
            </w:r>
            <w:r>
              <w:rPr>
                <w:rFonts w:hint="eastAsia"/>
                <w:color w:val="auto"/>
                <w:highlight w:val="none"/>
                <w:lang w:val="en-US" w:eastAsia="zh-CN"/>
              </w:rPr>
              <w:t>5</w:t>
            </w:r>
            <w:r>
              <w:rPr>
                <w:rFonts w:hint="default" w:ascii="Times New Roman" w:hAnsi="Times New Roman" w:eastAsia="宋体"/>
                <w:color w:val="auto"/>
                <w:highlight w:val="none"/>
              </w:rPr>
              <w:t>工业企业噪声源强调查清单（室内声源）</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402"/>
              <w:gridCol w:w="743"/>
              <w:gridCol w:w="1528"/>
              <w:gridCol w:w="303"/>
              <w:gridCol w:w="1059"/>
              <w:gridCol w:w="664"/>
              <w:gridCol w:w="702"/>
              <w:gridCol w:w="813"/>
              <w:gridCol w:w="776"/>
              <w:gridCol w:w="1448"/>
              <w:gridCol w:w="1060"/>
              <w:gridCol w:w="924"/>
              <w:gridCol w:w="1184"/>
              <w:gridCol w:w="1125"/>
              <w:gridCol w:w="916"/>
            </w:tblGrid>
            <w:tr w14:paraId="6129C8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402" w:type="dxa"/>
                  <w:vMerge w:val="restart"/>
                  <w:tcBorders>
                    <w:tl2br w:val="nil"/>
                    <w:tr2bl w:val="nil"/>
                  </w:tcBorders>
                  <w:shd w:val="clear" w:color="auto" w:fill="auto"/>
                  <w:noWrap/>
                  <w:vAlign w:val="center"/>
                </w:tcPr>
                <w:p w14:paraId="5D3A0D4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宋体"/>
                      <w:b/>
                      <w:bCs/>
                      <w:i w:val="0"/>
                      <w:iCs w:val="0"/>
                      <w:color w:val="auto"/>
                      <w:sz w:val="21"/>
                      <w:szCs w:val="21"/>
                      <w:highlight w:val="none"/>
                      <w:u w:val="none"/>
                    </w:rPr>
                  </w:pPr>
                  <w:r>
                    <w:rPr>
                      <w:rFonts w:hint="eastAsia" w:ascii="Times New Roman" w:hAnsi="Times New Roman" w:eastAsia="宋体" w:cs="宋体"/>
                      <w:b/>
                      <w:bCs/>
                      <w:i w:val="0"/>
                      <w:iCs w:val="0"/>
                      <w:color w:val="auto"/>
                      <w:kern w:val="0"/>
                      <w:sz w:val="21"/>
                      <w:szCs w:val="21"/>
                      <w:highlight w:val="none"/>
                      <w:u w:val="none"/>
                      <w:lang w:val="en-US" w:eastAsia="zh-CN" w:bidi="ar"/>
                    </w:rPr>
                    <w:t>序号</w:t>
                  </w:r>
                </w:p>
              </w:tc>
              <w:tc>
                <w:tcPr>
                  <w:tcW w:w="743" w:type="dxa"/>
                  <w:vMerge w:val="restart"/>
                  <w:tcBorders>
                    <w:tl2br w:val="nil"/>
                    <w:tr2bl w:val="nil"/>
                  </w:tcBorders>
                  <w:shd w:val="clear" w:color="auto" w:fill="auto"/>
                  <w:noWrap/>
                  <w:vAlign w:val="center"/>
                </w:tcPr>
                <w:p w14:paraId="06E6DB5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宋体"/>
                      <w:b/>
                      <w:bCs/>
                      <w:i w:val="0"/>
                      <w:iCs w:val="0"/>
                      <w:color w:val="auto"/>
                      <w:sz w:val="21"/>
                      <w:szCs w:val="21"/>
                      <w:highlight w:val="none"/>
                      <w:u w:val="none"/>
                    </w:rPr>
                  </w:pPr>
                  <w:r>
                    <w:rPr>
                      <w:rFonts w:hint="eastAsia" w:ascii="Times New Roman" w:hAnsi="Times New Roman" w:eastAsia="宋体" w:cs="宋体"/>
                      <w:b/>
                      <w:bCs/>
                      <w:i w:val="0"/>
                      <w:iCs w:val="0"/>
                      <w:color w:val="auto"/>
                      <w:kern w:val="0"/>
                      <w:sz w:val="21"/>
                      <w:szCs w:val="21"/>
                      <w:highlight w:val="none"/>
                      <w:u w:val="none"/>
                      <w:lang w:val="en-US" w:eastAsia="zh-CN" w:bidi="ar"/>
                    </w:rPr>
                    <w:t>建筑物名称</w:t>
                  </w:r>
                </w:p>
              </w:tc>
              <w:tc>
                <w:tcPr>
                  <w:tcW w:w="1528" w:type="dxa"/>
                  <w:vMerge w:val="restart"/>
                  <w:tcBorders>
                    <w:tl2br w:val="nil"/>
                    <w:tr2bl w:val="nil"/>
                  </w:tcBorders>
                  <w:shd w:val="clear" w:color="auto" w:fill="auto"/>
                  <w:noWrap/>
                  <w:vAlign w:val="center"/>
                </w:tcPr>
                <w:p w14:paraId="17CFDED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宋体"/>
                      <w:b/>
                      <w:bCs/>
                      <w:i w:val="0"/>
                      <w:iCs w:val="0"/>
                      <w:color w:val="auto"/>
                      <w:sz w:val="21"/>
                      <w:szCs w:val="21"/>
                      <w:highlight w:val="none"/>
                      <w:u w:val="none"/>
                    </w:rPr>
                  </w:pPr>
                  <w:r>
                    <w:rPr>
                      <w:rFonts w:hint="eastAsia" w:ascii="Times New Roman" w:hAnsi="Times New Roman" w:eastAsia="宋体" w:cs="宋体"/>
                      <w:b/>
                      <w:bCs/>
                      <w:i w:val="0"/>
                      <w:iCs w:val="0"/>
                      <w:color w:val="auto"/>
                      <w:kern w:val="0"/>
                      <w:sz w:val="21"/>
                      <w:szCs w:val="21"/>
                      <w:highlight w:val="none"/>
                      <w:u w:val="none"/>
                      <w:lang w:val="en-US" w:eastAsia="zh-CN" w:bidi="ar"/>
                    </w:rPr>
                    <w:t>声源名称</w:t>
                  </w:r>
                </w:p>
              </w:tc>
              <w:tc>
                <w:tcPr>
                  <w:tcW w:w="303" w:type="dxa"/>
                  <w:vMerge w:val="restart"/>
                  <w:tcBorders>
                    <w:tl2br w:val="nil"/>
                    <w:tr2bl w:val="nil"/>
                  </w:tcBorders>
                  <w:shd w:val="clear" w:color="auto" w:fill="auto"/>
                  <w:noWrap/>
                  <w:vAlign w:val="center"/>
                </w:tcPr>
                <w:p w14:paraId="04F098B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宋体"/>
                      <w:b/>
                      <w:bCs/>
                      <w:i w:val="0"/>
                      <w:iCs w:val="0"/>
                      <w:color w:val="auto"/>
                      <w:sz w:val="21"/>
                      <w:szCs w:val="21"/>
                      <w:highlight w:val="none"/>
                      <w:u w:val="none"/>
                    </w:rPr>
                  </w:pPr>
                  <w:r>
                    <w:rPr>
                      <w:rFonts w:hint="eastAsia" w:ascii="Times New Roman" w:hAnsi="Times New Roman" w:eastAsia="宋体" w:cs="宋体"/>
                      <w:b/>
                      <w:bCs/>
                      <w:i w:val="0"/>
                      <w:iCs w:val="0"/>
                      <w:color w:val="auto"/>
                      <w:kern w:val="0"/>
                      <w:sz w:val="21"/>
                      <w:szCs w:val="21"/>
                      <w:highlight w:val="none"/>
                      <w:u w:val="none"/>
                      <w:lang w:val="en-US" w:eastAsia="zh-CN" w:bidi="ar"/>
                    </w:rPr>
                    <w:t>型号</w:t>
                  </w:r>
                </w:p>
              </w:tc>
              <w:tc>
                <w:tcPr>
                  <w:tcW w:w="1059" w:type="dxa"/>
                  <w:vMerge w:val="restart"/>
                  <w:tcBorders>
                    <w:tl2br w:val="nil"/>
                    <w:tr2bl w:val="nil"/>
                  </w:tcBorders>
                  <w:shd w:val="clear" w:color="auto" w:fill="auto"/>
                  <w:vAlign w:val="center"/>
                </w:tcPr>
                <w:p w14:paraId="3DAE018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宋体"/>
                      <w:b/>
                      <w:bCs/>
                      <w:i w:val="0"/>
                      <w:iCs w:val="0"/>
                      <w:color w:val="auto"/>
                      <w:sz w:val="21"/>
                      <w:szCs w:val="21"/>
                      <w:highlight w:val="none"/>
                      <w:u w:val="none"/>
                    </w:rPr>
                  </w:pPr>
                  <w:r>
                    <w:rPr>
                      <w:rFonts w:hint="eastAsia" w:ascii="Times New Roman" w:hAnsi="Times New Roman" w:eastAsia="宋体" w:cs="宋体"/>
                      <w:b/>
                      <w:bCs/>
                      <w:i w:val="0"/>
                      <w:iCs w:val="0"/>
                      <w:color w:val="auto"/>
                      <w:kern w:val="0"/>
                      <w:sz w:val="21"/>
                      <w:szCs w:val="21"/>
                      <w:highlight w:val="none"/>
                      <w:u w:val="none"/>
                      <w:lang w:val="en-US" w:eastAsia="zh-CN" w:bidi="ar"/>
                    </w:rPr>
                    <w:t>声源源强（声功率级/dB（A））</w:t>
                  </w:r>
                </w:p>
              </w:tc>
              <w:tc>
                <w:tcPr>
                  <w:tcW w:w="664" w:type="dxa"/>
                  <w:vMerge w:val="restart"/>
                  <w:tcBorders>
                    <w:tl2br w:val="nil"/>
                    <w:tr2bl w:val="nil"/>
                  </w:tcBorders>
                  <w:shd w:val="clear" w:color="auto" w:fill="auto"/>
                  <w:noWrap/>
                  <w:vAlign w:val="center"/>
                </w:tcPr>
                <w:p w14:paraId="6FAC8BF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宋体"/>
                      <w:b/>
                      <w:bCs/>
                      <w:i w:val="0"/>
                      <w:iCs w:val="0"/>
                      <w:color w:val="auto"/>
                      <w:sz w:val="21"/>
                      <w:szCs w:val="21"/>
                      <w:highlight w:val="none"/>
                      <w:u w:val="none"/>
                    </w:rPr>
                  </w:pPr>
                  <w:r>
                    <w:rPr>
                      <w:rFonts w:hint="eastAsia" w:ascii="Times New Roman" w:hAnsi="Times New Roman" w:eastAsia="宋体" w:cs="宋体"/>
                      <w:b/>
                      <w:bCs/>
                      <w:i w:val="0"/>
                      <w:iCs w:val="0"/>
                      <w:color w:val="auto"/>
                      <w:kern w:val="0"/>
                      <w:sz w:val="21"/>
                      <w:szCs w:val="21"/>
                      <w:highlight w:val="none"/>
                      <w:u w:val="none"/>
                      <w:lang w:val="en-US" w:eastAsia="zh-CN" w:bidi="ar"/>
                    </w:rPr>
                    <w:t>声源控制措施</w:t>
                  </w:r>
                </w:p>
              </w:tc>
              <w:tc>
                <w:tcPr>
                  <w:tcW w:w="2291" w:type="dxa"/>
                  <w:gridSpan w:val="3"/>
                  <w:tcBorders>
                    <w:tl2br w:val="nil"/>
                    <w:tr2bl w:val="nil"/>
                  </w:tcBorders>
                  <w:shd w:val="clear" w:color="auto" w:fill="auto"/>
                  <w:noWrap/>
                  <w:vAlign w:val="center"/>
                </w:tcPr>
                <w:p w14:paraId="25CD6F3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宋体"/>
                      <w:b/>
                      <w:bCs/>
                      <w:i w:val="0"/>
                      <w:iCs w:val="0"/>
                      <w:color w:val="auto"/>
                      <w:sz w:val="21"/>
                      <w:szCs w:val="21"/>
                      <w:highlight w:val="none"/>
                      <w:u w:val="none"/>
                    </w:rPr>
                  </w:pPr>
                  <w:r>
                    <w:rPr>
                      <w:rFonts w:hint="eastAsia" w:ascii="Times New Roman" w:hAnsi="Times New Roman" w:eastAsia="宋体" w:cs="宋体"/>
                      <w:b/>
                      <w:bCs/>
                      <w:i w:val="0"/>
                      <w:iCs w:val="0"/>
                      <w:color w:val="auto"/>
                      <w:kern w:val="0"/>
                      <w:sz w:val="21"/>
                      <w:szCs w:val="21"/>
                      <w:highlight w:val="none"/>
                      <w:u w:val="none"/>
                      <w:lang w:val="en-US" w:eastAsia="zh-CN" w:bidi="ar"/>
                    </w:rPr>
                    <w:t>空间相对位置/m</w:t>
                  </w:r>
                </w:p>
              </w:tc>
              <w:tc>
                <w:tcPr>
                  <w:tcW w:w="1448" w:type="dxa"/>
                  <w:vMerge w:val="restart"/>
                  <w:tcBorders>
                    <w:tl2br w:val="nil"/>
                    <w:tr2bl w:val="nil"/>
                  </w:tcBorders>
                  <w:shd w:val="clear" w:color="auto" w:fill="auto"/>
                  <w:noWrap/>
                  <w:vAlign w:val="center"/>
                </w:tcPr>
                <w:p w14:paraId="41ACDA8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宋体"/>
                      <w:b/>
                      <w:bCs/>
                      <w:i w:val="0"/>
                      <w:iCs w:val="0"/>
                      <w:color w:val="auto"/>
                      <w:sz w:val="21"/>
                      <w:szCs w:val="21"/>
                      <w:highlight w:val="none"/>
                      <w:u w:val="none"/>
                    </w:rPr>
                  </w:pPr>
                  <w:r>
                    <w:rPr>
                      <w:rFonts w:hint="eastAsia" w:ascii="Times New Roman" w:hAnsi="Times New Roman" w:eastAsia="宋体" w:cs="宋体"/>
                      <w:b/>
                      <w:bCs/>
                      <w:i w:val="0"/>
                      <w:iCs w:val="0"/>
                      <w:color w:val="auto"/>
                      <w:kern w:val="0"/>
                      <w:sz w:val="21"/>
                      <w:szCs w:val="21"/>
                      <w:highlight w:val="none"/>
                      <w:u w:val="none"/>
                      <w:lang w:val="en-US" w:eastAsia="zh-CN" w:bidi="ar"/>
                    </w:rPr>
                    <w:t>距室内边界距离/m</w:t>
                  </w:r>
                </w:p>
              </w:tc>
              <w:tc>
                <w:tcPr>
                  <w:tcW w:w="1060" w:type="dxa"/>
                  <w:vMerge w:val="restart"/>
                  <w:tcBorders>
                    <w:tl2br w:val="nil"/>
                    <w:tr2bl w:val="nil"/>
                  </w:tcBorders>
                  <w:shd w:val="clear" w:color="auto" w:fill="auto"/>
                  <w:noWrap/>
                  <w:vAlign w:val="center"/>
                </w:tcPr>
                <w:p w14:paraId="17FB444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宋体"/>
                      <w:b/>
                      <w:bCs/>
                      <w:i w:val="0"/>
                      <w:iCs w:val="0"/>
                      <w:color w:val="auto"/>
                      <w:sz w:val="21"/>
                      <w:szCs w:val="21"/>
                      <w:highlight w:val="none"/>
                      <w:u w:val="none"/>
                    </w:rPr>
                  </w:pPr>
                  <w:r>
                    <w:rPr>
                      <w:rFonts w:hint="eastAsia" w:ascii="Times New Roman" w:hAnsi="Times New Roman" w:eastAsia="宋体" w:cs="宋体"/>
                      <w:b/>
                      <w:bCs/>
                      <w:i w:val="0"/>
                      <w:iCs w:val="0"/>
                      <w:color w:val="auto"/>
                      <w:kern w:val="0"/>
                      <w:sz w:val="21"/>
                      <w:szCs w:val="21"/>
                      <w:highlight w:val="none"/>
                      <w:u w:val="none"/>
                      <w:lang w:val="en-US" w:eastAsia="zh-CN" w:bidi="ar"/>
                    </w:rPr>
                    <w:t>室内边界声级/dB(A)</w:t>
                  </w:r>
                </w:p>
              </w:tc>
              <w:tc>
                <w:tcPr>
                  <w:tcW w:w="924" w:type="dxa"/>
                  <w:vMerge w:val="restart"/>
                  <w:tcBorders>
                    <w:tl2br w:val="nil"/>
                    <w:tr2bl w:val="nil"/>
                  </w:tcBorders>
                  <w:shd w:val="clear" w:color="auto" w:fill="auto"/>
                  <w:noWrap/>
                  <w:vAlign w:val="center"/>
                </w:tcPr>
                <w:p w14:paraId="387DFAC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宋体"/>
                      <w:b/>
                      <w:bCs/>
                      <w:i w:val="0"/>
                      <w:iCs w:val="0"/>
                      <w:color w:val="auto"/>
                      <w:sz w:val="21"/>
                      <w:szCs w:val="21"/>
                      <w:highlight w:val="none"/>
                      <w:u w:val="none"/>
                    </w:rPr>
                  </w:pPr>
                  <w:r>
                    <w:rPr>
                      <w:rFonts w:hint="eastAsia" w:ascii="Times New Roman" w:hAnsi="Times New Roman" w:eastAsia="宋体" w:cs="宋体"/>
                      <w:b/>
                      <w:bCs/>
                      <w:i w:val="0"/>
                      <w:iCs w:val="0"/>
                      <w:color w:val="auto"/>
                      <w:kern w:val="0"/>
                      <w:sz w:val="21"/>
                      <w:szCs w:val="21"/>
                      <w:highlight w:val="none"/>
                      <w:u w:val="none"/>
                      <w:lang w:val="en-US" w:eastAsia="zh-CN" w:bidi="ar"/>
                    </w:rPr>
                    <w:t>运行时段</w:t>
                  </w:r>
                </w:p>
              </w:tc>
              <w:tc>
                <w:tcPr>
                  <w:tcW w:w="1184" w:type="dxa"/>
                  <w:vMerge w:val="restart"/>
                  <w:tcBorders>
                    <w:tl2br w:val="nil"/>
                    <w:tr2bl w:val="nil"/>
                  </w:tcBorders>
                  <w:shd w:val="clear" w:color="auto" w:fill="auto"/>
                  <w:noWrap/>
                  <w:vAlign w:val="center"/>
                </w:tcPr>
                <w:p w14:paraId="7D45B9D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宋体"/>
                      <w:b/>
                      <w:bCs/>
                      <w:i w:val="0"/>
                      <w:iCs w:val="0"/>
                      <w:color w:val="auto"/>
                      <w:sz w:val="21"/>
                      <w:szCs w:val="21"/>
                      <w:highlight w:val="none"/>
                      <w:u w:val="none"/>
                    </w:rPr>
                  </w:pPr>
                  <w:r>
                    <w:rPr>
                      <w:rFonts w:hint="eastAsia" w:ascii="Times New Roman" w:hAnsi="Times New Roman" w:eastAsia="宋体" w:cs="宋体"/>
                      <w:b/>
                      <w:bCs/>
                      <w:i w:val="0"/>
                      <w:iCs w:val="0"/>
                      <w:color w:val="auto"/>
                      <w:kern w:val="0"/>
                      <w:sz w:val="21"/>
                      <w:szCs w:val="21"/>
                      <w:highlight w:val="none"/>
                      <w:u w:val="none"/>
                      <w:lang w:val="en-US" w:eastAsia="zh-CN" w:bidi="ar"/>
                    </w:rPr>
                    <w:t>建筑物插入损失/dB(A)</w:t>
                  </w:r>
                </w:p>
              </w:tc>
              <w:tc>
                <w:tcPr>
                  <w:tcW w:w="2041" w:type="dxa"/>
                  <w:gridSpan w:val="2"/>
                  <w:tcBorders>
                    <w:tl2br w:val="nil"/>
                    <w:tr2bl w:val="nil"/>
                  </w:tcBorders>
                  <w:shd w:val="clear" w:color="auto" w:fill="auto"/>
                  <w:noWrap/>
                  <w:vAlign w:val="center"/>
                </w:tcPr>
                <w:p w14:paraId="004E51E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宋体"/>
                      <w:b/>
                      <w:bCs/>
                      <w:i w:val="0"/>
                      <w:iCs w:val="0"/>
                      <w:color w:val="auto"/>
                      <w:sz w:val="21"/>
                      <w:szCs w:val="21"/>
                      <w:highlight w:val="none"/>
                      <w:u w:val="none"/>
                    </w:rPr>
                  </w:pPr>
                  <w:r>
                    <w:rPr>
                      <w:rFonts w:hint="eastAsia" w:ascii="Times New Roman" w:hAnsi="Times New Roman" w:eastAsia="宋体" w:cs="宋体"/>
                      <w:b/>
                      <w:bCs/>
                      <w:i w:val="0"/>
                      <w:iCs w:val="0"/>
                      <w:color w:val="auto"/>
                      <w:kern w:val="0"/>
                      <w:sz w:val="21"/>
                      <w:szCs w:val="21"/>
                      <w:highlight w:val="none"/>
                      <w:u w:val="none"/>
                      <w:lang w:val="en-US" w:eastAsia="zh-CN" w:bidi="ar"/>
                    </w:rPr>
                    <w:t>建筑物外噪声</w:t>
                  </w:r>
                </w:p>
              </w:tc>
            </w:tr>
            <w:tr w14:paraId="50A21E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02" w:type="dxa"/>
                  <w:vMerge w:val="continue"/>
                  <w:tcBorders>
                    <w:tl2br w:val="nil"/>
                    <w:tr2bl w:val="nil"/>
                  </w:tcBorders>
                  <w:shd w:val="clear" w:color="auto" w:fill="auto"/>
                  <w:noWrap/>
                  <w:vAlign w:val="center"/>
                </w:tcPr>
                <w:p w14:paraId="650D468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宋体"/>
                      <w:b/>
                      <w:bCs/>
                      <w:i w:val="0"/>
                      <w:iCs w:val="0"/>
                      <w:color w:val="auto"/>
                      <w:sz w:val="21"/>
                      <w:szCs w:val="21"/>
                      <w:highlight w:val="none"/>
                      <w:u w:val="none"/>
                    </w:rPr>
                  </w:pPr>
                </w:p>
              </w:tc>
              <w:tc>
                <w:tcPr>
                  <w:tcW w:w="743" w:type="dxa"/>
                  <w:vMerge w:val="continue"/>
                  <w:tcBorders>
                    <w:tl2br w:val="nil"/>
                    <w:tr2bl w:val="nil"/>
                  </w:tcBorders>
                  <w:shd w:val="clear" w:color="auto" w:fill="auto"/>
                  <w:noWrap/>
                  <w:vAlign w:val="center"/>
                </w:tcPr>
                <w:p w14:paraId="2FEC16B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宋体"/>
                      <w:b/>
                      <w:bCs/>
                      <w:i w:val="0"/>
                      <w:iCs w:val="0"/>
                      <w:color w:val="auto"/>
                      <w:sz w:val="21"/>
                      <w:szCs w:val="21"/>
                      <w:highlight w:val="none"/>
                      <w:u w:val="none"/>
                    </w:rPr>
                  </w:pPr>
                </w:p>
              </w:tc>
              <w:tc>
                <w:tcPr>
                  <w:tcW w:w="1528" w:type="dxa"/>
                  <w:vMerge w:val="continue"/>
                  <w:tcBorders>
                    <w:tl2br w:val="nil"/>
                    <w:tr2bl w:val="nil"/>
                  </w:tcBorders>
                  <w:shd w:val="clear" w:color="auto" w:fill="auto"/>
                  <w:noWrap/>
                  <w:vAlign w:val="center"/>
                </w:tcPr>
                <w:p w14:paraId="2FF0857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宋体"/>
                      <w:b/>
                      <w:bCs/>
                      <w:i w:val="0"/>
                      <w:iCs w:val="0"/>
                      <w:color w:val="auto"/>
                      <w:sz w:val="21"/>
                      <w:szCs w:val="21"/>
                      <w:highlight w:val="none"/>
                      <w:u w:val="none"/>
                    </w:rPr>
                  </w:pPr>
                </w:p>
              </w:tc>
              <w:tc>
                <w:tcPr>
                  <w:tcW w:w="303" w:type="dxa"/>
                  <w:vMerge w:val="continue"/>
                  <w:tcBorders>
                    <w:tl2br w:val="nil"/>
                    <w:tr2bl w:val="nil"/>
                  </w:tcBorders>
                  <w:shd w:val="clear" w:color="auto" w:fill="auto"/>
                  <w:noWrap/>
                  <w:vAlign w:val="center"/>
                </w:tcPr>
                <w:p w14:paraId="1799EF0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宋体"/>
                      <w:b/>
                      <w:bCs/>
                      <w:i w:val="0"/>
                      <w:iCs w:val="0"/>
                      <w:color w:val="auto"/>
                      <w:sz w:val="21"/>
                      <w:szCs w:val="21"/>
                      <w:highlight w:val="none"/>
                      <w:u w:val="none"/>
                    </w:rPr>
                  </w:pPr>
                </w:p>
              </w:tc>
              <w:tc>
                <w:tcPr>
                  <w:tcW w:w="1059" w:type="dxa"/>
                  <w:vMerge w:val="continue"/>
                  <w:tcBorders>
                    <w:tl2br w:val="nil"/>
                    <w:tr2bl w:val="nil"/>
                  </w:tcBorders>
                  <w:shd w:val="clear" w:color="auto" w:fill="auto"/>
                  <w:vAlign w:val="center"/>
                </w:tcPr>
                <w:p w14:paraId="1DD9876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宋体"/>
                      <w:b/>
                      <w:bCs/>
                      <w:i w:val="0"/>
                      <w:iCs w:val="0"/>
                      <w:color w:val="auto"/>
                      <w:sz w:val="21"/>
                      <w:szCs w:val="21"/>
                      <w:highlight w:val="none"/>
                      <w:u w:val="none"/>
                    </w:rPr>
                  </w:pPr>
                </w:p>
              </w:tc>
              <w:tc>
                <w:tcPr>
                  <w:tcW w:w="664" w:type="dxa"/>
                  <w:vMerge w:val="continue"/>
                  <w:tcBorders>
                    <w:tl2br w:val="nil"/>
                    <w:tr2bl w:val="nil"/>
                  </w:tcBorders>
                  <w:shd w:val="clear" w:color="auto" w:fill="auto"/>
                  <w:noWrap/>
                  <w:vAlign w:val="center"/>
                </w:tcPr>
                <w:p w14:paraId="0C2C045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宋体"/>
                      <w:b/>
                      <w:bCs/>
                      <w:i w:val="0"/>
                      <w:iCs w:val="0"/>
                      <w:color w:val="auto"/>
                      <w:sz w:val="21"/>
                      <w:szCs w:val="21"/>
                      <w:highlight w:val="none"/>
                      <w:u w:val="none"/>
                    </w:rPr>
                  </w:pPr>
                </w:p>
              </w:tc>
              <w:tc>
                <w:tcPr>
                  <w:tcW w:w="702" w:type="dxa"/>
                  <w:tcBorders>
                    <w:tl2br w:val="nil"/>
                    <w:tr2bl w:val="nil"/>
                  </w:tcBorders>
                  <w:shd w:val="clear" w:color="auto" w:fill="auto"/>
                  <w:noWrap/>
                  <w:vAlign w:val="center"/>
                </w:tcPr>
                <w:p w14:paraId="669813A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宋体"/>
                      <w:b/>
                      <w:bCs/>
                      <w:i w:val="0"/>
                      <w:iCs w:val="0"/>
                      <w:color w:val="auto"/>
                      <w:sz w:val="21"/>
                      <w:szCs w:val="21"/>
                      <w:highlight w:val="none"/>
                      <w:u w:val="none"/>
                    </w:rPr>
                  </w:pPr>
                  <w:r>
                    <w:rPr>
                      <w:rFonts w:hint="eastAsia" w:ascii="Times New Roman" w:hAnsi="Times New Roman" w:eastAsia="宋体" w:cs="宋体"/>
                      <w:b/>
                      <w:bCs/>
                      <w:i w:val="0"/>
                      <w:iCs w:val="0"/>
                      <w:color w:val="auto"/>
                      <w:kern w:val="0"/>
                      <w:sz w:val="21"/>
                      <w:szCs w:val="21"/>
                      <w:highlight w:val="none"/>
                      <w:u w:val="none"/>
                      <w:lang w:val="en-US" w:eastAsia="zh-CN" w:bidi="ar"/>
                    </w:rPr>
                    <w:t>X</w:t>
                  </w:r>
                </w:p>
              </w:tc>
              <w:tc>
                <w:tcPr>
                  <w:tcW w:w="813" w:type="dxa"/>
                  <w:tcBorders>
                    <w:tl2br w:val="nil"/>
                    <w:tr2bl w:val="nil"/>
                  </w:tcBorders>
                  <w:shd w:val="clear" w:color="auto" w:fill="auto"/>
                  <w:noWrap/>
                  <w:vAlign w:val="center"/>
                </w:tcPr>
                <w:p w14:paraId="7FBD653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宋体"/>
                      <w:b/>
                      <w:bCs/>
                      <w:i w:val="0"/>
                      <w:iCs w:val="0"/>
                      <w:color w:val="auto"/>
                      <w:sz w:val="21"/>
                      <w:szCs w:val="21"/>
                      <w:highlight w:val="none"/>
                      <w:u w:val="none"/>
                    </w:rPr>
                  </w:pPr>
                  <w:r>
                    <w:rPr>
                      <w:rFonts w:hint="eastAsia" w:ascii="Times New Roman" w:hAnsi="Times New Roman" w:eastAsia="宋体" w:cs="宋体"/>
                      <w:b/>
                      <w:bCs/>
                      <w:i w:val="0"/>
                      <w:iCs w:val="0"/>
                      <w:color w:val="auto"/>
                      <w:kern w:val="0"/>
                      <w:sz w:val="21"/>
                      <w:szCs w:val="21"/>
                      <w:highlight w:val="none"/>
                      <w:u w:val="none"/>
                      <w:lang w:val="en-US" w:eastAsia="zh-CN" w:bidi="ar"/>
                    </w:rPr>
                    <w:t>Y</w:t>
                  </w:r>
                </w:p>
              </w:tc>
              <w:tc>
                <w:tcPr>
                  <w:tcW w:w="776" w:type="dxa"/>
                  <w:tcBorders>
                    <w:tl2br w:val="nil"/>
                    <w:tr2bl w:val="nil"/>
                  </w:tcBorders>
                  <w:shd w:val="clear" w:color="auto" w:fill="auto"/>
                  <w:noWrap/>
                  <w:vAlign w:val="center"/>
                </w:tcPr>
                <w:p w14:paraId="3374E58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宋体"/>
                      <w:b/>
                      <w:bCs/>
                      <w:i w:val="0"/>
                      <w:iCs w:val="0"/>
                      <w:color w:val="auto"/>
                      <w:sz w:val="21"/>
                      <w:szCs w:val="21"/>
                      <w:highlight w:val="none"/>
                      <w:u w:val="none"/>
                    </w:rPr>
                  </w:pPr>
                  <w:r>
                    <w:rPr>
                      <w:rFonts w:hint="eastAsia" w:ascii="Times New Roman" w:hAnsi="Times New Roman" w:eastAsia="宋体" w:cs="宋体"/>
                      <w:b/>
                      <w:bCs/>
                      <w:i w:val="0"/>
                      <w:iCs w:val="0"/>
                      <w:color w:val="auto"/>
                      <w:kern w:val="0"/>
                      <w:sz w:val="21"/>
                      <w:szCs w:val="21"/>
                      <w:highlight w:val="none"/>
                      <w:u w:val="none"/>
                      <w:lang w:val="en-US" w:eastAsia="zh-CN" w:bidi="ar"/>
                    </w:rPr>
                    <w:t>Z</w:t>
                  </w:r>
                </w:p>
              </w:tc>
              <w:tc>
                <w:tcPr>
                  <w:tcW w:w="1448" w:type="dxa"/>
                  <w:vMerge w:val="continue"/>
                  <w:tcBorders>
                    <w:tl2br w:val="nil"/>
                    <w:tr2bl w:val="nil"/>
                  </w:tcBorders>
                  <w:shd w:val="clear" w:color="auto" w:fill="auto"/>
                  <w:noWrap/>
                  <w:vAlign w:val="center"/>
                </w:tcPr>
                <w:p w14:paraId="2C250DC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宋体"/>
                      <w:b/>
                      <w:bCs/>
                      <w:i w:val="0"/>
                      <w:iCs w:val="0"/>
                      <w:color w:val="auto"/>
                      <w:sz w:val="21"/>
                      <w:szCs w:val="21"/>
                      <w:highlight w:val="none"/>
                      <w:u w:val="none"/>
                    </w:rPr>
                  </w:pPr>
                </w:p>
              </w:tc>
              <w:tc>
                <w:tcPr>
                  <w:tcW w:w="1060" w:type="dxa"/>
                  <w:vMerge w:val="continue"/>
                  <w:tcBorders>
                    <w:tl2br w:val="nil"/>
                    <w:tr2bl w:val="nil"/>
                  </w:tcBorders>
                  <w:shd w:val="clear" w:color="auto" w:fill="auto"/>
                  <w:noWrap/>
                  <w:vAlign w:val="center"/>
                </w:tcPr>
                <w:p w14:paraId="0AD3264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宋体"/>
                      <w:b/>
                      <w:bCs/>
                      <w:i w:val="0"/>
                      <w:iCs w:val="0"/>
                      <w:color w:val="auto"/>
                      <w:sz w:val="21"/>
                      <w:szCs w:val="21"/>
                      <w:highlight w:val="none"/>
                      <w:u w:val="none"/>
                    </w:rPr>
                  </w:pPr>
                </w:p>
              </w:tc>
              <w:tc>
                <w:tcPr>
                  <w:tcW w:w="924" w:type="dxa"/>
                  <w:vMerge w:val="continue"/>
                  <w:tcBorders>
                    <w:tl2br w:val="nil"/>
                    <w:tr2bl w:val="nil"/>
                  </w:tcBorders>
                  <w:shd w:val="clear" w:color="auto" w:fill="auto"/>
                  <w:noWrap/>
                  <w:vAlign w:val="center"/>
                </w:tcPr>
                <w:p w14:paraId="3B4FAEC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宋体"/>
                      <w:b/>
                      <w:bCs/>
                      <w:i w:val="0"/>
                      <w:iCs w:val="0"/>
                      <w:color w:val="auto"/>
                      <w:sz w:val="21"/>
                      <w:szCs w:val="21"/>
                      <w:highlight w:val="none"/>
                      <w:u w:val="none"/>
                    </w:rPr>
                  </w:pPr>
                </w:p>
              </w:tc>
              <w:tc>
                <w:tcPr>
                  <w:tcW w:w="1184" w:type="dxa"/>
                  <w:vMerge w:val="continue"/>
                  <w:tcBorders>
                    <w:tl2br w:val="nil"/>
                    <w:tr2bl w:val="nil"/>
                  </w:tcBorders>
                  <w:shd w:val="clear" w:color="auto" w:fill="auto"/>
                  <w:noWrap/>
                  <w:vAlign w:val="center"/>
                </w:tcPr>
                <w:p w14:paraId="3B46A09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宋体"/>
                      <w:b/>
                      <w:bCs/>
                      <w:i w:val="0"/>
                      <w:iCs w:val="0"/>
                      <w:color w:val="auto"/>
                      <w:sz w:val="21"/>
                      <w:szCs w:val="21"/>
                      <w:highlight w:val="none"/>
                      <w:u w:val="none"/>
                    </w:rPr>
                  </w:pPr>
                </w:p>
              </w:tc>
              <w:tc>
                <w:tcPr>
                  <w:tcW w:w="1125" w:type="dxa"/>
                  <w:tcBorders>
                    <w:tl2br w:val="nil"/>
                    <w:tr2bl w:val="nil"/>
                  </w:tcBorders>
                  <w:shd w:val="clear" w:color="auto" w:fill="auto"/>
                  <w:noWrap/>
                  <w:vAlign w:val="center"/>
                </w:tcPr>
                <w:p w14:paraId="3123D4B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宋体"/>
                      <w:b/>
                      <w:bCs/>
                      <w:i w:val="0"/>
                      <w:iCs w:val="0"/>
                      <w:color w:val="auto"/>
                      <w:sz w:val="21"/>
                      <w:szCs w:val="21"/>
                      <w:highlight w:val="none"/>
                      <w:u w:val="none"/>
                    </w:rPr>
                  </w:pPr>
                  <w:r>
                    <w:rPr>
                      <w:rFonts w:hint="eastAsia" w:ascii="Times New Roman" w:hAnsi="Times New Roman" w:eastAsia="宋体" w:cs="宋体"/>
                      <w:b/>
                      <w:bCs/>
                      <w:i w:val="0"/>
                      <w:iCs w:val="0"/>
                      <w:color w:val="auto"/>
                      <w:kern w:val="0"/>
                      <w:sz w:val="21"/>
                      <w:szCs w:val="21"/>
                      <w:highlight w:val="none"/>
                      <w:u w:val="none"/>
                      <w:lang w:val="en-US" w:eastAsia="zh-CN" w:bidi="ar"/>
                    </w:rPr>
                    <w:t>声压级/dB(A)</w:t>
                  </w:r>
                </w:p>
              </w:tc>
              <w:tc>
                <w:tcPr>
                  <w:tcW w:w="916" w:type="dxa"/>
                  <w:tcBorders>
                    <w:tl2br w:val="nil"/>
                    <w:tr2bl w:val="nil"/>
                  </w:tcBorders>
                  <w:shd w:val="clear" w:color="auto" w:fill="auto"/>
                  <w:noWrap/>
                  <w:vAlign w:val="center"/>
                </w:tcPr>
                <w:p w14:paraId="313C731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宋体"/>
                      <w:b/>
                      <w:bCs/>
                      <w:i w:val="0"/>
                      <w:iCs w:val="0"/>
                      <w:color w:val="auto"/>
                      <w:sz w:val="21"/>
                      <w:szCs w:val="21"/>
                      <w:highlight w:val="none"/>
                      <w:u w:val="none"/>
                    </w:rPr>
                  </w:pPr>
                  <w:r>
                    <w:rPr>
                      <w:rFonts w:hint="eastAsia" w:ascii="Times New Roman" w:hAnsi="Times New Roman" w:eastAsia="宋体" w:cs="宋体"/>
                      <w:b/>
                      <w:bCs/>
                      <w:i w:val="0"/>
                      <w:iCs w:val="0"/>
                      <w:color w:val="auto"/>
                      <w:kern w:val="0"/>
                      <w:sz w:val="21"/>
                      <w:szCs w:val="21"/>
                      <w:highlight w:val="none"/>
                      <w:u w:val="none"/>
                      <w:lang w:val="en-US" w:eastAsia="zh-CN" w:bidi="ar"/>
                    </w:rPr>
                    <w:t>建筑物外距离</w:t>
                  </w:r>
                </w:p>
              </w:tc>
            </w:tr>
            <w:tr w14:paraId="72A415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02" w:type="dxa"/>
                  <w:tcBorders>
                    <w:tl2br w:val="nil"/>
                    <w:tr2bl w:val="nil"/>
                  </w:tcBorders>
                  <w:shd w:val="clear" w:color="auto" w:fill="FFFFFF"/>
                  <w:noWrap/>
                  <w:vAlign w:val="center"/>
                </w:tcPr>
                <w:p w14:paraId="02A3EEC8">
                  <w:pPr>
                    <w:pStyle w:val="21"/>
                    <w:keepNext w:val="0"/>
                    <w:keepLines w:val="0"/>
                    <w:suppressLineNumbers w:val="0"/>
                    <w:bidi w:val="0"/>
                    <w:spacing w:before="0" w:beforeAutospacing="0" w:after="0" w:afterAutospacing="0"/>
                    <w:ind w:left="0" w:right="0"/>
                    <w:rPr>
                      <w:rFonts w:hint="eastAsia"/>
                      <w:color w:val="auto"/>
                      <w:highlight w:val="none"/>
                    </w:rPr>
                  </w:pPr>
                  <w:r>
                    <w:rPr>
                      <w:rFonts w:hint="default"/>
                      <w:color w:val="auto"/>
                      <w:highlight w:val="none"/>
                      <w:lang w:val="en-US" w:eastAsia="zh-CN"/>
                    </w:rPr>
                    <w:t>1</w:t>
                  </w:r>
                </w:p>
              </w:tc>
              <w:tc>
                <w:tcPr>
                  <w:tcW w:w="743" w:type="dxa"/>
                  <w:vMerge w:val="restart"/>
                  <w:tcBorders>
                    <w:tl2br w:val="nil"/>
                    <w:tr2bl w:val="nil"/>
                  </w:tcBorders>
                  <w:shd w:val="clear" w:color="auto" w:fill="FFFFFF"/>
                  <w:noWrap/>
                  <w:vAlign w:val="center"/>
                </w:tcPr>
                <w:p w14:paraId="34DBFC02">
                  <w:pPr>
                    <w:pStyle w:val="21"/>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lang w:val="en-US" w:eastAsia="zh-CN"/>
                    </w:rPr>
                    <w:t>生产厂房</w:t>
                  </w:r>
                </w:p>
              </w:tc>
              <w:tc>
                <w:tcPr>
                  <w:tcW w:w="1528" w:type="dxa"/>
                  <w:tcBorders>
                    <w:tl2br w:val="nil"/>
                    <w:tr2bl w:val="nil"/>
                  </w:tcBorders>
                  <w:shd w:val="clear" w:color="auto" w:fill="FFFFFF"/>
                  <w:noWrap/>
                  <w:vAlign w:val="center"/>
                </w:tcPr>
                <w:p w14:paraId="71A5D74F">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上盖机1</w:t>
                  </w:r>
                </w:p>
              </w:tc>
              <w:tc>
                <w:tcPr>
                  <w:tcW w:w="303" w:type="dxa"/>
                  <w:tcBorders>
                    <w:tl2br w:val="nil"/>
                    <w:tr2bl w:val="nil"/>
                  </w:tcBorders>
                  <w:shd w:val="clear" w:color="auto" w:fill="FFFFFF"/>
                  <w:noWrap/>
                  <w:vAlign w:val="center"/>
                </w:tcPr>
                <w:p w14:paraId="091E0BE9">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w:t>
                  </w:r>
                </w:p>
              </w:tc>
              <w:tc>
                <w:tcPr>
                  <w:tcW w:w="1059" w:type="dxa"/>
                  <w:tcBorders>
                    <w:tl2br w:val="nil"/>
                    <w:tr2bl w:val="nil"/>
                  </w:tcBorders>
                  <w:shd w:val="clear" w:color="auto" w:fill="FFFFFF"/>
                  <w:noWrap/>
                  <w:vAlign w:val="center"/>
                </w:tcPr>
                <w:p w14:paraId="3CB199B1">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75/1</w:t>
                  </w:r>
                </w:p>
              </w:tc>
              <w:tc>
                <w:tcPr>
                  <w:tcW w:w="664" w:type="dxa"/>
                  <w:vMerge w:val="restart"/>
                  <w:tcBorders>
                    <w:tl2br w:val="nil"/>
                    <w:tr2bl w:val="nil"/>
                  </w:tcBorders>
                  <w:shd w:val="clear" w:color="auto" w:fill="FFFFFF"/>
                  <w:noWrap/>
                  <w:vAlign w:val="center"/>
                </w:tcPr>
                <w:p w14:paraId="12968C5A">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隔声、减振</w:t>
                  </w:r>
                </w:p>
              </w:tc>
              <w:tc>
                <w:tcPr>
                  <w:tcW w:w="702" w:type="dxa"/>
                  <w:tcBorders>
                    <w:tl2br w:val="nil"/>
                    <w:tr2bl w:val="nil"/>
                  </w:tcBorders>
                  <w:shd w:val="clear" w:color="auto" w:fill="FFFFFF"/>
                  <w:noWrap/>
                  <w:vAlign w:val="center"/>
                </w:tcPr>
                <w:p w14:paraId="6F879BB6">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61</w:t>
                  </w:r>
                </w:p>
              </w:tc>
              <w:tc>
                <w:tcPr>
                  <w:tcW w:w="813" w:type="dxa"/>
                  <w:tcBorders>
                    <w:tl2br w:val="nil"/>
                    <w:tr2bl w:val="nil"/>
                  </w:tcBorders>
                  <w:shd w:val="clear" w:color="auto" w:fill="FFFFFF"/>
                  <w:noWrap/>
                  <w:vAlign w:val="center"/>
                </w:tcPr>
                <w:p w14:paraId="17769D06">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12</w:t>
                  </w:r>
                </w:p>
              </w:tc>
              <w:tc>
                <w:tcPr>
                  <w:tcW w:w="776" w:type="dxa"/>
                  <w:tcBorders>
                    <w:tl2br w:val="nil"/>
                    <w:tr2bl w:val="nil"/>
                  </w:tcBorders>
                  <w:shd w:val="clear" w:color="auto" w:fill="FFFFFF"/>
                  <w:noWrap/>
                  <w:vAlign w:val="center"/>
                </w:tcPr>
                <w:p w14:paraId="0B6BA213">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w:t>
                  </w:r>
                </w:p>
              </w:tc>
              <w:tc>
                <w:tcPr>
                  <w:tcW w:w="1448" w:type="dxa"/>
                  <w:tcBorders>
                    <w:tl2br w:val="nil"/>
                    <w:tr2bl w:val="nil"/>
                  </w:tcBorders>
                  <w:shd w:val="clear" w:color="auto" w:fill="FFFFFF"/>
                  <w:noWrap/>
                  <w:vAlign w:val="center"/>
                </w:tcPr>
                <w:p w14:paraId="707CF575">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9</w:t>
                  </w:r>
                </w:p>
              </w:tc>
              <w:tc>
                <w:tcPr>
                  <w:tcW w:w="1060" w:type="dxa"/>
                  <w:tcBorders>
                    <w:tl2br w:val="nil"/>
                    <w:tr2bl w:val="nil"/>
                  </w:tcBorders>
                  <w:shd w:val="clear" w:color="auto" w:fill="FFFFFF"/>
                  <w:noWrap/>
                  <w:vAlign w:val="center"/>
                </w:tcPr>
                <w:p w14:paraId="2A8967DA">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55.7</w:t>
                  </w:r>
                </w:p>
              </w:tc>
              <w:tc>
                <w:tcPr>
                  <w:tcW w:w="924" w:type="dxa"/>
                  <w:vMerge w:val="restart"/>
                  <w:tcBorders>
                    <w:tl2br w:val="nil"/>
                    <w:tr2bl w:val="nil"/>
                  </w:tcBorders>
                  <w:shd w:val="clear" w:color="auto" w:fill="FFFFFF"/>
                  <w:noWrap/>
                  <w:vAlign w:val="center"/>
                </w:tcPr>
                <w:p w14:paraId="771EFACF">
                  <w:pPr>
                    <w:pStyle w:val="21"/>
                    <w:keepNext w:val="0"/>
                    <w:keepLines w:val="0"/>
                    <w:suppressLineNumbers w:val="0"/>
                    <w:bidi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昼间+夜间</w:t>
                  </w:r>
                </w:p>
              </w:tc>
              <w:tc>
                <w:tcPr>
                  <w:tcW w:w="1184" w:type="dxa"/>
                  <w:tcBorders>
                    <w:tl2br w:val="nil"/>
                    <w:tr2bl w:val="nil"/>
                  </w:tcBorders>
                  <w:shd w:val="clear" w:color="auto" w:fill="FFFFFF"/>
                  <w:noWrap/>
                  <w:vAlign w:val="center"/>
                </w:tcPr>
                <w:p w14:paraId="40D0A865">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26</w:t>
                  </w:r>
                </w:p>
              </w:tc>
              <w:tc>
                <w:tcPr>
                  <w:tcW w:w="1125" w:type="dxa"/>
                  <w:vMerge w:val="restart"/>
                  <w:tcBorders>
                    <w:tl2br w:val="nil"/>
                    <w:tr2bl w:val="nil"/>
                  </w:tcBorders>
                  <w:shd w:val="clear" w:color="auto" w:fill="FFFFFF"/>
                  <w:noWrap/>
                  <w:vAlign w:val="center"/>
                </w:tcPr>
                <w:p w14:paraId="31C86269">
                  <w:pPr>
                    <w:pStyle w:val="21"/>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46.5</w:t>
                  </w:r>
                </w:p>
              </w:tc>
              <w:tc>
                <w:tcPr>
                  <w:tcW w:w="916" w:type="dxa"/>
                  <w:vMerge w:val="restart"/>
                  <w:tcBorders>
                    <w:tl2br w:val="nil"/>
                    <w:tr2bl w:val="nil"/>
                  </w:tcBorders>
                  <w:shd w:val="clear" w:color="auto" w:fill="FFFFFF"/>
                  <w:noWrap/>
                  <w:vAlign w:val="center"/>
                </w:tcPr>
                <w:p w14:paraId="5DCF1E75">
                  <w:pPr>
                    <w:pStyle w:val="21"/>
                    <w:keepNext w:val="0"/>
                    <w:keepLines w:val="0"/>
                    <w:suppressLineNumbers w:val="0"/>
                    <w:bidi w:val="0"/>
                    <w:spacing w:before="0" w:beforeAutospacing="0" w:after="0" w:afterAutospacing="0"/>
                    <w:ind w:left="0" w:right="0"/>
                    <w:rPr>
                      <w:rFonts w:hint="default"/>
                      <w:color w:val="auto"/>
                      <w:highlight w:val="none"/>
                      <w:lang w:val="en-US"/>
                    </w:rPr>
                  </w:pPr>
                  <w:r>
                    <w:rPr>
                      <w:rFonts w:hint="eastAsia"/>
                      <w:color w:val="auto"/>
                      <w:highlight w:val="none"/>
                      <w:lang w:val="en-US" w:eastAsia="zh-CN"/>
                    </w:rPr>
                    <w:t>1</w:t>
                  </w:r>
                </w:p>
              </w:tc>
            </w:tr>
            <w:tr w14:paraId="5D29E9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402" w:type="dxa"/>
                  <w:tcBorders>
                    <w:tl2br w:val="nil"/>
                    <w:tr2bl w:val="nil"/>
                  </w:tcBorders>
                  <w:shd w:val="clear" w:color="auto" w:fill="FFFFFF"/>
                  <w:noWrap/>
                  <w:vAlign w:val="center"/>
                </w:tcPr>
                <w:p w14:paraId="0E63B8E4">
                  <w:pPr>
                    <w:pStyle w:val="21"/>
                    <w:keepNext w:val="0"/>
                    <w:keepLines w:val="0"/>
                    <w:suppressLineNumbers w:val="0"/>
                    <w:bidi w:val="0"/>
                    <w:spacing w:before="0" w:beforeAutospacing="0" w:after="0" w:afterAutospacing="0"/>
                    <w:ind w:left="0" w:right="0"/>
                    <w:rPr>
                      <w:rFonts w:hint="eastAsia"/>
                      <w:color w:val="auto"/>
                      <w:highlight w:val="none"/>
                    </w:rPr>
                  </w:pPr>
                  <w:r>
                    <w:rPr>
                      <w:rFonts w:hint="default"/>
                      <w:color w:val="auto"/>
                      <w:highlight w:val="none"/>
                      <w:lang w:val="en-US" w:eastAsia="zh-CN"/>
                    </w:rPr>
                    <w:t>2</w:t>
                  </w:r>
                </w:p>
              </w:tc>
              <w:tc>
                <w:tcPr>
                  <w:tcW w:w="743" w:type="dxa"/>
                  <w:vMerge w:val="continue"/>
                  <w:tcBorders>
                    <w:tl2br w:val="nil"/>
                    <w:tr2bl w:val="nil"/>
                  </w:tcBorders>
                  <w:shd w:val="clear" w:color="auto" w:fill="FFFFFF"/>
                  <w:noWrap/>
                  <w:vAlign w:val="center"/>
                </w:tcPr>
                <w:p w14:paraId="28F9A3C3">
                  <w:pPr>
                    <w:pStyle w:val="21"/>
                    <w:keepNext w:val="0"/>
                    <w:keepLines w:val="0"/>
                    <w:suppressLineNumbers w:val="0"/>
                    <w:bidi w:val="0"/>
                    <w:spacing w:before="0" w:beforeAutospacing="0" w:after="0" w:afterAutospacing="0"/>
                    <w:ind w:left="0" w:right="0"/>
                    <w:rPr>
                      <w:rFonts w:hint="eastAsia"/>
                      <w:color w:val="auto"/>
                      <w:highlight w:val="none"/>
                    </w:rPr>
                  </w:pPr>
                </w:p>
              </w:tc>
              <w:tc>
                <w:tcPr>
                  <w:tcW w:w="1528" w:type="dxa"/>
                  <w:tcBorders>
                    <w:tl2br w:val="nil"/>
                    <w:tr2bl w:val="nil"/>
                  </w:tcBorders>
                  <w:shd w:val="clear" w:color="auto" w:fill="FFFFFF"/>
                  <w:noWrap/>
                  <w:vAlign w:val="center"/>
                </w:tcPr>
                <w:p w14:paraId="6BC974F6">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上盖机2</w:t>
                  </w:r>
                </w:p>
              </w:tc>
              <w:tc>
                <w:tcPr>
                  <w:tcW w:w="303" w:type="dxa"/>
                  <w:tcBorders>
                    <w:tl2br w:val="nil"/>
                    <w:tr2bl w:val="nil"/>
                  </w:tcBorders>
                  <w:shd w:val="clear" w:color="auto" w:fill="FFFFFF"/>
                  <w:noWrap/>
                  <w:vAlign w:val="center"/>
                </w:tcPr>
                <w:p w14:paraId="057A106D">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w:t>
                  </w:r>
                </w:p>
              </w:tc>
              <w:tc>
                <w:tcPr>
                  <w:tcW w:w="1059" w:type="dxa"/>
                  <w:tcBorders>
                    <w:tl2br w:val="nil"/>
                    <w:tr2bl w:val="nil"/>
                  </w:tcBorders>
                  <w:shd w:val="clear" w:color="auto" w:fill="FFFFFF"/>
                  <w:noWrap/>
                  <w:vAlign w:val="center"/>
                </w:tcPr>
                <w:p w14:paraId="5408C3CB">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75/1</w:t>
                  </w:r>
                </w:p>
              </w:tc>
              <w:tc>
                <w:tcPr>
                  <w:tcW w:w="664" w:type="dxa"/>
                  <w:vMerge w:val="continue"/>
                  <w:tcBorders>
                    <w:tl2br w:val="nil"/>
                    <w:tr2bl w:val="nil"/>
                  </w:tcBorders>
                  <w:shd w:val="clear" w:color="auto" w:fill="FFFFFF"/>
                  <w:noWrap/>
                  <w:vAlign w:val="center"/>
                </w:tcPr>
                <w:p w14:paraId="0D5760F4">
                  <w:pPr>
                    <w:pStyle w:val="21"/>
                    <w:keepNext w:val="0"/>
                    <w:keepLines w:val="0"/>
                    <w:suppressLineNumbers w:val="0"/>
                    <w:bidi w:val="0"/>
                    <w:spacing w:before="0" w:beforeAutospacing="0" w:after="0" w:afterAutospacing="0"/>
                    <w:ind w:left="0" w:right="0"/>
                    <w:rPr>
                      <w:rFonts w:hint="eastAsia"/>
                      <w:color w:val="auto"/>
                    </w:rPr>
                  </w:pPr>
                </w:p>
              </w:tc>
              <w:tc>
                <w:tcPr>
                  <w:tcW w:w="702" w:type="dxa"/>
                  <w:tcBorders>
                    <w:tl2br w:val="nil"/>
                    <w:tr2bl w:val="nil"/>
                  </w:tcBorders>
                  <w:shd w:val="clear" w:color="auto" w:fill="FFFFFF"/>
                  <w:noWrap/>
                  <w:vAlign w:val="center"/>
                </w:tcPr>
                <w:p w14:paraId="19A0EE6C">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64</w:t>
                  </w:r>
                </w:p>
              </w:tc>
              <w:tc>
                <w:tcPr>
                  <w:tcW w:w="813" w:type="dxa"/>
                  <w:tcBorders>
                    <w:tl2br w:val="nil"/>
                    <w:tr2bl w:val="nil"/>
                  </w:tcBorders>
                  <w:shd w:val="clear" w:color="auto" w:fill="FFFFFF"/>
                  <w:noWrap/>
                  <w:vAlign w:val="center"/>
                </w:tcPr>
                <w:p w14:paraId="4148CE46">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12</w:t>
                  </w:r>
                </w:p>
              </w:tc>
              <w:tc>
                <w:tcPr>
                  <w:tcW w:w="776" w:type="dxa"/>
                  <w:tcBorders>
                    <w:tl2br w:val="nil"/>
                    <w:tr2bl w:val="nil"/>
                  </w:tcBorders>
                  <w:shd w:val="clear" w:color="auto" w:fill="FFFFFF"/>
                  <w:noWrap/>
                  <w:vAlign w:val="center"/>
                </w:tcPr>
                <w:p w14:paraId="2B658176">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w:t>
                  </w:r>
                </w:p>
              </w:tc>
              <w:tc>
                <w:tcPr>
                  <w:tcW w:w="1448" w:type="dxa"/>
                  <w:tcBorders>
                    <w:tl2br w:val="nil"/>
                    <w:tr2bl w:val="nil"/>
                  </w:tcBorders>
                  <w:shd w:val="clear" w:color="auto" w:fill="FFFFFF"/>
                  <w:noWrap/>
                  <w:vAlign w:val="center"/>
                </w:tcPr>
                <w:p w14:paraId="3DD7976F">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9</w:t>
                  </w:r>
                </w:p>
              </w:tc>
              <w:tc>
                <w:tcPr>
                  <w:tcW w:w="1060" w:type="dxa"/>
                  <w:tcBorders>
                    <w:tl2br w:val="nil"/>
                    <w:tr2bl w:val="nil"/>
                  </w:tcBorders>
                  <w:shd w:val="clear" w:color="auto" w:fill="FFFFFF"/>
                  <w:noWrap/>
                  <w:vAlign w:val="center"/>
                </w:tcPr>
                <w:p w14:paraId="4A125ED9">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55.6</w:t>
                  </w:r>
                </w:p>
              </w:tc>
              <w:tc>
                <w:tcPr>
                  <w:tcW w:w="924" w:type="dxa"/>
                  <w:vMerge w:val="continue"/>
                  <w:tcBorders>
                    <w:tl2br w:val="nil"/>
                    <w:tr2bl w:val="nil"/>
                  </w:tcBorders>
                  <w:shd w:val="clear" w:color="auto" w:fill="FFFFFF"/>
                  <w:noWrap/>
                  <w:vAlign w:val="center"/>
                </w:tcPr>
                <w:p w14:paraId="3369A7A9">
                  <w:pPr>
                    <w:pStyle w:val="21"/>
                    <w:keepNext w:val="0"/>
                    <w:keepLines w:val="0"/>
                    <w:suppressLineNumbers w:val="0"/>
                    <w:bidi w:val="0"/>
                    <w:spacing w:before="0" w:beforeAutospacing="0" w:after="0" w:afterAutospacing="0"/>
                    <w:ind w:left="0" w:right="0"/>
                    <w:rPr>
                      <w:rFonts w:hint="eastAsia"/>
                      <w:color w:val="auto"/>
                      <w:highlight w:val="none"/>
                    </w:rPr>
                  </w:pPr>
                </w:p>
              </w:tc>
              <w:tc>
                <w:tcPr>
                  <w:tcW w:w="1184" w:type="dxa"/>
                  <w:tcBorders>
                    <w:tl2br w:val="nil"/>
                    <w:tr2bl w:val="nil"/>
                  </w:tcBorders>
                  <w:shd w:val="clear" w:color="auto" w:fill="FFFFFF"/>
                  <w:noWrap/>
                  <w:vAlign w:val="center"/>
                </w:tcPr>
                <w:p w14:paraId="5FD37439">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26</w:t>
                  </w:r>
                </w:p>
              </w:tc>
              <w:tc>
                <w:tcPr>
                  <w:tcW w:w="1125" w:type="dxa"/>
                  <w:vMerge w:val="continue"/>
                  <w:tcBorders>
                    <w:tl2br w:val="nil"/>
                    <w:tr2bl w:val="nil"/>
                  </w:tcBorders>
                  <w:shd w:val="clear" w:color="auto" w:fill="FFFFFF"/>
                  <w:noWrap/>
                  <w:vAlign w:val="center"/>
                </w:tcPr>
                <w:p w14:paraId="1DB9337C">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c>
                <w:tcPr>
                  <w:tcW w:w="916" w:type="dxa"/>
                  <w:vMerge w:val="continue"/>
                  <w:tcBorders>
                    <w:tl2br w:val="nil"/>
                    <w:tr2bl w:val="nil"/>
                  </w:tcBorders>
                  <w:shd w:val="clear" w:color="auto" w:fill="FFFFFF"/>
                  <w:noWrap/>
                  <w:vAlign w:val="center"/>
                </w:tcPr>
                <w:p w14:paraId="035BE803">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r>
            <w:tr w14:paraId="196AF6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02" w:type="dxa"/>
                  <w:tcBorders>
                    <w:tl2br w:val="nil"/>
                    <w:tr2bl w:val="nil"/>
                  </w:tcBorders>
                  <w:shd w:val="clear" w:color="auto" w:fill="FFFFFF"/>
                  <w:noWrap/>
                  <w:vAlign w:val="center"/>
                </w:tcPr>
                <w:p w14:paraId="7A33DC48">
                  <w:pPr>
                    <w:pStyle w:val="21"/>
                    <w:keepNext w:val="0"/>
                    <w:keepLines w:val="0"/>
                    <w:suppressLineNumbers w:val="0"/>
                    <w:bidi w:val="0"/>
                    <w:spacing w:before="0" w:beforeAutospacing="0" w:after="0" w:afterAutospacing="0"/>
                    <w:ind w:left="0" w:right="0"/>
                    <w:rPr>
                      <w:rFonts w:hint="eastAsia"/>
                      <w:color w:val="auto"/>
                      <w:highlight w:val="none"/>
                    </w:rPr>
                  </w:pPr>
                  <w:r>
                    <w:rPr>
                      <w:rFonts w:hint="default"/>
                      <w:color w:val="auto"/>
                      <w:highlight w:val="none"/>
                      <w:lang w:val="en-US" w:eastAsia="zh-CN"/>
                    </w:rPr>
                    <w:t>3</w:t>
                  </w:r>
                </w:p>
              </w:tc>
              <w:tc>
                <w:tcPr>
                  <w:tcW w:w="743" w:type="dxa"/>
                  <w:vMerge w:val="continue"/>
                  <w:tcBorders>
                    <w:tl2br w:val="nil"/>
                    <w:tr2bl w:val="nil"/>
                  </w:tcBorders>
                  <w:shd w:val="clear" w:color="auto" w:fill="FFFFFF"/>
                  <w:noWrap/>
                  <w:vAlign w:val="center"/>
                </w:tcPr>
                <w:p w14:paraId="69E9E64F">
                  <w:pPr>
                    <w:pStyle w:val="21"/>
                    <w:keepNext w:val="0"/>
                    <w:keepLines w:val="0"/>
                    <w:suppressLineNumbers w:val="0"/>
                    <w:bidi w:val="0"/>
                    <w:spacing w:before="0" w:beforeAutospacing="0" w:after="0" w:afterAutospacing="0"/>
                    <w:ind w:left="0" w:right="0"/>
                    <w:rPr>
                      <w:rFonts w:hint="eastAsia"/>
                      <w:color w:val="auto"/>
                      <w:highlight w:val="none"/>
                    </w:rPr>
                  </w:pPr>
                </w:p>
              </w:tc>
              <w:tc>
                <w:tcPr>
                  <w:tcW w:w="1528" w:type="dxa"/>
                  <w:tcBorders>
                    <w:tl2br w:val="nil"/>
                    <w:tr2bl w:val="nil"/>
                  </w:tcBorders>
                  <w:shd w:val="clear" w:color="auto" w:fill="FFFFFF"/>
                  <w:noWrap/>
                  <w:vAlign w:val="center"/>
                </w:tcPr>
                <w:p w14:paraId="165359DB">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吹干机1</w:t>
                  </w:r>
                </w:p>
              </w:tc>
              <w:tc>
                <w:tcPr>
                  <w:tcW w:w="303" w:type="dxa"/>
                  <w:tcBorders>
                    <w:tl2br w:val="nil"/>
                    <w:tr2bl w:val="nil"/>
                  </w:tcBorders>
                  <w:shd w:val="clear" w:color="auto" w:fill="FFFFFF"/>
                  <w:noWrap/>
                  <w:vAlign w:val="center"/>
                </w:tcPr>
                <w:p w14:paraId="2948B885">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w:t>
                  </w:r>
                </w:p>
              </w:tc>
              <w:tc>
                <w:tcPr>
                  <w:tcW w:w="1059" w:type="dxa"/>
                  <w:tcBorders>
                    <w:tl2br w:val="nil"/>
                    <w:tr2bl w:val="nil"/>
                  </w:tcBorders>
                  <w:shd w:val="clear" w:color="auto" w:fill="FFFFFF"/>
                  <w:noWrap/>
                  <w:vAlign w:val="center"/>
                </w:tcPr>
                <w:p w14:paraId="5A535EBE">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75/1</w:t>
                  </w:r>
                </w:p>
              </w:tc>
              <w:tc>
                <w:tcPr>
                  <w:tcW w:w="664" w:type="dxa"/>
                  <w:vMerge w:val="continue"/>
                  <w:tcBorders>
                    <w:tl2br w:val="nil"/>
                    <w:tr2bl w:val="nil"/>
                  </w:tcBorders>
                  <w:shd w:val="clear" w:color="auto" w:fill="FFFFFF"/>
                  <w:noWrap/>
                  <w:vAlign w:val="center"/>
                </w:tcPr>
                <w:p w14:paraId="2FB5AA43">
                  <w:pPr>
                    <w:pStyle w:val="21"/>
                    <w:keepNext w:val="0"/>
                    <w:keepLines w:val="0"/>
                    <w:suppressLineNumbers w:val="0"/>
                    <w:bidi w:val="0"/>
                    <w:spacing w:before="0" w:beforeAutospacing="0" w:after="0" w:afterAutospacing="0"/>
                    <w:ind w:left="0" w:right="0"/>
                    <w:rPr>
                      <w:rFonts w:hint="eastAsia"/>
                      <w:color w:val="auto"/>
                    </w:rPr>
                  </w:pPr>
                </w:p>
              </w:tc>
              <w:tc>
                <w:tcPr>
                  <w:tcW w:w="702" w:type="dxa"/>
                  <w:tcBorders>
                    <w:tl2br w:val="nil"/>
                    <w:tr2bl w:val="nil"/>
                  </w:tcBorders>
                  <w:shd w:val="clear" w:color="auto" w:fill="FFFFFF"/>
                  <w:noWrap/>
                  <w:vAlign w:val="center"/>
                </w:tcPr>
                <w:p w14:paraId="27266377">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99</w:t>
                  </w:r>
                </w:p>
              </w:tc>
              <w:tc>
                <w:tcPr>
                  <w:tcW w:w="813" w:type="dxa"/>
                  <w:tcBorders>
                    <w:tl2br w:val="nil"/>
                    <w:tr2bl w:val="nil"/>
                  </w:tcBorders>
                  <w:shd w:val="clear" w:color="auto" w:fill="FFFFFF"/>
                  <w:noWrap/>
                  <w:vAlign w:val="center"/>
                </w:tcPr>
                <w:p w14:paraId="14137A7C">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17</w:t>
                  </w:r>
                </w:p>
              </w:tc>
              <w:tc>
                <w:tcPr>
                  <w:tcW w:w="776" w:type="dxa"/>
                  <w:tcBorders>
                    <w:tl2br w:val="nil"/>
                    <w:tr2bl w:val="nil"/>
                  </w:tcBorders>
                  <w:shd w:val="clear" w:color="auto" w:fill="FFFFFF"/>
                  <w:noWrap/>
                  <w:vAlign w:val="center"/>
                </w:tcPr>
                <w:p w14:paraId="10AA754A">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w:t>
                  </w:r>
                </w:p>
              </w:tc>
              <w:tc>
                <w:tcPr>
                  <w:tcW w:w="1448" w:type="dxa"/>
                  <w:tcBorders>
                    <w:tl2br w:val="nil"/>
                    <w:tr2bl w:val="nil"/>
                  </w:tcBorders>
                  <w:shd w:val="clear" w:color="auto" w:fill="FFFFFF"/>
                  <w:noWrap/>
                  <w:vAlign w:val="center"/>
                </w:tcPr>
                <w:p w14:paraId="6C225FAC">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4</w:t>
                  </w:r>
                </w:p>
              </w:tc>
              <w:tc>
                <w:tcPr>
                  <w:tcW w:w="1060" w:type="dxa"/>
                  <w:tcBorders>
                    <w:tl2br w:val="nil"/>
                    <w:tr2bl w:val="nil"/>
                  </w:tcBorders>
                  <w:shd w:val="clear" w:color="auto" w:fill="FFFFFF"/>
                  <w:noWrap/>
                  <w:vAlign w:val="center"/>
                </w:tcPr>
                <w:p w14:paraId="6FC79364">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57.0</w:t>
                  </w:r>
                </w:p>
              </w:tc>
              <w:tc>
                <w:tcPr>
                  <w:tcW w:w="924" w:type="dxa"/>
                  <w:vMerge w:val="continue"/>
                  <w:tcBorders>
                    <w:tl2br w:val="nil"/>
                    <w:tr2bl w:val="nil"/>
                  </w:tcBorders>
                  <w:shd w:val="clear" w:color="auto" w:fill="FFFFFF"/>
                  <w:noWrap/>
                  <w:vAlign w:val="center"/>
                </w:tcPr>
                <w:p w14:paraId="755C7FB1">
                  <w:pPr>
                    <w:pStyle w:val="21"/>
                    <w:keepNext w:val="0"/>
                    <w:keepLines w:val="0"/>
                    <w:suppressLineNumbers w:val="0"/>
                    <w:bidi w:val="0"/>
                    <w:spacing w:before="0" w:beforeAutospacing="0" w:after="0" w:afterAutospacing="0"/>
                    <w:ind w:left="0" w:right="0"/>
                    <w:rPr>
                      <w:rFonts w:hint="eastAsia"/>
                      <w:color w:val="auto"/>
                      <w:highlight w:val="none"/>
                    </w:rPr>
                  </w:pPr>
                </w:p>
              </w:tc>
              <w:tc>
                <w:tcPr>
                  <w:tcW w:w="1184" w:type="dxa"/>
                  <w:tcBorders>
                    <w:tl2br w:val="nil"/>
                    <w:tr2bl w:val="nil"/>
                  </w:tcBorders>
                  <w:shd w:val="clear" w:color="auto" w:fill="FFFFFF"/>
                  <w:noWrap/>
                  <w:vAlign w:val="center"/>
                </w:tcPr>
                <w:p w14:paraId="73D97730">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26</w:t>
                  </w:r>
                </w:p>
              </w:tc>
              <w:tc>
                <w:tcPr>
                  <w:tcW w:w="1125" w:type="dxa"/>
                  <w:vMerge w:val="continue"/>
                  <w:tcBorders>
                    <w:tl2br w:val="nil"/>
                    <w:tr2bl w:val="nil"/>
                  </w:tcBorders>
                  <w:shd w:val="clear" w:color="auto" w:fill="FFFFFF"/>
                  <w:noWrap/>
                  <w:vAlign w:val="center"/>
                </w:tcPr>
                <w:p w14:paraId="142027F7">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c>
                <w:tcPr>
                  <w:tcW w:w="916" w:type="dxa"/>
                  <w:vMerge w:val="continue"/>
                  <w:tcBorders>
                    <w:tl2br w:val="nil"/>
                    <w:tr2bl w:val="nil"/>
                  </w:tcBorders>
                  <w:shd w:val="clear" w:color="auto" w:fill="FFFFFF"/>
                  <w:noWrap/>
                  <w:vAlign w:val="center"/>
                </w:tcPr>
                <w:p w14:paraId="24FB19BD">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r>
            <w:tr w14:paraId="7C62E7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402" w:type="dxa"/>
                  <w:tcBorders>
                    <w:tl2br w:val="nil"/>
                    <w:tr2bl w:val="nil"/>
                  </w:tcBorders>
                  <w:shd w:val="clear" w:color="auto" w:fill="FFFFFF"/>
                  <w:noWrap/>
                  <w:vAlign w:val="center"/>
                </w:tcPr>
                <w:p w14:paraId="2BCC6D9B">
                  <w:pPr>
                    <w:pStyle w:val="21"/>
                    <w:keepNext w:val="0"/>
                    <w:keepLines w:val="0"/>
                    <w:suppressLineNumbers w:val="0"/>
                    <w:bidi w:val="0"/>
                    <w:spacing w:before="0" w:beforeAutospacing="0" w:after="0" w:afterAutospacing="0"/>
                    <w:ind w:left="0" w:right="0"/>
                    <w:rPr>
                      <w:rFonts w:hint="eastAsia"/>
                      <w:color w:val="auto"/>
                      <w:highlight w:val="none"/>
                    </w:rPr>
                  </w:pPr>
                  <w:r>
                    <w:rPr>
                      <w:rFonts w:hint="default"/>
                      <w:color w:val="auto"/>
                      <w:highlight w:val="none"/>
                      <w:lang w:val="en-US" w:eastAsia="zh-CN"/>
                    </w:rPr>
                    <w:t>4</w:t>
                  </w:r>
                </w:p>
              </w:tc>
              <w:tc>
                <w:tcPr>
                  <w:tcW w:w="743" w:type="dxa"/>
                  <w:vMerge w:val="continue"/>
                  <w:tcBorders>
                    <w:tl2br w:val="nil"/>
                    <w:tr2bl w:val="nil"/>
                  </w:tcBorders>
                  <w:shd w:val="clear" w:color="auto" w:fill="FFFFFF"/>
                  <w:noWrap/>
                  <w:vAlign w:val="center"/>
                </w:tcPr>
                <w:p w14:paraId="51E0B939">
                  <w:pPr>
                    <w:pStyle w:val="21"/>
                    <w:keepNext w:val="0"/>
                    <w:keepLines w:val="0"/>
                    <w:suppressLineNumbers w:val="0"/>
                    <w:bidi w:val="0"/>
                    <w:spacing w:before="0" w:beforeAutospacing="0" w:after="0" w:afterAutospacing="0"/>
                    <w:ind w:left="0" w:right="0"/>
                    <w:rPr>
                      <w:rFonts w:hint="eastAsia"/>
                      <w:color w:val="auto"/>
                      <w:highlight w:val="none"/>
                    </w:rPr>
                  </w:pPr>
                </w:p>
              </w:tc>
              <w:tc>
                <w:tcPr>
                  <w:tcW w:w="1528" w:type="dxa"/>
                  <w:tcBorders>
                    <w:tl2br w:val="nil"/>
                    <w:tr2bl w:val="nil"/>
                  </w:tcBorders>
                  <w:shd w:val="clear" w:color="auto" w:fill="FFFFFF"/>
                  <w:noWrap/>
                  <w:vAlign w:val="center"/>
                </w:tcPr>
                <w:p w14:paraId="3911C616">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吹干机2</w:t>
                  </w:r>
                </w:p>
              </w:tc>
              <w:tc>
                <w:tcPr>
                  <w:tcW w:w="303" w:type="dxa"/>
                  <w:tcBorders>
                    <w:tl2br w:val="nil"/>
                    <w:tr2bl w:val="nil"/>
                  </w:tcBorders>
                  <w:shd w:val="clear" w:color="auto" w:fill="FFFFFF"/>
                  <w:noWrap/>
                  <w:vAlign w:val="center"/>
                </w:tcPr>
                <w:p w14:paraId="57907426">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w:t>
                  </w:r>
                </w:p>
              </w:tc>
              <w:tc>
                <w:tcPr>
                  <w:tcW w:w="1059" w:type="dxa"/>
                  <w:tcBorders>
                    <w:tl2br w:val="nil"/>
                    <w:tr2bl w:val="nil"/>
                  </w:tcBorders>
                  <w:shd w:val="clear" w:color="auto" w:fill="FFFFFF"/>
                  <w:noWrap/>
                  <w:vAlign w:val="center"/>
                </w:tcPr>
                <w:p w14:paraId="7EB1FE1F">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75/1</w:t>
                  </w:r>
                </w:p>
              </w:tc>
              <w:tc>
                <w:tcPr>
                  <w:tcW w:w="664" w:type="dxa"/>
                  <w:vMerge w:val="continue"/>
                  <w:tcBorders>
                    <w:tl2br w:val="nil"/>
                    <w:tr2bl w:val="nil"/>
                  </w:tcBorders>
                  <w:shd w:val="clear" w:color="auto" w:fill="FFFFFF"/>
                  <w:noWrap/>
                  <w:vAlign w:val="center"/>
                </w:tcPr>
                <w:p w14:paraId="1920E114">
                  <w:pPr>
                    <w:pStyle w:val="21"/>
                    <w:keepNext w:val="0"/>
                    <w:keepLines w:val="0"/>
                    <w:suppressLineNumbers w:val="0"/>
                    <w:bidi w:val="0"/>
                    <w:spacing w:before="0" w:beforeAutospacing="0" w:after="0" w:afterAutospacing="0"/>
                    <w:ind w:left="0" w:right="0"/>
                    <w:rPr>
                      <w:rFonts w:hint="eastAsia"/>
                      <w:color w:val="auto"/>
                    </w:rPr>
                  </w:pPr>
                </w:p>
              </w:tc>
              <w:tc>
                <w:tcPr>
                  <w:tcW w:w="702" w:type="dxa"/>
                  <w:tcBorders>
                    <w:tl2br w:val="nil"/>
                    <w:tr2bl w:val="nil"/>
                  </w:tcBorders>
                  <w:shd w:val="clear" w:color="auto" w:fill="FFFFFF"/>
                  <w:noWrap/>
                  <w:vAlign w:val="center"/>
                </w:tcPr>
                <w:p w14:paraId="4D3601D0">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87</w:t>
                  </w:r>
                </w:p>
              </w:tc>
              <w:tc>
                <w:tcPr>
                  <w:tcW w:w="813" w:type="dxa"/>
                  <w:tcBorders>
                    <w:tl2br w:val="nil"/>
                    <w:tr2bl w:val="nil"/>
                  </w:tcBorders>
                  <w:shd w:val="clear" w:color="auto" w:fill="FFFFFF"/>
                  <w:noWrap/>
                  <w:vAlign w:val="center"/>
                </w:tcPr>
                <w:p w14:paraId="34288650">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9</w:t>
                  </w:r>
                </w:p>
              </w:tc>
              <w:tc>
                <w:tcPr>
                  <w:tcW w:w="776" w:type="dxa"/>
                  <w:tcBorders>
                    <w:tl2br w:val="nil"/>
                    <w:tr2bl w:val="nil"/>
                  </w:tcBorders>
                  <w:shd w:val="clear" w:color="auto" w:fill="FFFFFF"/>
                  <w:noWrap/>
                  <w:vAlign w:val="center"/>
                </w:tcPr>
                <w:p w14:paraId="53222C2C">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w:t>
                  </w:r>
                </w:p>
              </w:tc>
              <w:tc>
                <w:tcPr>
                  <w:tcW w:w="1448" w:type="dxa"/>
                  <w:tcBorders>
                    <w:tl2br w:val="nil"/>
                    <w:tr2bl w:val="nil"/>
                  </w:tcBorders>
                  <w:shd w:val="clear" w:color="auto" w:fill="FFFFFF"/>
                  <w:noWrap/>
                  <w:vAlign w:val="center"/>
                </w:tcPr>
                <w:p w14:paraId="6405D022">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9</w:t>
                  </w:r>
                </w:p>
              </w:tc>
              <w:tc>
                <w:tcPr>
                  <w:tcW w:w="1060" w:type="dxa"/>
                  <w:tcBorders>
                    <w:tl2br w:val="nil"/>
                    <w:tr2bl w:val="nil"/>
                  </w:tcBorders>
                  <w:shd w:val="clear" w:color="auto" w:fill="FFFFFF"/>
                  <w:noWrap/>
                  <w:vAlign w:val="center"/>
                </w:tcPr>
                <w:p w14:paraId="760FA85C">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55.6</w:t>
                  </w:r>
                </w:p>
              </w:tc>
              <w:tc>
                <w:tcPr>
                  <w:tcW w:w="924" w:type="dxa"/>
                  <w:vMerge w:val="continue"/>
                  <w:tcBorders>
                    <w:tl2br w:val="nil"/>
                    <w:tr2bl w:val="nil"/>
                  </w:tcBorders>
                  <w:shd w:val="clear" w:color="auto" w:fill="FFFFFF"/>
                  <w:noWrap/>
                  <w:vAlign w:val="center"/>
                </w:tcPr>
                <w:p w14:paraId="1B7D97B6">
                  <w:pPr>
                    <w:pStyle w:val="21"/>
                    <w:keepNext w:val="0"/>
                    <w:keepLines w:val="0"/>
                    <w:suppressLineNumbers w:val="0"/>
                    <w:bidi w:val="0"/>
                    <w:spacing w:before="0" w:beforeAutospacing="0" w:after="0" w:afterAutospacing="0"/>
                    <w:ind w:left="0" w:right="0"/>
                    <w:rPr>
                      <w:rFonts w:hint="eastAsia"/>
                      <w:color w:val="auto"/>
                      <w:highlight w:val="none"/>
                    </w:rPr>
                  </w:pPr>
                </w:p>
              </w:tc>
              <w:tc>
                <w:tcPr>
                  <w:tcW w:w="1184" w:type="dxa"/>
                  <w:tcBorders>
                    <w:tl2br w:val="nil"/>
                    <w:tr2bl w:val="nil"/>
                  </w:tcBorders>
                  <w:shd w:val="clear" w:color="auto" w:fill="FFFFFF"/>
                  <w:noWrap/>
                  <w:vAlign w:val="center"/>
                </w:tcPr>
                <w:p w14:paraId="554B799A">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26</w:t>
                  </w:r>
                </w:p>
              </w:tc>
              <w:tc>
                <w:tcPr>
                  <w:tcW w:w="1125" w:type="dxa"/>
                  <w:vMerge w:val="continue"/>
                  <w:tcBorders>
                    <w:tl2br w:val="nil"/>
                    <w:tr2bl w:val="nil"/>
                  </w:tcBorders>
                  <w:shd w:val="clear" w:color="auto" w:fill="FFFFFF"/>
                  <w:noWrap/>
                  <w:vAlign w:val="center"/>
                </w:tcPr>
                <w:p w14:paraId="6190B2EC">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c>
                <w:tcPr>
                  <w:tcW w:w="916" w:type="dxa"/>
                  <w:vMerge w:val="continue"/>
                  <w:tcBorders>
                    <w:tl2br w:val="nil"/>
                    <w:tr2bl w:val="nil"/>
                  </w:tcBorders>
                  <w:shd w:val="clear" w:color="auto" w:fill="FFFFFF"/>
                  <w:noWrap/>
                  <w:vAlign w:val="center"/>
                </w:tcPr>
                <w:p w14:paraId="7FB16221">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r>
            <w:tr w14:paraId="608B12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402" w:type="dxa"/>
                  <w:tcBorders>
                    <w:tl2br w:val="nil"/>
                    <w:tr2bl w:val="nil"/>
                  </w:tcBorders>
                  <w:shd w:val="clear" w:color="auto" w:fill="auto"/>
                  <w:noWrap/>
                  <w:vAlign w:val="center"/>
                </w:tcPr>
                <w:p w14:paraId="6AC0E4CB">
                  <w:pPr>
                    <w:pStyle w:val="21"/>
                    <w:keepNext w:val="0"/>
                    <w:keepLines w:val="0"/>
                    <w:suppressLineNumbers w:val="0"/>
                    <w:bidi w:val="0"/>
                    <w:spacing w:before="0" w:beforeAutospacing="0" w:after="0" w:afterAutospacing="0"/>
                    <w:ind w:left="0" w:right="0"/>
                    <w:rPr>
                      <w:rFonts w:hint="eastAsia"/>
                      <w:color w:val="auto"/>
                      <w:highlight w:val="none"/>
                    </w:rPr>
                  </w:pPr>
                  <w:r>
                    <w:rPr>
                      <w:rFonts w:hint="default"/>
                      <w:color w:val="auto"/>
                      <w:highlight w:val="none"/>
                      <w:lang w:val="en-US" w:eastAsia="zh-CN"/>
                    </w:rPr>
                    <w:t>5</w:t>
                  </w:r>
                </w:p>
              </w:tc>
              <w:tc>
                <w:tcPr>
                  <w:tcW w:w="743" w:type="dxa"/>
                  <w:vMerge w:val="continue"/>
                  <w:tcBorders>
                    <w:tl2br w:val="nil"/>
                    <w:tr2bl w:val="nil"/>
                  </w:tcBorders>
                  <w:shd w:val="clear" w:color="auto" w:fill="FFFFFF"/>
                  <w:noWrap/>
                  <w:vAlign w:val="center"/>
                </w:tcPr>
                <w:p w14:paraId="2E014C22">
                  <w:pPr>
                    <w:pStyle w:val="21"/>
                    <w:keepNext w:val="0"/>
                    <w:keepLines w:val="0"/>
                    <w:suppressLineNumbers w:val="0"/>
                    <w:bidi w:val="0"/>
                    <w:spacing w:before="0" w:beforeAutospacing="0" w:after="0" w:afterAutospacing="0"/>
                    <w:ind w:left="0" w:right="0"/>
                    <w:rPr>
                      <w:rFonts w:hint="eastAsia"/>
                      <w:color w:val="auto"/>
                      <w:highlight w:val="none"/>
                    </w:rPr>
                  </w:pPr>
                </w:p>
              </w:tc>
              <w:tc>
                <w:tcPr>
                  <w:tcW w:w="1528" w:type="dxa"/>
                  <w:tcBorders>
                    <w:tl2br w:val="nil"/>
                    <w:tr2bl w:val="nil"/>
                  </w:tcBorders>
                  <w:shd w:val="clear" w:color="auto" w:fill="auto"/>
                  <w:noWrap/>
                  <w:vAlign w:val="center"/>
                </w:tcPr>
                <w:p w14:paraId="1BF237D8">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吹干机3</w:t>
                  </w:r>
                </w:p>
              </w:tc>
              <w:tc>
                <w:tcPr>
                  <w:tcW w:w="303" w:type="dxa"/>
                  <w:tcBorders>
                    <w:tl2br w:val="nil"/>
                    <w:tr2bl w:val="nil"/>
                  </w:tcBorders>
                  <w:shd w:val="clear" w:color="auto" w:fill="FFFFFF"/>
                  <w:noWrap/>
                  <w:vAlign w:val="center"/>
                </w:tcPr>
                <w:p w14:paraId="2DEB82F6">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w:t>
                  </w:r>
                </w:p>
              </w:tc>
              <w:tc>
                <w:tcPr>
                  <w:tcW w:w="1059" w:type="dxa"/>
                  <w:tcBorders>
                    <w:tl2br w:val="nil"/>
                    <w:tr2bl w:val="nil"/>
                  </w:tcBorders>
                  <w:shd w:val="clear" w:color="auto" w:fill="auto"/>
                  <w:noWrap/>
                  <w:vAlign w:val="center"/>
                </w:tcPr>
                <w:p w14:paraId="1824CE64">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75/1</w:t>
                  </w:r>
                </w:p>
              </w:tc>
              <w:tc>
                <w:tcPr>
                  <w:tcW w:w="664" w:type="dxa"/>
                  <w:vMerge w:val="continue"/>
                  <w:tcBorders>
                    <w:tl2br w:val="nil"/>
                    <w:tr2bl w:val="nil"/>
                  </w:tcBorders>
                  <w:shd w:val="clear" w:color="auto" w:fill="auto"/>
                  <w:noWrap/>
                  <w:vAlign w:val="center"/>
                </w:tcPr>
                <w:p w14:paraId="7FDE441C">
                  <w:pPr>
                    <w:pStyle w:val="21"/>
                    <w:keepNext w:val="0"/>
                    <w:keepLines w:val="0"/>
                    <w:suppressLineNumbers w:val="0"/>
                    <w:bidi w:val="0"/>
                    <w:spacing w:before="0" w:beforeAutospacing="0" w:after="0" w:afterAutospacing="0"/>
                    <w:ind w:left="0" w:right="0"/>
                    <w:rPr>
                      <w:rFonts w:hint="eastAsia"/>
                      <w:color w:val="auto"/>
                    </w:rPr>
                  </w:pPr>
                </w:p>
              </w:tc>
              <w:tc>
                <w:tcPr>
                  <w:tcW w:w="702" w:type="dxa"/>
                  <w:tcBorders>
                    <w:tl2br w:val="nil"/>
                    <w:tr2bl w:val="nil"/>
                  </w:tcBorders>
                  <w:shd w:val="clear" w:color="auto" w:fill="auto"/>
                  <w:noWrap/>
                  <w:vAlign w:val="center"/>
                </w:tcPr>
                <w:p w14:paraId="56AA4A15">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71</w:t>
                  </w:r>
                </w:p>
              </w:tc>
              <w:tc>
                <w:tcPr>
                  <w:tcW w:w="813" w:type="dxa"/>
                  <w:tcBorders>
                    <w:tl2br w:val="nil"/>
                    <w:tr2bl w:val="nil"/>
                  </w:tcBorders>
                  <w:shd w:val="clear" w:color="auto" w:fill="auto"/>
                  <w:noWrap/>
                  <w:vAlign w:val="center"/>
                </w:tcPr>
                <w:p w14:paraId="111793AD">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4</w:t>
                  </w:r>
                </w:p>
              </w:tc>
              <w:tc>
                <w:tcPr>
                  <w:tcW w:w="776" w:type="dxa"/>
                  <w:tcBorders>
                    <w:tl2br w:val="nil"/>
                    <w:tr2bl w:val="nil"/>
                  </w:tcBorders>
                  <w:shd w:val="clear" w:color="auto" w:fill="auto"/>
                  <w:noWrap/>
                  <w:vAlign w:val="center"/>
                </w:tcPr>
                <w:p w14:paraId="7BA8023F">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w:t>
                  </w:r>
                </w:p>
              </w:tc>
              <w:tc>
                <w:tcPr>
                  <w:tcW w:w="1448" w:type="dxa"/>
                  <w:tcBorders>
                    <w:tl2br w:val="nil"/>
                    <w:tr2bl w:val="nil"/>
                  </w:tcBorders>
                  <w:shd w:val="clear" w:color="auto" w:fill="auto"/>
                  <w:noWrap/>
                  <w:vAlign w:val="center"/>
                </w:tcPr>
                <w:p w14:paraId="79C60264">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4</w:t>
                  </w:r>
                </w:p>
              </w:tc>
              <w:tc>
                <w:tcPr>
                  <w:tcW w:w="1060" w:type="dxa"/>
                  <w:tcBorders>
                    <w:tl2br w:val="nil"/>
                    <w:tr2bl w:val="nil"/>
                  </w:tcBorders>
                  <w:shd w:val="clear" w:color="auto" w:fill="auto"/>
                  <w:noWrap/>
                  <w:vAlign w:val="center"/>
                </w:tcPr>
                <w:p w14:paraId="1D19330E">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56.6</w:t>
                  </w:r>
                </w:p>
              </w:tc>
              <w:tc>
                <w:tcPr>
                  <w:tcW w:w="924" w:type="dxa"/>
                  <w:vMerge w:val="continue"/>
                  <w:tcBorders>
                    <w:tl2br w:val="nil"/>
                    <w:tr2bl w:val="nil"/>
                  </w:tcBorders>
                  <w:shd w:val="clear" w:color="auto" w:fill="auto"/>
                  <w:noWrap/>
                  <w:vAlign w:val="center"/>
                </w:tcPr>
                <w:p w14:paraId="551ABED4">
                  <w:pPr>
                    <w:pStyle w:val="21"/>
                    <w:keepNext w:val="0"/>
                    <w:keepLines w:val="0"/>
                    <w:suppressLineNumbers w:val="0"/>
                    <w:bidi w:val="0"/>
                    <w:spacing w:before="0" w:beforeAutospacing="0" w:after="0" w:afterAutospacing="0"/>
                    <w:ind w:left="0" w:right="0"/>
                    <w:rPr>
                      <w:rFonts w:hint="eastAsia"/>
                      <w:color w:val="auto"/>
                      <w:highlight w:val="none"/>
                    </w:rPr>
                  </w:pPr>
                </w:p>
              </w:tc>
              <w:tc>
                <w:tcPr>
                  <w:tcW w:w="1184" w:type="dxa"/>
                  <w:tcBorders>
                    <w:tl2br w:val="nil"/>
                    <w:tr2bl w:val="nil"/>
                  </w:tcBorders>
                  <w:shd w:val="clear" w:color="auto" w:fill="auto"/>
                  <w:noWrap/>
                  <w:vAlign w:val="center"/>
                </w:tcPr>
                <w:p w14:paraId="19C16798">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26</w:t>
                  </w:r>
                </w:p>
              </w:tc>
              <w:tc>
                <w:tcPr>
                  <w:tcW w:w="1125" w:type="dxa"/>
                  <w:vMerge w:val="continue"/>
                  <w:tcBorders>
                    <w:tl2br w:val="nil"/>
                    <w:tr2bl w:val="nil"/>
                  </w:tcBorders>
                  <w:shd w:val="clear" w:color="auto" w:fill="auto"/>
                  <w:noWrap/>
                  <w:vAlign w:val="center"/>
                </w:tcPr>
                <w:p w14:paraId="45B3BED1">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c>
                <w:tcPr>
                  <w:tcW w:w="916" w:type="dxa"/>
                  <w:vMerge w:val="continue"/>
                  <w:tcBorders>
                    <w:tl2br w:val="nil"/>
                    <w:tr2bl w:val="nil"/>
                  </w:tcBorders>
                  <w:shd w:val="clear" w:color="auto" w:fill="auto"/>
                  <w:noWrap/>
                  <w:vAlign w:val="center"/>
                </w:tcPr>
                <w:p w14:paraId="3D859BB1">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r>
            <w:tr w14:paraId="0A4D29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02" w:type="dxa"/>
                  <w:tcBorders>
                    <w:tl2br w:val="nil"/>
                    <w:tr2bl w:val="nil"/>
                  </w:tcBorders>
                  <w:shd w:val="clear" w:color="auto" w:fill="auto"/>
                  <w:noWrap/>
                  <w:vAlign w:val="center"/>
                </w:tcPr>
                <w:p w14:paraId="0CE64C95">
                  <w:pPr>
                    <w:pStyle w:val="21"/>
                    <w:keepNext w:val="0"/>
                    <w:keepLines w:val="0"/>
                    <w:suppressLineNumbers w:val="0"/>
                    <w:bidi w:val="0"/>
                    <w:spacing w:before="0" w:beforeAutospacing="0" w:after="0" w:afterAutospacing="0"/>
                    <w:ind w:left="0" w:right="0"/>
                    <w:rPr>
                      <w:rFonts w:hint="eastAsia"/>
                      <w:color w:val="auto"/>
                      <w:highlight w:val="none"/>
                    </w:rPr>
                  </w:pPr>
                  <w:r>
                    <w:rPr>
                      <w:rFonts w:hint="default"/>
                      <w:color w:val="auto"/>
                      <w:highlight w:val="none"/>
                      <w:lang w:val="en-US" w:eastAsia="zh-CN"/>
                    </w:rPr>
                    <w:t>6</w:t>
                  </w:r>
                </w:p>
              </w:tc>
              <w:tc>
                <w:tcPr>
                  <w:tcW w:w="743" w:type="dxa"/>
                  <w:vMerge w:val="continue"/>
                  <w:tcBorders>
                    <w:tl2br w:val="nil"/>
                    <w:tr2bl w:val="nil"/>
                  </w:tcBorders>
                  <w:shd w:val="clear" w:color="auto" w:fill="FFFFFF"/>
                  <w:noWrap/>
                  <w:vAlign w:val="center"/>
                </w:tcPr>
                <w:p w14:paraId="6AEDD45F">
                  <w:pPr>
                    <w:pStyle w:val="21"/>
                    <w:keepNext w:val="0"/>
                    <w:keepLines w:val="0"/>
                    <w:suppressLineNumbers w:val="0"/>
                    <w:bidi w:val="0"/>
                    <w:spacing w:before="0" w:beforeAutospacing="0" w:after="0" w:afterAutospacing="0"/>
                    <w:ind w:left="0" w:right="0"/>
                    <w:rPr>
                      <w:rFonts w:hint="eastAsia"/>
                      <w:color w:val="auto"/>
                      <w:highlight w:val="none"/>
                    </w:rPr>
                  </w:pPr>
                </w:p>
              </w:tc>
              <w:tc>
                <w:tcPr>
                  <w:tcW w:w="1528" w:type="dxa"/>
                  <w:tcBorders>
                    <w:tl2br w:val="nil"/>
                    <w:tr2bl w:val="nil"/>
                  </w:tcBorders>
                  <w:shd w:val="clear" w:color="auto" w:fill="auto"/>
                  <w:noWrap/>
                  <w:vAlign w:val="center"/>
                </w:tcPr>
                <w:p w14:paraId="1AFE36F1">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吹瓶机</w:t>
                  </w:r>
                </w:p>
              </w:tc>
              <w:tc>
                <w:tcPr>
                  <w:tcW w:w="303" w:type="dxa"/>
                  <w:tcBorders>
                    <w:tl2br w:val="nil"/>
                    <w:tr2bl w:val="nil"/>
                  </w:tcBorders>
                  <w:shd w:val="clear" w:color="auto" w:fill="FFFFFF"/>
                  <w:noWrap/>
                  <w:vAlign w:val="center"/>
                </w:tcPr>
                <w:p w14:paraId="7D5B0009">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w:t>
                  </w:r>
                </w:p>
              </w:tc>
              <w:tc>
                <w:tcPr>
                  <w:tcW w:w="1059" w:type="dxa"/>
                  <w:tcBorders>
                    <w:tl2br w:val="nil"/>
                    <w:tr2bl w:val="nil"/>
                  </w:tcBorders>
                  <w:shd w:val="clear" w:color="auto" w:fill="auto"/>
                  <w:noWrap/>
                  <w:vAlign w:val="center"/>
                </w:tcPr>
                <w:p w14:paraId="482615BF">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75/1</w:t>
                  </w:r>
                </w:p>
              </w:tc>
              <w:tc>
                <w:tcPr>
                  <w:tcW w:w="664" w:type="dxa"/>
                  <w:vMerge w:val="continue"/>
                  <w:tcBorders>
                    <w:tl2br w:val="nil"/>
                    <w:tr2bl w:val="nil"/>
                  </w:tcBorders>
                  <w:shd w:val="clear" w:color="auto" w:fill="auto"/>
                  <w:noWrap/>
                  <w:vAlign w:val="center"/>
                </w:tcPr>
                <w:p w14:paraId="76B98C37">
                  <w:pPr>
                    <w:pStyle w:val="21"/>
                    <w:keepNext w:val="0"/>
                    <w:keepLines w:val="0"/>
                    <w:suppressLineNumbers w:val="0"/>
                    <w:bidi w:val="0"/>
                    <w:spacing w:before="0" w:beforeAutospacing="0" w:after="0" w:afterAutospacing="0"/>
                    <w:ind w:left="0" w:right="0"/>
                    <w:rPr>
                      <w:rFonts w:hint="eastAsia"/>
                      <w:color w:val="auto"/>
                    </w:rPr>
                  </w:pPr>
                </w:p>
              </w:tc>
              <w:tc>
                <w:tcPr>
                  <w:tcW w:w="702" w:type="dxa"/>
                  <w:tcBorders>
                    <w:tl2br w:val="nil"/>
                    <w:tr2bl w:val="nil"/>
                  </w:tcBorders>
                  <w:shd w:val="clear" w:color="auto" w:fill="auto"/>
                  <w:noWrap/>
                  <w:vAlign w:val="center"/>
                </w:tcPr>
                <w:p w14:paraId="59089B37">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37</w:t>
                  </w:r>
                </w:p>
              </w:tc>
              <w:tc>
                <w:tcPr>
                  <w:tcW w:w="813" w:type="dxa"/>
                  <w:tcBorders>
                    <w:tl2br w:val="nil"/>
                    <w:tr2bl w:val="nil"/>
                  </w:tcBorders>
                  <w:shd w:val="clear" w:color="auto" w:fill="auto"/>
                  <w:noWrap/>
                  <w:vAlign w:val="center"/>
                </w:tcPr>
                <w:p w14:paraId="7EB2EF0F">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8</w:t>
                  </w:r>
                </w:p>
              </w:tc>
              <w:tc>
                <w:tcPr>
                  <w:tcW w:w="776" w:type="dxa"/>
                  <w:tcBorders>
                    <w:tl2br w:val="nil"/>
                    <w:tr2bl w:val="nil"/>
                  </w:tcBorders>
                  <w:shd w:val="clear" w:color="auto" w:fill="auto"/>
                  <w:noWrap/>
                  <w:vAlign w:val="center"/>
                </w:tcPr>
                <w:p w14:paraId="10A95966">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w:t>
                  </w:r>
                </w:p>
              </w:tc>
              <w:tc>
                <w:tcPr>
                  <w:tcW w:w="1448" w:type="dxa"/>
                  <w:tcBorders>
                    <w:tl2br w:val="nil"/>
                    <w:tr2bl w:val="nil"/>
                  </w:tcBorders>
                  <w:shd w:val="clear" w:color="auto" w:fill="auto"/>
                  <w:noWrap/>
                  <w:vAlign w:val="center"/>
                </w:tcPr>
                <w:p w14:paraId="6176EF98">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8</w:t>
                  </w:r>
                </w:p>
              </w:tc>
              <w:tc>
                <w:tcPr>
                  <w:tcW w:w="1060" w:type="dxa"/>
                  <w:tcBorders>
                    <w:tl2br w:val="nil"/>
                    <w:tr2bl w:val="nil"/>
                  </w:tcBorders>
                  <w:shd w:val="clear" w:color="auto" w:fill="auto"/>
                  <w:noWrap/>
                  <w:vAlign w:val="center"/>
                </w:tcPr>
                <w:p w14:paraId="79B875A6">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55.7</w:t>
                  </w:r>
                </w:p>
              </w:tc>
              <w:tc>
                <w:tcPr>
                  <w:tcW w:w="924" w:type="dxa"/>
                  <w:vMerge w:val="continue"/>
                  <w:tcBorders>
                    <w:tl2br w:val="nil"/>
                    <w:tr2bl w:val="nil"/>
                  </w:tcBorders>
                  <w:shd w:val="clear" w:color="auto" w:fill="auto"/>
                  <w:noWrap/>
                  <w:vAlign w:val="center"/>
                </w:tcPr>
                <w:p w14:paraId="10B9BE02">
                  <w:pPr>
                    <w:pStyle w:val="21"/>
                    <w:keepNext w:val="0"/>
                    <w:keepLines w:val="0"/>
                    <w:suppressLineNumbers w:val="0"/>
                    <w:bidi w:val="0"/>
                    <w:spacing w:before="0" w:beforeAutospacing="0" w:after="0" w:afterAutospacing="0"/>
                    <w:ind w:left="0" w:right="0"/>
                    <w:rPr>
                      <w:rFonts w:hint="eastAsia"/>
                      <w:color w:val="auto"/>
                      <w:highlight w:val="none"/>
                    </w:rPr>
                  </w:pPr>
                </w:p>
              </w:tc>
              <w:tc>
                <w:tcPr>
                  <w:tcW w:w="1184" w:type="dxa"/>
                  <w:tcBorders>
                    <w:tl2br w:val="nil"/>
                    <w:tr2bl w:val="nil"/>
                  </w:tcBorders>
                  <w:shd w:val="clear" w:color="auto" w:fill="auto"/>
                  <w:noWrap/>
                  <w:vAlign w:val="center"/>
                </w:tcPr>
                <w:p w14:paraId="6BDA2A29">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26</w:t>
                  </w:r>
                </w:p>
              </w:tc>
              <w:tc>
                <w:tcPr>
                  <w:tcW w:w="1125" w:type="dxa"/>
                  <w:vMerge w:val="continue"/>
                  <w:tcBorders>
                    <w:tl2br w:val="nil"/>
                    <w:tr2bl w:val="nil"/>
                  </w:tcBorders>
                  <w:shd w:val="clear" w:color="auto" w:fill="auto"/>
                  <w:noWrap/>
                  <w:vAlign w:val="center"/>
                </w:tcPr>
                <w:p w14:paraId="70D9BDCC">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c>
                <w:tcPr>
                  <w:tcW w:w="916" w:type="dxa"/>
                  <w:vMerge w:val="continue"/>
                  <w:tcBorders>
                    <w:tl2br w:val="nil"/>
                    <w:tr2bl w:val="nil"/>
                  </w:tcBorders>
                  <w:shd w:val="clear" w:color="auto" w:fill="auto"/>
                  <w:noWrap/>
                  <w:vAlign w:val="center"/>
                </w:tcPr>
                <w:p w14:paraId="1F16EF08">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r>
            <w:tr w14:paraId="1BE5E2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402" w:type="dxa"/>
                  <w:tcBorders>
                    <w:tl2br w:val="nil"/>
                    <w:tr2bl w:val="nil"/>
                  </w:tcBorders>
                  <w:shd w:val="clear" w:color="auto" w:fill="FFFFFF"/>
                  <w:noWrap/>
                  <w:vAlign w:val="center"/>
                </w:tcPr>
                <w:p w14:paraId="6F232DB7">
                  <w:pPr>
                    <w:pStyle w:val="21"/>
                    <w:keepNext w:val="0"/>
                    <w:keepLines w:val="0"/>
                    <w:suppressLineNumbers w:val="0"/>
                    <w:bidi w:val="0"/>
                    <w:spacing w:before="0" w:beforeAutospacing="0" w:after="0" w:afterAutospacing="0"/>
                    <w:ind w:left="0" w:right="0"/>
                    <w:rPr>
                      <w:rFonts w:hint="eastAsia"/>
                      <w:color w:val="auto"/>
                      <w:highlight w:val="none"/>
                    </w:rPr>
                  </w:pPr>
                  <w:r>
                    <w:rPr>
                      <w:rFonts w:hint="default"/>
                      <w:color w:val="auto"/>
                      <w:highlight w:val="none"/>
                      <w:lang w:val="en-US" w:eastAsia="zh-CN"/>
                    </w:rPr>
                    <w:t>7</w:t>
                  </w:r>
                </w:p>
              </w:tc>
              <w:tc>
                <w:tcPr>
                  <w:tcW w:w="743" w:type="dxa"/>
                  <w:vMerge w:val="continue"/>
                  <w:tcBorders>
                    <w:tl2br w:val="nil"/>
                    <w:tr2bl w:val="nil"/>
                  </w:tcBorders>
                  <w:shd w:val="clear" w:color="auto" w:fill="FFFFFF"/>
                  <w:noWrap/>
                  <w:vAlign w:val="center"/>
                </w:tcPr>
                <w:p w14:paraId="1727A69A">
                  <w:pPr>
                    <w:pStyle w:val="21"/>
                    <w:keepNext w:val="0"/>
                    <w:keepLines w:val="0"/>
                    <w:suppressLineNumbers w:val="0"/>
                    <w:bidi w:val="0"/>
                    <w:spacing w:before="0" w:beforeAutospacing="0" w:after="0" w:afterAutospacing="0"/>
                    <w:ind w:left="0" w:right="0"/>
                    <w:rPr>
                      <w:rFonts w:hint="eastAsia"/>
                      <w:color w:val="auto"/>
                      <w:highlight w:val="none"/>
                    </w:rPr>
                  </w:pPr>
                </w:p>
              </w:tc>
              <w:tc>
                <w:tcPr>
                  <w:tcW w:w="1528" w:type="dxa"/>
                  <w:tcBorders>
                    <w:tl2br w:val="nil"/>
                    <w:tr2bl w:val="nil"/>
                  </w:tcBorders>
                  <w:shd w:val="clear" w:color="auto" w:fill="FFFFFF"/>
                  <w:noWrap/>
                  <w:vAlign w:val="center"/>
                </w:tcPr>
                <w:p w14:paraId="448B74E0">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灌旋一体机</w:t>
                  </w:r>
                </w:p>
              </w:tc>
              <w:tc>
                <w:tcPr>
                  <w:tcW w:w="303" w:type="dxa"/>
                  <w:tcBorders>
                    <w:tl2br w:val="nil"/>
                    <w:tr2bl w:val="nil"/>
                  </w:tcBorders>
                  <w:shd w:val="clear" w:color="auto" w:fill="FFFFFF"/>
                  <w:noWrap/>
                  <w:vAlign w:val="center"/>
                </w:tcPr>
                <w:p w14:paraId="11483385">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w:t>
                  </w:r>
                </w:p>
              </w:tc>
              <w:tc>
                <w:tcPr>
                  <w:tcW w:w="1059" w:type="dxa"/>
                  <w:tcBorders>
                    <w:tl2br w:val="nil"/>
                    <w:tr2bl w:val="nil"/>
                  </w:tcBorders>
                  <w:shd w:val="clear" w:color="auto" w:fill="FFFFFF"/>
                  <w:noWrap/>
                  <w:vAlign w:val="center"/>
                </w:tcPr>
                <w:p w14:paraId="5ABCB2A3">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80/1</w:t>
                  </w:r>
                </w:p>
              </w:tc>
              <w:tc>
                <w:tcPr>
                  <w:tcW w:w="664" w:type="dxa"/>
                  <w:vMerge w:val="continue"/>
                  <w:tcBorders>
                    <w:tl2br w:val="nil"/>
                    <w:tr2bl w:val="nil"/>
                  </w:tcBorders>
                  <w:shd w:val="clear" w:color="auto" w:fill="FFFFFF"/>
                  <w:noWrap/>
                  <w:vAlign w:val="center"/>
                </w:tcPr>
                <w:p w14:paraId="10E089F8">
                  <w:pPr>
                    <w:pStyle w:val="21"/>
                    <w:keepNext w:val="0"/>
                    <w:keepLines w:val="0"/>
                    <w:suppressLineNumbers w:val="0"/>
                    <w:bidi w:val="0"/>
                    <w:spacing w:before="0" w:beforeAutospacing="0" w:after="0" w:afterAutospacing="0"/>
                    <w:ind w:left="0" w:right="0"/>
                    <w:rPr>
                      <w:rFonts w:hint="eastAsia"/>
                      <w:color w:val="auto"/>
                    </w:rPr>
                  </w:pPr>
                </w:p>
              </w:tc>
              <w:tc>
                <w:tcPr>
                  <w:tcW w:w="702" w:type="dxa"/>
                  <w:tcBorders>
                    <w:tl2br w:val="nil"/>
                    <w:tr2bl w:val="nil"/>
                  </w:tcBorders>
                  <w:shd w:val="clear" w:color="auto" w:fill="FFFFFF"/>
                  <w:noWrap/>
                  <w:vAlign w:val="center"/>
                </w:tcPr>
                <w:p w14:paraId="2A78ECA7">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61</w:t>
                  </w:r>
                </w:p>
              </w:tc>
              <w:tc>
                <w:tcPr>
                  <w:tcW w:w="813" w:type="dxa"/>
                  <w:tcBorders>
                    <w:tl2br w:val="nil"/>
                    <w:tr2bl w:val="nil"/>
                  </w:tcBorders>
                  <w:shd w:val="clear" w:color="auto" w:fill="FFFFFF"/>
                  <w:noWrap/>
                  <w:vAlign w:val="center"/>
                </w:tcPr>
                <w:p w14:paraId="4C383996">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8</w:t>
                  </w:r>
                </w:p>
              </w:tc>
              <w:tc>
                <w:tcPr>
                  <w:tcW w:w="776" w:type="dxa"/>
                  <w:tcBorders>
                    <w:tl2br w:val="nil"/>
                    <w:tr2bl w:val="nil"/>
                  </w:tcBorders>
                  <w:shd w:val="clear" w:color="auto" w:fill="FFFFFF"/>
                  <w:noWrap/>
                  <w:vAlign w:val="center"/>
                </w:tcPr>
                <w:p w14:paraId="58AAD095">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w:t>
                  </w:r>
                </w:p>
              </w:tc>
              <w:tc>
                <w:tcPr>
                  <w:tcW w:w="1448" w:type="dxa"/>
                  <w:tcBorders>
                    <w:tl2br w:val="nil"/>
                    <w:tr2bl w:val="nil"/>
                  </w:tcBorders>
                  <w:shd w:val="clear" w:color="auto" w:fill="FFFFFF"/>
                  <w:noWrap/>
                  <w:vAlign w:val="center"/>
                </w:tcPr>
                <w:p w14:paraId="19B981E7">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8</w:t>
                  </w:r>
                </w:p>
              </w:tc>
              <w:tc>
                <w:tcPr>
                  <w:tcW w:w="1060" w:type="dxa"/>
                  <w:tcBorders>
                    <w:tl2br w:val="nil"/>
                    <w:tr2bl w:val="nil"/>
                  </w:tcBorders>
                  <w:shd w:val="clear" w:color="auto" w:fill="FFFFFF"/>
                  <w:noWrap/>
                  <w:vAlign w:val="center"/>
                </w:tcPr>
                <w:p w14:paraId="77048D35">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60.7</w:t>
                  </w:r>
                </w:p>
              </w:tc>
              <w:tc>
                <w:tcPr>
                  <w:tcW w:w="924" w:type="dxa"/>
                  <w:vMerge w:val="continue"/>
                  <w:tcBorders>
                    <w:tl2br w:val="nil"/>
                    <w:tr2bl w:val="nil"/>
                  </w:tcBorders>
                  <w:shd w:val="clear" w:color="auto" w:fill="FFFFFF"/>
                  <w:noWrap/>
                  <w:vAlign w:val="center"/>
                </w:tcPr>
                <w:p w14:paraId="2036F544">
                  <w:pPr>
                    <w:pStyle w:val="21"/>
                    <w:keepNext w:val="0"/>
                    <w:keepLines w:val="0"/>
                    <w:suppressLineNumbers w:val="0"/>
                    <w:bidi w:val="0"/>
                    <w:spacing w:before="0" w:beforeAutospacing="0" w:after="0" w:afterAutospacing="0"/>
                    <w:ind w:left="0" w:right="0"/>
                    <w:rPr>
                      <w:rFonts w:hint="eastAsia"/>
                      <w:color w:val="auto"/>
                      <w:highlight w:val="none"/>
                    </w:rPr>
                  </w:pPr>
                </w:p>
              </w:tc>
              <w:tc>
                <w:tcPr>
                  <w:tcW w:w="1184" w:type="dxa"/>
                  <w:tcBorders>
                    <w:tl2br w:val="nil"/>
                    <w:tr2bl w:val="nil"/>
                  </w:tcBorders>
                  <w:shd w:val="clear" w:color="auto" w:fill="FFFFFF"/>
                  <w:noWrap/>
                  <w:vAlign w:val="center"/>
                </w:tcPr>
                <w:p w14:paraId="6A1C683D">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26</w:t>
                  </w:r>
                </w:p>
              </w:tc>
              <w:tc>
                <w:tcPr>
                  <w:tcW w:w="1125" w:type="dxa"/>
                  <w:vMerge w:val="continue"/>
                  <w:tcBorders>
                    <w:tl2br w:val="nil"/>
                    <w:tr2bl w:val="nil"/>
                  </w:tcBorders>
                  <w:shd w:val="clear" w:color="auto" w:fill="FFFFFF"/>
                  <w:noWrap/>
                  <w:vAlign w:val="center"/>
                </w:tcPr>
                <w:p w14:paraId="4D0BB720">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c>
                <w:tcPr>
                  <w:tcW w:w="916" w:type="dxa"/>
                  <w:vMerge w:val="continue"/>
                  <w:tcBorders>
                    <w:tl2br w:val="nil"/>
                    <w:tr2bl w:val="nil"/>
                  </w:tcBorders>
                  <w:shd w:val="clear" w:color="auto" w:fill="FFFFFF"/>
                  <w:noWrap/>
                  <w:vAlign w:val="center"/>
                </w:tcPr>
                <w:p w14:paraId="4D236CA4">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r>
            <w:tr w14:paraId="69BE6F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02" w:type="dxa"/>
                  <w:tcBorders>
                    <w:tl2br w:val="nil"/>
                    <w:tr2bl w:val="nil"/>
                  </w:tcBorders>
                  <w:shd w:val="clear" w:color="auto" w:fill="auto"/>
                  <w:noWrap/>
                  <w:vAlign w:val="center"/>
                </w:tcPr>
                <w:p w14:paraId="72C6FB83">
                  <w:pPr>
                    <w:pStyle w:val="21"/>
                    <w:keepNext w:val="0"/>
                    <w:keepLines w:val="0"/>
                    <w:suppressLineNumbers w:val="0"/>
                    <w:bidi w:val="0"/>
                    <w:spacing w:before="0" w:beforeAutospacing="0" w:after="0" w:afterAutospacing="0"/>
                    <w:ind w:left="0" w:right="0"/>
                    <w:rPr>
                      <w:rFonts w:hint="eastAsia"/>
                      <w:color w:val="auto"/>
                      <w:highlight w:val="none"/>
                    </w:rPr>
                  </w:pPr>
                  <w:r>
                    <w:rPr>
                      <w:rFonts w:hint="default"/>
                      <w:color w:val="auto"/>
                      <w:highlight w:val="none"/>
                      <w:lang w:val="en-US" w:eastAsia="zh-CN"/>
                    </w:rPr>
                    <w:t>8</w:t>
                  </w:r>
                </w:p>
              </w:tc>
              <w:tc>
                <w:tcPr>
                  <w:tcW w:w="743" w:type="dxa"/>
                  <w:vMerge w:val="continue"/>
                  <w:tcBorders>
                    <w:tl2br w:val="nil"/>
                    <w:tr2bl w:val="nil"/>
                  </w:tcBorders>
                  <w:shd w:val="clear" w:color="auto" w:fill="FFFFFF"/>
                  <w:noWrap/>
                  <w:vAlign w:val="center"/>
                </w:tcPr>
                <w:p w14:paraId="336925D1">
                  <w:pPr>
                    <w:pStyle w:val="21"/>
                    <w:keepNext w:val="0"/>
                    <w:keepLines w:val="0"/>
                    <w:suppressLineNumbers w:val="0"/>
                    <w:bidi w:val="0"/>
                    <w:spacing w:before="0" w:beforeAutospacing="0" w:after="0" w:afterAutospacing="0"/>
                    <w:ind w:left="0" w:right="0"/>
                    <w:rPr>
                      <w:rFonts w:hint="eastAsia"/>
                      <w:color w:val="auto"/>
                      <w:highlight w:val="none"/>
                    </w:rPr>
                  </w:pPr>
                </w:p>
              </w:tc>
              <w:tc>
                <w:tcPr>
                  <w:tcW w:w="1528" w:type="dxa"/>
                  <w:tcBorders>
                    <w:tl2br w:val="nil"/>
                    <w:tr2bl w:val="nil"/>
                  </w:tcBorders>
                  <w:shd w:val="clear" w:color="auto" w:fill="auto"/>
                  <w:noWrap/>
                  <w:vAlign w:val="center"/>
                </w:tcPr>
                <w:p w14:paraId="37718141">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瓶坯翻斗机</w:t>
                  </w:r>
                </w:p>
              </w:tc>
              <w:tc>
                <w:tcPr>
                  <w:tcW w:w="303" w:type="dxa"/>
                  <w:tcBorders>
                    <w:tl2br w:val="nil"/>
                    <w:tr2bl w:val="nil"/>
                  </w:tcBorders>
                  <w:shd w:val="clear" w:color="auto" w:fill="FFFFFF"/>
                  <w:noWrap/>
                  <w:vAlign w:val="center"/>
                </w:tcPr>
                <w:p w14:paraId="7AFB5C59">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w:t>
                  </w:r>
                </w:p>
              </w:tc>
              <w:tc>
                <w:tcPr>
                  <w:tcW w:w="1059" w:type="dxa"/>
                  <w:tcBorders>
                    <w:tl2br w:val="nil"/>
                    <w:tr2bl w:val="nil"/>
                  </w:tcBorders>
                  <w:shd w:val="clear" w:color="auto" w:fill="auto"/>
                  <w:noWrap/>
                  <w:vAlign w:val="center"/>
                </w:tcPr>
                <w:p w14:paraId="43DFB517">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75/1</w:t>
                  </w:r>
                </w:p>
              </w:tc>
              <w:tc>
                <w:tcPr>
                  <w:tcW w:w="664" w:type="dxa"/>
                  <w:vMerge w:val="continue"/>
                  <w:tcBorders>
                    <w:tl2br w:val="nil"/>
                    <w:tr2bl w:val="nil"/>
                  </w:tcBorders>
                  <w:shd w:val="clear" w:color="auto" w:fill="auto"/>
                  <w:noWrap/>
                  <w:vAlign w:val="center"/>
                </w:tcPr>
                <w:p w14:paraId="5FCCAAF1">
                  <w:pPr>
                    <w:pStyle w:val="21"/>
                    <w:keepNext w:val="0"/>
                    <w:keepLines w:val="0"/>
                    <w:suppressLineNumbers w:val="0"/>
                    <w:bidi w:val="0"/>
                    <w:spacing w:before="0" w:beforeAutospacing="0" w:after="0" w:afterAutospacing="0"/>
                    <w:ind w:left="0" w:right="0"/>
                    <w:rPr>
                      <w:rFonts w:hint="eastAsia"/>
                      <w:color w:val="auto"/>
                    </w:rPr>
                  </w:pPr>
                </w:p>
              </w:tc>
              <w:tc>
                <w:tcPr>
                  <w:tcW w:w="702" w:type="dxa"/>
                  <w:tcBorders>
                    <w:tl2br w:val="nil"/>
                    <w:tr2bl w:val="nil"/>
                  </w:tcBorders>
                  <w:shd w:val="clear" w:color="auto" w:fill="auto"/>
                  <w:noWrap/>
                  <w:vAlign w:val="center"/>
                </w:tcPr>
                <w:p w14:paraId="51393709">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36</w:t>
                  </w:r>
                </w:p>
              </w:tc>
              <w:tc>
                <w:tcPr>
                  <w:tcW w:w="813" w:type="dxa"/>
                  <w:tcBorders>
                    <w:tl2br w:val="nil"/>
                    <w:tr2bl w:val="nil"/>
                  </w:tcBorders>
                  <w:shd w:val="clear" w:color="auto" w:fill="auto"/>
                  <w:noWrap/>
                  <w:vAlign w:val="center"/>
                </w:tcPr>
                <w:p w14:paraId="0CBD3A36">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4</w:t>
                  </w:r>
                </w:p>
              </w:tc>
              <w:tc>
                <w:tcPr>
                  <w:tcW w:w="776" w:type="dxa"/>
                  <w:tcBorders>
                    <w:tl2br w:val="nil"/>
                    <w:tr2bl w:val="nil"/>
                  </w:tcBorders>
                  <w:shd w:val="clear" w:color="auto" w:fill="auto"/>
                  <w:noWrap/>
                  <w:vAlign w:val="center"/>
                </w:tcPr>
                <w:p w14:paraId="03B4B531">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w:t>
                  </w:r>
                </w:p>
              </w:tc>
              <w:tc>
                <w:tcPr>
                  <w:tcW w:w="1448" w:type="dxa"/>
                  <w:tcBorders>
                    <w:tl2br w:val="nil"/>
                    <w:tr2bl w:val="nil"/>
                  </w:tcBorders>
                  <w:shd w:val="clear" w:color="auto" w:fill="auto"/>
                  <w:noWrap/>
                  <w:vAlign w:val="center"/>
                </w:tcPr>
                <w:p w14:paraId="05DE8959">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5</w:t>
                  </w:r>
                </w:p>
              </w:tc>
              <w:tc>
                <w:tcPr>
                  <w:tcW w:w="1060" w:type="dxa"/>
                  <w:tcBorders>
                    <w:tl2br w:val="nil"/>
                    <w:tr2bl w:val="nil"/>
                  </w:tcBorders>
                  <w:shd w:val="clear" w:color="auto" w:fill="auto"/>
                  <w:noWrap/>
                  <w:vAlign w:val="center"/>
                </w:tcPr>
                <w:p w14:paraId="275995A9">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56.5</w:t>
                  </w:r>
                </w:p>
              </w:tc>
              <w:tc>
                <w:tcPr>
                  <w:tcW w:w="924" w:type="dxa"/>
                  <w:vMerge w:val="continue"/>
                  <w:tcBorders>
                    <w:tl2br w:val="nil"/>
                    <w:tr2bl w:val="nil"/>
                  </w:tcBorders>
                  <w:shd w:val="clear" w:color="auto" w:fill="auto"/>
                  <w:noWrap/>
                  <w:vAlign w:val="center"/>
                </w:tcPr>
                <w:p w14:paraId="47CC900D">
                  <w:pPr>
                    <w:pStyle w:val="21"/>
                    <w:keepNext w:val="0"/>
                    <w:keepLines w:val="0"/>
                    <w:suppressLineNumbers w:val="0"/>
                    <w:bidi w:val="0"/>
                    <w:spacing w:before="0" w:beforeAutospacing="0" w:after="0" w:afterAutospacing="0"/>
                    <w:ind w:left="0" w:right="0"/>
                    <w:rPr>
                      <w:rFonts w:hint="eastAsia"/>
                      <w:color w:val="auto"/>
                      <w:highlight w:val="none"/>
                    </w:rPr>
                  </w:pPr>
                </w:p>
              </w:tc>
              <w:tc>
                <w:tcPr>
                  <w:tcW w:w="1184" w:type="dxa"/>
                  <w:tcBorders>
                    <w:tl2br w:val="nil"/>
                    <w:tr2bl w:val="nil"/>
                  </w:tcBorders>
                  <w:shd w:val="clear" w:color="auto" w:fill="auto"/>
                  <w:noWrap/>
                  <w:vAlign w:val="center"/>
                </w:tcPr>
                <w:p w14:paraId="55AF5C45">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26</w:t>
                  </w:r>
                </w:p>
              </w:tc>
              <w:tc>
                <w:tcPr>
                  <w:tcW w:w="1125" w:type="dxa"/>
                  <w:vMerge w:val="continue"/>
                  <w:tcBorders>
                    <w:tl2br w:val="nil"/>
                    <w:tr2bl w:val="nil"/>
                  </w:tcBorders>
                  <w:shd w:val="clear" w:color="auto" w:fill="auto"/>
                  <w:noWrap/>
                  <w:vAlign w:val="center"/>
                </w:tcPr>
                <w:p w14:paraId="55493495">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c>
                <w:tcPr>
                  <w:tcW w:w="916" w:type="dxa"/>
                  <w:vMerge w:val="continue"/>
                  <w:tcBorders>
                    <w:tl2br w:val="nil"/>
                    <w:tr2bl w:val="nil"/>
                  </w:tcBorders>
                  <w:shd w:val="clear" w:color="auto" w:fill="auto"/>
                  <w:noWrap/>
                  <w:vAlign w:val="center"/>
                </w:tcPr>
                <w:p w14:paraId="5D1C5092">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r>
            <w:tr w14:paraId="5EB698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402" w:type="dxa"/>
                  <w:tcBorders>
                    <w:tl2br w:val="nil"/>
                    <w:tr2bl w:val="nil"/>
                  </w:tcBorders>
                  <w:shd w:val="clear" w:color="auto" w:fill="auto"/>
                  <w:noWrap/>
                  <w:vAlign w:val="center"/>
                </w:tcPr>
                <w:p w14:paraId="572CA04C">
                  <w:pPr>
                    <w:pStyle w:val="21"/>
                    <w:keepNext w:val="0"/>
                    <w:keepLines w:val="0"/>
                    <w:suppressLineNumbers w:val="0"/>
                    <w:bidi w:val="0"/>
                    <w:spacing w:before="0" w:beforeAutospacing="0" w:after="0" w:afterAutospacing="0"/>
                    <w:ind w:left="0" w:right="0"/>
                    <w:rPr>
                      <w:rFonts w:hint="eastAsia"/>
                      <w:color w:val="auto"/>
                      <w:highlight w:val="none"/>
                    </w:rPr>
                  </w:pPr>
                  <w:r>
                    <w:rPr>
                      <w:rFonts w:hint="default"/>
                      <w:color w:val="auto"/>
                      <w:highlight w:val="none"/>
                      <w:lang w:val="en-US" w:eastAsia="zh-CN"/>
                    </w:rPr>
                    <w:t>9</w:t>
                  </w:r>
                </w:p>
              </w:tc>
              <w:tc>
                <w:tcPr>
                  <w:tcW w:w="743" w:type="dxa"/>
                  <w:vMerge w:val="continue"/>
                  <w:tcBorders>
                    <w:tl2br w:val="nil"/>
                    <w:tr2bl w:val="nil"/>
                  </w:tcBorders>
                  <w:shd w:val="clear" w:color="auto" w:fill="FFFFFF"/>
                  <w:noWrap/>
                  <w:vAlign w:val="center"/>
                </w:tcPr>
                <w:p w14:paraId="1CEFCE53">
                  <w:pPr>
                    <w:pStyle w:val="21"/>
                    <w:keepNext w:val="0"/>
                    <w:keepLines w:val="0"/>
                    <w:suppressLineNumbers w:val="0"/>
                    <w:bidi w:val="0"/>
                    <w:spacing w:before="0" w:beforeAutospacing="0" w:after="0" w:afterAutospacing="0"/>
                    <w:ind w:left="0" w:right="0"/>
                    <w:rPr>
                      <w:rFonts w:hint="eastAsia"/>
                      <w:color w:val="auto"/>
                      <w:highlight w:val="none"/>
                    </w:rPr>
                  </w:pPr>
                </w:p>
              </w:tc>
              <w:tc>
                <w:tcPr>
                  <w:tcW w:w="1528" w:type="dxa"/>
                  <w:tcBorders>
                    <w:tl2br w:val="nil"/>
                    <w:tr2bl w:val="nil"/>
                  </w:tcBorders>
                  <w:shd w:val="clear" w:color="auto" w:fill="auto"/>
                  <w:noWrap/>
                  <w:vAlign w:val="center"/>
                </w:tcPr>
                <w:p w14:paraId="5EFD18C3">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瓶输送带</w:t>
                  </w:r>
                </w:p>
              </w:tc>
              <w:tc>
                <w:tcPr>
                  <w:tcW w:w="303" w:type="dxa"/>
                  <w:tcBorders>
                    <w:tl2br w:val="nil"/>
                    <w:tr2bl w:val="nil"/>
                  </w:tcBorders>
                  <w:shd w:val="clear" w:color="auto" w:fill="FFFFFF"/>
                  <w:noWrap/>
                  <w:vAlign w:val="center"/>
                </w:tcPr>
                <w:p w14:paraId="2B81F8F3">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w:t>
                  </w:r>
                </w:p>
              </w:tc>
              <w:tc>
                <w:tcPr>
                  <w:tcW w:w="1059" w:type="dxa"/>
                  <w:tcBorders>
                    <w:tl2br w:val="nil"/>
                    <w:tr2bl w:val="nil"/>
                  </w:tcBorders>
                  <w:shd w:val="clear" w:color="auto" w:fill="auto"/>
                  <w:noWrap/>
                  <w:vAlign w:val="center"/>
                </w:tcPr>
                <w:p w14:paraId="32D23D82">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75/1</w:t>
                  </w:r>
                </w:p>
              </w:tc>
              <w:tc>
                <w:tcPr>
                  <w:tcW w:w="664" w:type="dxa"/>
                  <w:vMerge w:val="continue"/>
                  <w:tcBorders>
                    <w:tl2br w:val="nil"/>
                    <w:tr2bl w:val="nil"/>
                  </w:tcBorders>
                  <w:shd w:val="clear" w:color="auto" w:fill="auto"/>
                  <w:noWrap/>
                  <w:vAlign w:val="center"/>
                </w:tcPr>
                <w:p w14:paraId="17F82E31">
                  <w:pPr>
                    <w:pStyle w:val="21"/>
                    <w:keepNext w:val="0"/>
                    <w:keepLines w:val="0"/>
                    <w:suppressLineNumbers w:val="0"/>
                    <w:bidi w:val="0"/>
                    <w:spacing w:before="0" w:beforeAutospacing="0" w:after="0" w:afterAutospacing="0"/>
                    <w:ind w:left="0" w:right="0"/>
                    <w:rPr>
                      <w:rFonts w:hint="eastAsia"/>
                      <w:color w:val="auto"/>
                    </w:rPr>
                  </w:pPr>
                </w:p>
              </w:tc>
              <w:tc>
                <w:tcPr>
                  <w:tcW w:w="702" w:type="dxa"/>
                  <w:tcBorders>
                    <w:tl2br w:val="nil"/>
                    <w:tr2bl w:val="nil"/>
                  </w:tcBorders>
                  <w:shd w:val="clear" w:color="auto" w:fill="auto"/>
                  <w:noWrap/>
                  <w:vAlign w:val="center"/>
                </w:tcPr>
                <w:p w14:paraId="74173484">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55</w:t>
                  </w:r>
                </w:p>
              </w:tc>
              <w:tc>
                <w:tcPr>
                  <w:tcW w:w="813" w:type="dxa"/>
                  <w:tcBorders>
                    <w:tl2br w:val="nil"/>
                    <w:tr2bl w:val="nil"/>
                  </w:tcBorders>
                  <w:shd w:val="clear" w:color="auto" w:fill="auto"/>
                  <w:noWrap/>
                  <w:vAlign w:val="center"/>
                </w:tcPr>
                <w:p w14:paraId="5D38338F">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15</w:t>
                  </w:r>
                </w:p>
              </w:tc>
              <w:tc>
                <w:tcPr>
                  <w:tcW w:w="776" w:type="dxa"/>
                  <w:tcBorders>
                    <w:tl2br w:val="nil"/>
                    <w:tr2bl w:val="nil"/>
                  </w:tcBorders>
                  <w:shd w:val="clear" w:color="auto" w:fill="auto"/>
                  <w:noWrap/>
                  <w:vAlign w:val="center"/>
                </w:tcPr>
                <w:p w14:paraId="2A4C87E8">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w:t>
                  </w:r>
                </w:p>
              </w:tc>
              <w:tc>
                <w:tcPr>
                  <w:tcW w:w="1448" w:type="dxa"/>
                  <w:tcBorders>
                    <w:tl2br w:val="nil"/>
                    <w:tr2bl w:val="nil"/>
                  </w:tcBorders>
                  <w:shd w:val="clear" w:color="auto" w:fill="auto"/>
                  <w:noWrap/>
                  <w:vAlign w:val="center"/>
                </w:tcPr>
                <w:p w14:paraId="74CDFEE7">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6</w:t>
                  </w:r>
                </w:p>
              </w:tc>
              <w:tc>
                <w:tcPr>
                  <w:tcW w:w="1060" w:type="dxa"/>
                  <w:tcBorders>
                    <w:tl2br w:val="nil"/>
                    <w:tr2bl w:val="nil"/>
                  </w:tcBorders>
                  <w:shd w:val="clear" w:color="auto" w:fill="auto"/>
                  <w:noWrap/>
                  <w:vAlign w:val="center"/>
                </w:tcPr>
                <w:p w14:paraId="37A8A1DD">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56.1</w:t>
                  </w:r>
                </w:p>
              </w:tc>
              <w:tc>
                <w:tcPr>
                  <w:tcW w:w="924" w:type="dxa"/>
                  <w:vMerge w:val="continue"/>
                  <w:tcBorders>
                    <w:tl2br w:val="nil"/>
                    <w:tr2bl w:val="nil"/>
                  </w:tcBorders>
                  <w:shd w:val="clear" w:color="auto" w:fill="auto"/>
                  <w:noWrap/>
                  <w:vAlign w:val="center"/>
                </w:tcPr>
                <w:p w14:paraId="144E242B">
                  <w:pPr>
                    <w:pStyle w:val="21"/>
                    <w:keepNext w:val="0"/>
                    <w:keepLines w:val="0"/>
                    <w:suppressLineNumbers w:val="0"/>
                    <w:bidi w:val="0"/>
                    <w:spacing w:before="0" w:beforeAutospacing="0" w:after="0" w:afterAutospacing="0"/>
                    <w:ind w:left="0" w:right="0"/>
                    <w:rPr>
                      <w:rFonts w:hint="eastAsia"/>
                      <w:color w:val="auto"/>
                      <w:highlight w:val="none"/>
                    </w:rPr>
                  </w:pPr>
                </w:p>
              </w:tc>
              <w:tc>
                <w:tcPr>
                  <w:tcW w:w="1184" w:type="dxa"/>
                  <w:tcBorders>
                    <w:tl2br w:val="nil"/>
                    <w:tr2bl w:val="nil"/>
                  </w:tcBorders>
                  <w:shd w:val="clear" w:color="auto" w:fill="auto"/>
                  <w:noWrap/>
                  <w:vAlign w:val="center"/>
                </w:tcPr>
                <w:p w14:paraId="0E1435D1">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26</w:t>
                  </w:r>
                </w:p>
              </w:tc>
              <w:tc>
                <w:tcPr>
                  <w:tcW w:w="1125" w:type="dxa"/>
                  <w:vMerge w:val="continue"/>
                  <w:tcBorders>
                    <w:tl2br w:val="nil"/>
                    <w:tr2bl w:val="nil"/>
                  </w:tcBorders>
                  <w:shd w:val="clear" w:color="auto" w:fill="auto"/>
                  <w:noWrap/>
                  <w:vAlign w:val="center"/>
                </w:tcPr>
                <w:p w14:paraId="2B72A481">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c>
                <w:tcPr>
                  <w:tcW w:w="916" w:type="dxa"/>
                  <w:vMerge w:val="continue"/>
                  <w:tcBorders>
                    <w:tl2br w:val="nil"/>
                    <w:tr2bl w:val="nil"/>
                  </w:tcBorders>
                  <w:shd w:val="clear" w:color="auto" w:fill="auto"/>
                  <w:noWrap/>
                  <w:vAlign w:val="center"/>
                </w:tcPr>
                <w:p w14:paraId="2ADE3B95">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r>
            <w:tr w14:paraId="1E5048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02" w:type="dxa"/>
                  <w:tcBorders>
                    <w:tl2br w:val="nil"/>
                    <w:tr2bl w:val="nil"/>
                  </w:tcBorders>
                  <w:shd w:val="clear" w:color="auto" w:fill="FFFFFF"/>
                  <w:noWrap/>
                  <w:vAlign w:val="center"/>
                </w:tcPr>
                <w:p w14:paraId="1445BB49">
                  <w:pPr>
                    <w:pStyle w:val="21"/>
                    <w:keepNext w:val="0"/>
                    <w:keepLines w:val="0"/>
                    <w:suppressLineNumbers w:val="0"/>
                    <w:bidi w:val="0"/>
                    <w:spacing w:before="0" w:beforeAutospacing="0" w:after="0" w:afterAutospacing="0"/>
                    <w:ind w:left="0" w:right="0"/>
                    <w:rPr>
                      <w:rFonts w:hint="eastAsia"/>
                      <w:color w:val="auto"/>
                      <w:highlight w:val="none"/>
                    </w:rPr>
                  </w:pPr>
                  <w:r>
                    <w:rPr>
                      <w:rFonts w:hint="default"/>
                      <w:color w:val="auto"/>
                      <w:highlight w:val="none"/>
                      <w:lang w:val="en-US" w:eastAsia="zh-CN"/>
                    </w:rPr>
                    <w:t>10</w:t>
                  </w:r>
                </w:p>
              </w:tc>
              <w:tc>
                <w:tcPr>
                  <w:tcW w:w="743" w:type="dxa"/>
                  <w:vMerge w:val="continue"/>
                  <w:tcBorders>
                    <w:tl2br w:val="nil"/>
                    <w:tr2bl w:val="nil"/>
                  </w:tcBorders>
                  <w:shd w:val="clear" w:color="auto" w:fill="FFFFFF"/>
                  <w:noWrap/>
                  <w:vAlign w:val="center"/>
                </w:tcPr>
                <w:p w14:paraId="64D2145E">
                  <w:pPr>
                    <w:pStyle w:val="21"/>
                    <w:keepNext w:val="0"/>
                    <w:keepLines w:val="0"/>
                    <w:suppressLineNumbers w:val="0"/>
                    <w:bidi w:val="0"/>
                    <w:spacing w:before="0" w:beforeAutospacing="0" w:after="0" w:afterAutospacing="0"/>
                    <w:ind w:left="0" w:right="0"/>
                    <w:rPr>
                      <w:rFonts w:hint="eastAsia"/>
                      <w:color w:val="auto"/>
                      <w:highlight w:val="none"/>
                    </w:rPr>
                  </w:pPr>
                </w:p>
              </w:tc>
              <w:tc>
                <w:tcPr>
                  <w:tcW w:w="1528" w:type="dxa"/>
                  <w:tcBorders>
                    <w:tl2br w:val="nil"/>
                    <w:tr2bl w:val="nil"/>
                  </w:tcBorders>
                  <w:shd w:val="clear" w:color="auto" w:fill="FFFFFF"/>
                  <w:noWrap/>
                  <w:vAlign w:val="center"/>
                </w:tcPr>
                <w:p w14:paraId="02823A30">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螺旋提升机</w:t>
                  </w:r>
                </w:p>
              </w:tc>
              <w:tc>
                <w:tcPr>
                  <w:tcW w:w="303" w:type="dxa"/>
                  <w:tcBorders>
                    <w:tl2br w:val="nil"/>
                    <w:tr2bl w:val="nil"/>
                  </w:tcBorders>
                  <w:shd w:val="clear" w:color="auto" w:fill="FFFFFF"/>
                  <w:noWrap/>
                  <w:vAlign w:val="center"/>
                </w:tcPr>
                <w:p w14:paraId="77544A93">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w:t>
                  </w:r>
                </w:p>
              </w:tc>
              <w:tc>
                <w:tcPr>
                  <w:tcW w:w="1059" w:type="dxa"/>
                  <w:tcBorders>
                    <w:tl2br w:val="nil"/>
                    <w:tr2bl w:val="nil"/>
                  </w:tcBorders>
                  <w:shd w:val="clear" w:color="auto" w:fill="FFFFFF"/>
                  <w:noWrap/>
                  <w:vAlign w:val="center"/>
                </w:tcPr>
                <w:p w14:paraId="6454ECF7">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80/1</w:t>
                  </w:r>
                </w:p>
              </w:tc>
              <w:tc>
                <w:tcPr>
                  <w:tcW w:w="664" w:type="dxa"/>
                  <w:vMerge w:val="continue"/>
                  <w:tcBorders>
                    <w:tl2br w:val="nil"/>
                    <w:tr2bl w:val="nil"/>
                  </w:tcBorders>
                  <w:shd w:val="clear" w:color="auto" w:fill="FFFFFF"/>
                  <w:noWrap/>
                  <w:vAlign w:val="center"/>
                </w:tcPr>
                <w:p w14:paraId="5E02D752">
                  <w:pPr>
                    <w:pStyle w:val="21"/>
                    <w:keepNext w:val="0"/>
                    <w:keepLines w:val="0"/>
                    <w:suppressLineNumbers w:val="0"/>
                    <w:bidi w:val="0"/>
                    <w:spacing w:before="0" w:beforeAutospacing="0" w:after="0" w:afterAutospacing="0"/>
                    <w:ind w:left="0" w:right="0"/>
                    <w:rPr>
                      <w:rFonts w:hint="eastAsia"/>
                      <w:color w:val="auto"/>
                    </w:rPr>
                  </w:pPr>
                </w:p>
              </w:tc>
              <w:tc>
                <w:tcPr>
                  <w:tcW w:w="702" w:type="dxa"/>
                  <w:tcBorders>
                    <w:tl2br w:val="nil"/>
                    <w:tr2bl w:val="nil"/>
                  </w:tcBorders>
                  <w:shd w:val="clear" w:color="auto" w:fill="FFFFFF"/>
                  <w:noWrap/>
                  <w:vAlign w:val="center"/>
                </w:tcPr>
                <w:p w14:paraId="60AACA8F">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158</w:t>
                  </w:r>
                </w:p>
              </w:tc>
              <w:tc>
                <w:tcPr>
                  <w:tcW w:w="813" w:type="dxa"/>
                  <w:tcBorders>
                    <w:tl2br w:val="nil"/>
                    <w:tr2bl w:val="nil"/>
                  </w:tcBorders>
                  <w:shd w:val="clear" w:color="auto" w:fill="FFFFFF"/>
                  <w:noWrap/>
                  <w:vAlign w:val="center"/>
                </w:tcPr>
                <w:p w14:paraId="285C313B">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10</w:t>
                  </w:r>
                </w:p>
              </w:tc>
              <w:tc>
                <w:tcPr>
                  <w:tcW w:w="776" w:type="dxa"/>
                  <w:tcBorders>
                    <w:tl2br w:val="nil"/>
                    <w:tr2bl w:val="nil"/>
                  </w:tcBorders>
                  <w:shd w:val="clear" w:color="auto" w:fill="FFFFFF"/>
                  <w:noWrap/>
                  <w:vAlign w:val="center"/>
                </w:tcPr>
                <w:p w14:paraId="3DA3156B">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w:t>
                  </w:r>
                </w:p>
              </w:tc>
              <w:tc>
                <w:tcPr>
                  <w:tcW w:w="1448" w:type="dxa"/>
                  <w:tcBorders>
                    <w:tl2br w:val="nil"/>
                    <w:tr2bl w:val="nil"/>
                  </w:tcBorders>
                  <w:shd w:val="clear" w:color="auto" w:fill="FFFFFF"/>
                  <w:noWrap/>
                  <w:vAlign w:val="center"/>
                </w:tcPr>
                <w:p w14:paraId="3CBD1F55">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10</w:t>
                  </w:r>
                </w:p>
              </w:tc>
              <w:tc>
                <w:tcPr>
                  <w:tcW w:w="1060" w:type="dxa"/>
                  <w:tcBorders>
                    <w:tl2br w:val="nil"/>
                    <w:tr2bl w:val="nil"/>
                  </w:tcBorders>
                  <w:shd w:val="clear" w:color="auto" w:fill="FFFFFF"/>
                  <w:noWrap/>
                  <w:vAlign w:val="center"/>
                </w:tcPr>
                <w:p w14:paraId="5C5142ED">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60.6</w:t>
                  </w:r>
                </w:p>
              </w:tc>
              <w:tc>
                <w:tcPr>
                  <w:tcW w:w="924" w:type="dxa"/>
                  <w:vMerge w:val="continue"/>
                  <w:tcBorders>
                    <w:tl2br w:val="nil"/>
                    <w:tr2bl w:val="nil"/>
                  </w:tcBorders>
                  <w:shd w:val="clear" w:color="auto" w:fill="FFFFFF"/>
                  <w:noWrap/>
                  <w:vAlign w:val="center"/>
                </w:tcPr>
                <w:p w14:paraId="6A6EC85C">
                  <w:pPr>
                    <w:pStyle w:val="21"/>
                    <w:keepNext w:val="0"/>
                    <w:keepLines w:val="0"/>
                    <w:suppressLineNumbers w:val="0"/>
                    <w:bidi w:val="0"/>
                    <w:spacing w:before="0" w:beforeAutospacing="0" w:after="0" w:afterAutospacing="0"/>
                    <w:ind w:left="0" w:right="0"/>
                    <w:rPr>
                      <w:rFonts w:hint="eastAsia"/>
                      <w:color w:val="auto"/>
                      <w:highlight w:val="none"/>
                    </w:rPr>
                  </w:pPr>
                </w:p>
              </w:tc>
              <w:tc>
                <w:tcPr>
                  <w:tcW w:w="1184" w:type="dxa"/>
                  <w:tcBorders>
                    <w:tl2br w:val="nil"/>
                    <w:tr2bl w:val="nil"/>
                  </w:tcBorders>
                  <w:shd w:val="clear" w:color="auto" w:fill="FFFFFF"/>
                  <w:noWrap/>
                  <w:vAlign w:val="center"/>
                </w:tcPr>
                <w:p w14:paraId="58B7D59B">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26</w:t>
                  </w:r>
                </w:p>
              </w:tc>
              <w:tc>
                <w:tcPr>
                  <w:tcW w:w="1125" w:type="dxa"/>
                  <w:vMerge w:val="continue"/>
                  <w:tcBorders>
                    <w:tl2br w:val="nil"/>
                    <w:tr2bl w:val="nil"/>
                  </w:tcBorders>
                  <w:shd w:val="clear" w:color="auto" w:fill="FFFFFF"/>
                  <w:noWrap/>
                  <w:vAlign w:val="center"/>
                </w:tcPr>
                <w:p w14:paraId="00924F26">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c>
                <w:tcPr>
                  <w:tcW w:w="916" w:type="dxa"/>
                  <w:vMerge w:val="continue"/>
                  <w:tcBorders>
                    <w:tl2br w:val="nil"/>
                    <w:tr2bl w:val="nil"/>
                  </w:tcBorders>
                  <w:shd w:val="clear" w:color="auto" w:fill="FFFFFF"/>
                  <w:noWrap/>
                  <w:vAlign w:val="center"/>
                </w:tcPr>
                <w:p w14:paraId="38E94533">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r>
            <w:tr w14:paraId="26ABA1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02" w:type="dxa"/>
                  <w:tcBorders>
                    <w:tl2br w:val="nil"/>
                    <w:tr2bl w:val="nil"/>
                  </w:tcBorders>
                  <w:shd w:val="clear" w:color="auto" w:fill="auto"/>
                  <w:noWrap/>
                  <w:vAlign w:val="center"/>
                </w:tcPr>
                <w:p w14:paraId="6472FCBF">
                  <w:pPr>
                    <w:pStyle w:val="21"/>
                    <w:keepNext w:val="0"/>
                    <w:keepLines w:val="0"/>
                    <w:suppressLineNumbers w:val="0"/>
                    <w:bidi w:val="0"/>
                    <w:spacing w:before="0" w:beforeAutospacing="0" w:after="0" w:afterAutospacing="0"/>
                    <w:ind w:left="0" w:right="0"/>
                    <w:rPr>
                      <w:rFonts w:hint="eastAsia"/>
                      <w:color w:val="auto"/>
                      <w:highlight w:val="none"/>
                    </w:rPr>
                  </w:pPr>
                  <w:r>
                    <w:rPr>
                      <w:rFonts w:hint="default"/>
                      <w:color w:val="auto"/>
                      <w:highlight w:val="none"/>
                      <w:lang w:val="en-US" w:eastAsia="zh-CN"/>
                    </w:rPr>
                    <w:t>11</w:t>
                  </w:r>
                </w:p>
              </w:tc>
              <w:tc>
                <w:tcPr>
                  <w:tcW w:w="743" w:type="dxa"/>
                  <w:vMerge w:val="continue"/>
                  <w:tcBorders>
                    <w:tl2br w:val="nil"/>
                    <w:tr2bl w:val="nil"/>
                  </w:tcBorders>
                  <w:shd w:val="clear" w:color="auto" w:fill="FFFFFF"/>
                  <w:noWrap/>
                  <w:vAlign w:val="center"/>
                </w:tcPr>
                <w:p w14:paraId="425D23D4">
                  <w:pPr>
                    <w:pStyle w:val="21"/>
                    <w:keepNext w:val="0"/>
                    <w:keepLines w:val="0"/>
                    <w:suppressLineNumbers w:val="0"/>
                    <w:bidi w:val="0"/>
                    <w:spacing w:before="0" w:beforeAutospacing="0" w:after="0" w:afterAutospacing="0"/>
                    <w:ind w:left="0" w:right="0"/>
                    <w:rPr>
                      <w:rFonts w:hint="eastAsia"/>
                      <w:color w:val="auto"/>
                      <w:highlight w:val="none"/>
                    </w:rPr>
                  </w:pPr>
                </w:p>
              </w:tc>
              <w:tc>
                <w:tcPr>
                  <w:tcW w:w="1528" w:type="dxa"/>
                  <w:tcBorders>
                    <w:tl2br w:val="nil"/>
                    <w:tr2bl w:val="nil"/>
                  </w:tcBorders>
                  <w:shd w:val="clear" w:color="auto" w:fill="auto"/>
                  <w:noWrap/>
                  <w:vAlign w:val="center"/>
                </w:tcPr>
                <w:p w14:paraId="5BDFCA26">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低位双通道码垛机</w:t>
                  </w:r>
                </w:p>
              </w:tc>
              <w:tc>
                <w:tcPr>
                  <w:tcW w:w="303" w:type="dxa"/>
                  <w:tcBorders>
                    <w:tl2br w:val="nil"/>
                    <w:tr2bl w:val="nil"/>
                  </w:tcBorders>
                  <w:shd w:val="clear" w:color="auto" w:fill="FFFFFF"/>
                  <w:noWrap/>
                  <w:vAlign w:val="center"/>
                </w:tcPr>
                <w:p w14:paraId="3E9545AA">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w:t>
                  </w:r>
                </w:p>
              </w:tc>
              <w:tc>
                <w:tcPr>
                  <w:tcW w:w="1059" w:type="dxa"/>
                  <w:tcBorders>
                    <w:tl2br w:val="nil"/>
                    <w:tr2bl w:val="nil"/>
                  </w:tcBorders>
                  <w:shd w:val="clear" w:color="auto" w:fill="auto"/>
                  <w:noWrap/>
                  <w:vAlign w:val="center"/>
                </w:tcPr>
                <w:p w14:paraId="23DA9A0D">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80/1</w:t>
                  </w:r>
                </w:p>
              </w:tc>
              <w:tc>
                <w:tcPr>
                  <w:tcW w:w="664" w:type="dxa"/>
                  <w:vMerge w:val="continue"/>
                  <w:tcBorders>
                    <w:tl2br w:val="nil"/>
                    <w:tr2bl w:val="nil"/>
                  </w:tcBorders>
                  <w:shd w:val="clear" w:color="auto" w:fill="auto"/>
                  <w:noWrap/>
                  <w:vAlign w:val="center"/>
                </w:tcPr>
                <w:p w14:paraId="39772026">
                  <w:pPr>
                    <w:pStyle w:val="21"/>
                    <w:keepNext w:val="0"/>
                    <w:keepLines w:val="0"/>
                    <w:suppressLineNumbers w:val="0"/>
                    <w:bidi w:val="0"/>
                    <w:spacing w:before="0" w:beforeAutospacing="0" w:after="0" w:afterAutospacing="0"/>
                    <w:ind w:left="0" w:right="0"/>
                    <w:rPr>
                      <w:rFonts w:hint="eastAsia"/>
                      <w:color w:val="auto"/>
                    </w:rPr>
                  </w:pPr>
                </w:p>
              </w:tc>
              <w:tc>
                <w:tcPr>
                  <w:tcW w:w="702" w:type="dxa"/>
                  <w:tcBorders>
                    <w:tl2br w:val="nil"/>
                    <w:tr2bl w:val="nil"/>
                  </w:tcBorders>
                  <w:shd w:val="clear" w:color="auto" w:fill="auto"/>
                  <w:noWrap/>
                  <w:vAlign w:val="center"/>
                </w:tcPr>
                <w:p w14:paraId="198637D8">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201</w:t>
                  </w:r>
                </w:p>
              </w:tc>
              <w:tc>
                <w:tcPr>
                  <w:tcW w:w="813" w:type="dxa"/>
                  <w:tcBorders>
                    <w:tl2br w:val="nil"/>
                    <w:tr2bl w:val="nil"/>
                  </w:tcBorders>
                  <w:shd w:val="clear" w:color="auto" w:fill="auto"/>
                  <w:noWrap/>
                  <w:vAlign w:val="center"/>
                </w:tcPr>
                <w:p w14:paraId="2FF69802">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20</w:t>
                  </w:r>
                </w:p>
              </w:tc>
              <w:tc>
                <w:tcPr>
                  <w:tcW w:w="776" w:type="dxa"/>
                  <w:tcBorders>
                    <w:tl2br w:val="nil"/>
                    <w:tr2bl w:val="nil"/>
                  </w:tcBorders>
                  <w:shd w:val="clear" w:color="auto" w:fill="auto"/>
                  <w:noWrap/>
                  <w:vAlign w:val="center"/>
                </w:tcPr>
                <w:p w14:paraId="0084968B">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w:t>
                  </w:r>
                </w:p>
              </w:tc>
              <w:tc>
                <w:tcPr>
                  <w:tcW w:w="1448" w:type="dxa"/>
                  <w:tcBorders>
                    <w:tl2br w:val="nil"/>
                    <w:tr2bl w:val="nil"/>
                  </w:tcBorders>
                  <w:shd w:val="clear" w:color="auto" w:fill="auto"/>
                  <w:noWrap/>
                  <w:vAlign w:val="center"/>
                </w:tcPr>
                <w:p w14:paraId="56B17F96">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7</w:t>
                  </w:r>
                </w:p>
              </w:tc>
              <w:tc>
                <w:tcPr>
                  <w:tcW w:w="1060" w:type="dxa"/>
                  <w:tcBorders>
                    <w:tl2br w:val="nil"/>
                    <w:tr2bl w:val="nil"/>
                  </w:tcBorders>
                  <w:shd w:val="clear" w:color="auto" w:fill="auto"/>
                  <w:noWrap/>
                  <w:vAlign w:val="center"/>
                </w:tcPr>
                <w:p w14:paraId="148E7C54">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61.7</w:t>
                  </w:r>
                </w:p>
              </w:tc>
              <w:tc>
                <w:tcPr>
                  <w:tcW w:w="924" w:type="dxa"/>
                  <w:vMerge w:val="continue"/>
                  <w:tcBorders>
                    <w:tl2br w:val="nil"/>
                    <w:tr2bl w:val="nil"/>
                  </w:tcBorders>
                  <w:shd w:val="clear" w:color="auto" w:fill="auto"/>
                  <w:noWrap/>
                  <w:vAlign w:val="center"/>
                </w:tcPr>
                <w:p w14:paraId="499E4573">
                  <w:pPr>
                    <w:pStyle w:val="21"/>
                    <w:keepNext w:val="0"/>
                    <w:keepLines w:val="0"/>
                    <w:suppressLineNumbers w:val="0"/>
                    <w:bidi w:val="0"/>
                    <w:spacing w:before="0" w:beforeAutospacing="0" w:after="0" w:afterAutospacing="0"/>
                    <w:ind w:left="0" w:right="0"/>
                    <w:rPr>
                      <w:rFonts w:hint="eastAsia"/>
                      <w:color w:val="auto"/>
                      <w:highlight w:val="none"/>
                    </w:rPr>
                  </w:pPr>
                </w:p>
              </w:tc>
              <w:tc>
                <w:tcPr>
                  <w:tcW w:w="1184" w:type="dxa"/>
                  <w:tcBorders>
                    <w:tl2br w:val="nil"/>
                    <w:tr2bl w:val="nil"/>
                  </w:tcBorders>
                  <w:shd w:val="clear" w:color="auto" w:fill="auto"/>
                  <w:noWrap/>
                  <w:vAlign w:val="center"/>
                </w:tcPr>
                <w:p w14:paraId="0AC86C1E">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26</w:t>
                  </w:r>
                </w:p>
              </w:tc>
              <w:tc>
                <w:tcPr>
                  <w:tcW w:w="1125" w:type="dxa"/>
                  <w:vMerge w:val="continue"/>
                  <w:tcBorders>
                    <w:tl2br w:val="nil"/>
                    <w:tr2bl w:val="nil"/>
                  </w:tcBorders>
                  <w:shd w:val="clear" w:color="auto" w:fill="auto"/>
                  <w:noWrap/>
                  <w:vAlign w:val="center"/>
                </w:tcPr>
                <w:p w14:paraId="576F81EA">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c>
                <w:tcPr>
                  <w:tcW w:w="916" w:type="dxa"/>
                  <w:vMerge w:val="continue"/>
                  <w:tcBorders>
                    <w:tl2br w:val="nil"/>
                    <w:tr2bl w:val="nil"/>
                  </w:tcBorders>
                  <w:shd w:val="clear" w:color="auto" w:fill="auto"/>
                  <w:noWrap/>
                  <w:vAlign w:val="center"/>
                </w:tcPr>
                <w:p w14:paraId="073B74B4">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r>
            <w:tr w14:paraId="3C39D5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02" w:type="dxa"/>
                  <w:tcBorders>
                    <w:tl2br w:val="nil"/>
                    <w:tr2bl w:val="nil"/>
                  </w:tcBorders>
                  <w:shd w:val="clear" w:color="auto" w:fill="auto"/>
                  <w:noWrap/>
                  <w:vAlign w:val="center"/>
                </w:tcPr>
                <w:p w14:paraId="02B89EA8">
                  <w:pPr>
                    <w:pStyle w:val="21"/>
                    <w:keepNext w:val="0"/>
                    <w:keepLines w:val="0"/>
                    <w:suppressLineNumbers w:val="0"/>
                    <w:bidi w:val="0"/>
                    <w:spacing w:before="0" w:beforeAutospacing="0" w:after="0" w:afterAutospacing="0"/>
                    <w:ind w:left="0" w:right="0"/>
                    <w:rPr>
                      <w:rFonts w:hint="eastAsia"/>
                      <w:color w:val="auto"/>
                      <w:highlight w:val="none"/>
                    </w:rPr>
                  </w:pPr>
                  <w:r>
                    <w:rPr>
                      <w:rFonts w:hint="default"/>
                      <w:color w:val="auto"/>
                      <w:highlight w:val="none"/>
                      <w:lang w:val="en-US" w:eastAsia="zh-CN"/>
                    </w:rPr>
                    <w:t>12</w:t>
                  </w:r>
                </w:p>
              </w:tc>
              <w:tc>
                <w:tcPr>
                  <w:tcW w:w="743" w:type="dxa"/>
                  <w:vMerge w:val="continue"/>
                  <w:tcBorders>
                    <w:tl2br w:val="nil"/>
                    <w:tr2bl w:val="nil"/>
                  </w:tcBorders>
                  <w:shd w:val="clear" w:color="auto" w:fill="FFFFFF"/>
                  <w:noWrap/>
                  <w:vAlign w:val="center"/>
                </w:tcPr>
                <w:p w14:paraId="3A900CAA">
                  <w:pPr>
                    <w:pStyle w:val="21"/>
                    <w:keepNext w:val="0"/>
                    <w:keepLines w:val="0"/>
                    <w:suppressLineNumbers w:val="0"/>
                    <w:bidi w:val="0"/>
                    <w:spacing w:before="0" w:beforeAutospacing="0" w:after="0" w:afterAutospacing="0"/>
                    <w:ind w:left="0" w:right="0"/>
                    <w:rPr>
                      <w:rFonts w:hint="eastAsia"/>
                      <w:color w:val="auto"/>
                      <w:highlight w:val="none"/>
                    </w:rPr>
                  </w:pPr>
                </w:p>
              </w:tc>
              <w:tc>
                <w:tcPr>
                  <w:tcW w:w="1528" w:type="dxa"/>
                  <w:tcBorders>
                    <w:tl2br w:val="nil"/>
                    <w:tr2bl w:val="nil"/>
                  </w:tcBorders>
                  <w:shd w:val="clear" w:color="auto" w:fill="auto"/>
                  <w:noWrap/>
                  <w:vAlign w:val="center"/>
                </w:tcPr>
                <w:p w14:paraId="77AEBC17">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包装机</w:t>
                  </w:r>
                </w:p>
              </w:tc>
              <w:tc>
                <w:tcPr>
                  <w:tcW w:w="303" w:type="dxa"/>
                  <w:tcBorders>
                    <w:tl2br w:val="nil"/>
                    <w:tr2bl w:val="nil"/>
                  </w:tcBorders>
                  <w:shd w:val="clear" w:color="auto" w:fill="FFFFFF"/>
                  <w:noWrap/>
                  <w:vAlign w:val="center"/>
                </w:tcPr>
                <w:p w14:paraId="352E4D4E">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w:t>
                  </w:r>
                </w:p>
              </w:tc>
              <w:tc>
                <w:tcPr>
                  <w:tcW w:w="1059" w:type="dxa"/>
                  <w:tcBorders>
                    <w:tl2br w:val="nil"/>
                    <w:tr2bl w:val="nil"/>
                  </w:tcBorders>
                  <w:shd w:val="clear" w:color="auto" w:fill="auto"/>
                  <w:noWrap/>
                  <w:vAlign w:val="center"/>
                </w:tcPr>
                <w:p w14:paraId="533BF256">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80/1</w:t>
                  </w:r>
                </w:p>
              </w:tc>
              <w:tc>
                <w:tcPr>
                  <w:tcW w:w="664" w:type="dxa"/>
                  <w:vMerge w:val="continue"/>
                  <w:tcBorders>
                    <w:tl2br w:val="nil"/>
                    <w:tr2bl w:val="nil"/>
                  </w:tcBorders>
                  <w:shd w:val="clear" w:color="auto" w:fill="auto"/>
                  <w:noWrap/>
                  <w:vAlign w:val="center"/>
                </w:tcPr>
                <w:p w14:paraId="03D8C90F">
                  <w:pPr>
                    <w:pStyle w:val="21"/>
                    <w:keepNext w:val="0"/>
                    <w:keepLines w:val="0"/>
                    <w:suppressLineNumbers w:val="0"/>
                    <w:bidi w:val="0"/>
                    <w:spacing w:before="0" w:beforeAutospacing="0" w:after="0" w:afterAutospacing="0"/>
                    <w:ind w:left="0" w:right="0"/>
                    <w:rPr>
                      <w:rFonts w:hint="eastAsia"/>
                      <w:color w:val="auto"/>
                    </w:rPr>
                  </w:pPr>
                </w:p>
              </w:tc>
              <w:tc>
                <w:tcPr>
                  <w:tcW w:w="702" w:type="dxa"/>
                  <w:tcBorders>
                    <w:tl2br w:val="nil"/>
                    <w:tr2bl w:val="nil"/>
                  </w:tcBorders>
                  <w:shd w:val="clear" w:color="auto" w:fill="auto"/>
                  <w:noWrap/>
                  <w:vAlign w:val="center"/>
                </w:tcPr>
                <w:p w14:paraId="468DDFDD">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213</w:t>
                  </w:r>
                </w:p>
              </w:tc>
              <w:tc>
                <w:tcPr>
                  <w:tcW w:w="813" w:type="dxa"/>
                  <w:tcBorders>
                    <w:tl2br w:val="nil"/>
                    <w:tr2bl w:val="nil"/>
                  </w:tcBorders>
                  <w:shd w:val="clear" w:color="auto" w:fill="auto"/>
                  <w:noWrap/>
                  <w:vAlign w:val="center"/>
                </w:tcPr>
                <w:p w14:paraId="49D3D8AB">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20</w:t>
                  </w:r>
                </w:p>
              </w:tc>
              <w:tc>
                <w:tcPr>
                  <w:tcW w:w="776" w:type="dxa"/>
                  <w:tcBorders>
                    <w:tl2br w:val="nil"/>
                    <w:tr2bl w:val="nil"/>
                  </w:tcBorders>
                  <w:shd w:val="clear" w:color="auto" w:fill="auto"/>
                  <w:noWrap/>
                  <w:vAlign w:val="center"/>
                </w:tcPr>
                <w:p w14:paraId="5690F9CC">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w:t>
                  </w:r>
                </w:p>
              </w:tc>
              <w:tc>
                <w:tcPr>
                  <w:tcW w:w="1448" w:type="dxa"/>
                  <w:tcBorders>
                    <w:tl2br w:val="nil"/>
                    <w:tr2bl w:val="nil"/>
                  </w:tcBorders>
                  <w:shd w:val="clear" w:color="auto" w:fill="auto"/>
                  <w:noWrap/>
                  <w:vAlign w:val="center"/>
                </w:tcPr>
                <w:p w14:paraId="2601BD32">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8</w:t>
                  </w:r>
                </w:p>
              </w:tc>
              <w:tc>
                <w:tcPr>
                  <w:tcW w:w="1060" w:type="dxa"/>
                  <w:tcBorders>
                    <w:tl2br w:val="nil"/>
                    <w:tr2bl w:val="nil"/>
                  </w:tcBorders>
                  <w:shd w:val="clear" w:color="auto" w:fill="auto"/>
                  <w:noWrap/>
                  <w:vAlign w:val="center"/>
                </w:tcPr>
                <w:p w14:paraId="57520435">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61.6</w:t>
                  </w:r>
                </w:p>
              </w:tc>
              <w:tc>
                <w:tcPr>
                  <w:tcW w:w="924" w:type="dxa"/>
                  <w:vMerge w:val="continue"/>
                  <w:tcBorders>
                    <w:tl2br w:val="nil"/>
                    <w:tr2bl w:val="nil"/>
                  </w:tcBorders>
                  <w:shd w:val="clear" w:color="auto" w:fill="auto"/>
                  <w:noWrap/>
                  <w:vAlign w:val="center"/>
                </w:tcPr>
                <w:p w14:paraId="543A3A95">
                  <w:pPr>
                    <w:pStyle w:val="21"/>
                    <w:keepNext w:val="0"/>
                    <w:keepLines w:val="0"/>
                    <w:suppressLineNumbers w:val="0"/>
                    <w:bidi w:val="0"/>
                    <w:spacing w:before="0" w:beforeAutospacing="0" w:after="0" w:afterAutospacing="0"/>
                    <w:ind w:left="0" w:right="0"/>
                    <w:rPr>
                      <w:rFonts w:hint="eastAsia"/>
                      <w:color w:val="auto"/>
                      <w:highlight w:val="none"/>
                    </w:rPr>
                  </w:pPr>
                </w:p>
              </w:tc>
              <w:tc>
                <w:tcPr>
                  <w:tcW w:w="1184" w:type="dxa"/>
                  <w:tcBorders>
                    <w:tl2br w:val="nil"/>
                    <w:tr2bl w:val="nil"/>
                  </w:tcBorders>
                  <w:shd w:val="clear" w:color="auto" w:fill="auto"/>
                  <w:noWrap/>
                  <w:vAlign w:val="center"/>
                </w:tcPr>
                <w:p w14:paraId="65B053EF">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26</w:t>
                  </w:r>
                </w:p>
              </w:tc>
              <w:tc>
                <w:tcPr>
                  <w:tcW w:w="1125" w:type="dxa"/>
                  <w:vMerge w:val="continue"/>
                  <w:tcBorders>
                    <w:tl2br w:val="nil"/>
                    <w:tr2bl w:val="nil"/>
                  </w:tcBorders>
                  <w:shd w:val="clear" w:color="auto" w:fill="auto"/>
                  <w:noWrap/>
                  <w:vAlign w:val="center"/>
                </w:tcPr>
                <w:p w14:paraId="198065E0">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c>
                <w:tcPr>
                  <w:tcW w:w="916" w:type="dxa"/>
                  <w:vMerge w:val="continue"/>
                  <w:tcBorders>
                    <w:tl2br w:val="nil"/>
                    <w:tr2bl w:val="nil"/>
                  </w:tcBorders>
                  <w:shd w:val="clear" w:color="auto" w:fill="auto"/>
                  <w:noWrap/>
                  <w:vAlign w:val="center"/>
                </w:tcPr>
                <w:p w14:paraId="748A17F3">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r>
            <w:tr w14:paraId="1F919A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02" w:type="dxa"/>
                  <w:tcBorders>
                    <w:tl2br w:val="nil"/>
                    <w:tr2bl w:val="nil"/>
                  </w:tcBorders>
                  <w:shd w:val="clear" w:color="auto" w:fill="FFFFFF"/>
                  <w:noWrap/>
                  <w:vAlign w:val="center"/>
                </w:tcPr>
                <w:p w14:paraId="1745FF34">
                  <w:pPr>
                    <w:pStyle w:val="21"/>
                    <w:keepNext w:val="0"/>
                    <w:keepLines w:val="0"/>
                    <w:suppressLineNumbers w:val="0"/>
                    <w:bidi w:val="0"/>
                    <w:spacing w:before="0" w:beforeAutospacing="0" w:after="0" w:afterAutospacing="0"/>
                    <w:ind w:left="0" w:right="0"/>
                    <w:rPr>
                      <w:rFonts w:hint="eastAsia"/>
                      <w:color w:val="auto"/>
                      <w:highlight w:val="none"/>
                    </w:rPr>
                  </w:pPr>
                  <w:r>
                    <w:rPr>
                      <w:rFonts w:hint="default"/>
                      <w:color w:val="auto"/>
                      <w:highlight w:val="none"/>
                      <w:lang w:val="en-US" w:eastAsia="zh-CN"/>
                    </w:rPr>
                    <w:t>13</w:t>
                  </w:r>
                </w:p>
              </w:tc>
              <w:tc>
                <w:tcPr>
                  <w:tcW w:w="743" w:type="dxa"/>
                  <w:vMerge w:val="continue"/>
                  <w:tcBorders>
                    <w:tl2br w:val="nil"/>
                    <w:tr2bl w:val="nil"/>
                  </w:tcBorders>
                  <w:shd w:val="clear" w:color="auto" w:fill="FFFFFF"/>
                  <w:noWrap/>
                  <w:vAlign w:val="center"/>
                </w:tcPr>
                <w:p w14:paraId="0E9DEF99">
                  <w:pPr>
                    <w:pStyle w:val="21"/>
                    <w:keepNext w:val="0"/>
                    <w:keepLines w:val="0"/>
                    <w:suppressLineNumbers w:val="0"/>
                    <w:bidi w:val="0"/>
                    <w:spacing w:before="0" w:beforeAutospacing="0" w:after="0" w:afterAutospacing="0"/>
                    <w:ind w:left="0" w:right="0"/>
                    <w:rPr>
                      <w:rFonts w:hint="eastAsia"/>
                      <w:color w:val="auto"/>
                      <w:highlight w:val="none"/>
                    </w:rPr>
                  </w:pPr>
                </w:p>
              </w:tc>
              <w:tc>
                <w:tcPr>
                  <w:tcW w:w="1528" w:type="dxa"/>
                  <w:tcBorders>
                    <w:tl2br w:val="nil"/>
                    <w:tr2bl w:val="nil"/>
                  </w:tcBorders>
                  <w:shd w:val="clear" w:color="auto" w:fill="FFFFFF"/>
                  <w:noWrap/>
                  <w:vAlign w:val="center"/>
                </w:tcPr>
                <w:p w14:paraId="142AB3AF">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双通道膜包机</w:t>
                  </w:r>
                </w:p>
              </w:tc>
              <w:tc>
                <w:tcPr>
                  <w:tcW w:w="303" w:type="dxa"/>
                  <w:tcBorders>
                    <w:tl2br w:val="nil"/>
                    <w:tr2bl w:val="nil"/>
                  </w:tcBorders>
                  <w:shd w:val="clear" w:color="auto" w:fill="FFFFFF"/>
                  <w:noWrap/>
                  <w:vAlign w:val="center"/>
                </w:tcPr>
                <w:p w14:paraId="3E15C0E4">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w:t>
                  </w:r>
                </w:p>
              </w:tc>
              <w:tc>
                <w:tcPr>
                  <w:tcW w:w="1059" w:type="dxa"/>
                  <w:tcBorders>
                    <w:tl2br w:val="nil"/>
                    <w:tr2bl w:val="nil"/>
                  </w:tcBorders>
                  <w:shd w:val="clear" w:color="auto" w:fill="FFFFFF"/>
                  <w:noWrap/>
                  <w:vAlign w:val="center"/>
                </w:tcPr>
                <w:p w14:paraId="5C620E98">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80/1</w:t>
                  </w:r>
                </w:p>
              </w:tc>
              <w:tc>
                <w:tcPr>
                  <w:tcW w:w="664" w:type="dxa"/>
                  <w:vMerge w:val="continue"/>
                  <w:tcBorders>
                    <w:tl2br w:val="nil"/>
                    <w:tr2bl w:val="nil"/>
                  </w:tcBorders>
                  <w:shd w:val="clear" w:color="auto" w:fill="FFFFFF"/>
                  <w:noWrap/>
                  <w:vAlign w:val="center"/>
                </w:tcPr>
                <w:p w14:paraId="457DDBEA">
                  <w:pPr>
                    <w:pStyle w:val="21"/>
                    <w:keepNext w:val="0"/>
                    <w:keepLines w:val="0"/>
                    <w:suppressLineNumbers w:val="0"/>
                    <w:bidi w:val="0"/>
                    <w:spacing w:before="0" w:beforeAutospacing="0" w:after="0" w:afterAutospacing="0"/>
                    <w:ind w:left="0" w:right="0"/>
                    <w:rPr>
                      <w:rFonts w:hint="eastAsia"/>
                      <w:color w:val="auto"/>
                    </w:rPr>
                  </w:pPr>
                </w:p>
              </w:tc>
              <w:tc>
                <w:tcPr>
                  <w:tcW w:w="702" w:type="dxa"/>
                  <w:tcBorders>
                    <w:tl2br w:val="nil"/>
                    <w:tr2bl w:val="nil"/>
                  </w:tcBorders>
                  <w:shd w:val="clear" w:color="auto" w:fill="FFFFFF"/>
                  <w:noWrap/>
                  <w:vAlign w:val="center"/>
                </w:tcPr>
                <w:p w14:paraId="772EE615">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197</w:t>
                  </w:r>
                </w:p>
              </w:tc>
              <w:tc>
                <w:tcPr>
                  <w:tcW w:w="813" w:type="dxa"/>
                  <w:tcBorders>
                    <w:tl2br w:val="nil"/>
                    <w:tr2bl w:val="nil"/>
                  </w:tcBorders>
                  <w:shd w:val="clear" w:color="auto" w:fill="FFFFFF"/>
                  <w:noWrap/>
                  <w:vAlign w:val="center"/>
                </w:tcPr>
                <w:p w14:paraId="1F5294CC">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20</w:t>
                  </w:r>
                </w:p>
              </w:tc>
              <w:tc>
                <w:tcPr>
                  <w:tcW w:w="776" w:type="dxa"/>
                  <w:tcBorders>
                    <w:tl2br w:val="nil"/>
                    <w:tr2bl w:val="nil"/>
                  </w:tcBorders>
                  <w:shd w:val="clear" w:color="auto" w:fill="FFFFFF"/>
                  <w:noWrap/>
                  <w:vAlign w:val="center"/>
                </w:tcPr>
                <w:p w14:paraId="03582F26">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w:t>
                  </w:r>
                </w:p>
              </w:tc>
              <w:tc>
                <w:tcPr>
                  <w:tcW w:w="1448" w:type="dxa"/>
                  <w:tcBorders>
                    <w:tl2br w:val="nil"/>
                    <w:tr2bl w:val="nil"/>
                  </w:tcBorders>
                  <w:shd w:val="clear" w:color="auto" w:fill="FFFFFF"/>
                  <w:noWrap/>
                  <w:vAlign w:val="center"/>
                </w:tcPr>
                <w:p w14:paraId="07B4573B">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3</w:t>
                  </w:r>
                </w:p>
              </w:tc>
              <w:tc>
                <w:tcPr>
                  <w:tcW w:w="1060" w:type="dxa"/>
                  <w:tcBorders>
                    <w:tl2br w:val="nil"/>
                    <w:tr2bl w:val="nil"/>
                  </w:tcBorders>
                  <w:shd w:val="clear" w:color="auto" w:fill="FFFFFF"/>
                  <w:noWrap/>
                  <w:vAlign w:val="center"/>
                </w:tcPr>
                <w:p w14:paraId="05EBF25B">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63.5</w:t>
                  </w:r>
                </w:p>
              </w:tc>
              <w:tc>
                <w:tcPr>
                  <w:tcW w:w="924" w:type="dxa"/>
                  <w:vMerge w:val="continue"/>
                  <w:tcBorders>
                    <w:tl2br w:val="nil"/>
                    <w:tr2bl w:val="nil"/>
                  </w:tcBorders>
                  <w:shd w:val="clear" w:color="auto" w:fill="FFFFFF"/>
                  <w:noWrap/>
                  <w:vAlign w:val="center"/>
                </w:tcPr>
                <w:p w14:paraId="710DBF82">
                  <w:pPr>
                    <w:pStyle w:val="21"/>
                    <w:keepNext w:val="0"/>
                    <w:keepLines w:val="0"/>
                    <w:suppressLineNumbers w:val="0"/>
                    <w:bidi w:val="0"/>
                    <w:spacing w:before="0" w:beforeAutospacing="0" w:after="0" w:afterAutospacing="0"/>
                    <w:ind w:left="0" w:right="0"/>
                    <w:rPr>
                      <w:rFonts w:hint="eastAsia"/>
                      <w:color w:val="auto"/>
                      <w:highlight w:val="none"/>
                    </w:rPr>
                  </w:pPr>
                </w:p>
              </w:tc>
              <w:tc>
                <w:tcPr>
                  <w:tcW w:w="1184" w:type="dxa"/>
                  <w:tcBorders>
                    <w:tl2br w:val="nil"/>
                    <w:tr2bl w:val="nil"/>
                  </w:tcBorders>
                  <w:shd w:val="clear" w:color="auto" w:fill="FFFFFF"/>
                  <w:noWrap/>
                  <w:vAlign w:val="center"/>
                </w:tcPr>
                <w:p w14:paraId="6E9149AB">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26</w:t>
                  </w:r>
                </w:p>
              </w:tc>
              <w:tc>
                <w:tcPr>
                  <w:tcW w:w="1125" w:type="dxa"/>
                  <w:vMerge w:val="continue"/>
                  <w:tcBorders>
                    <w:tl2br w:val="nil"/>
                    <w:tr2bl w:val="nil"/>
                  </w:tcBorders>
                  <w:shd w:val="clear" w:color="auto" w:fill="FFFFFF"/>
                  <w:noWrap/>
                  <w:vAlign w:val="center"/>
                </w:tcPr>
                <w:p w14:paraId="2C558055">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c>
                <w:tcPr>
                  <w:tcW w:w="916" w:type="dxa"/>
                  <w:vMerge w:val="continue"/>
                  <w:tcBorders>
                    <w:tl2br w:val="nil"/>
                    <w:tr2bl w:val="nil"/>
                  </w:tcBorders>
                  <w:shd w:val="clear" w:color="auto" w:fill="FFFFFF"/>
                  <w:noWrap/>
                  <w:vAlign w:val="center"/>
                </w:tcPr>
                <w:p w14:paraId="0524C1DF">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r>
            <w:tr w14:paraId="39BD74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402" w:type="dxa"/>
                  <w:tcBorders>
                    <w:tl2br w:val="nil"/>
                    <w:tr2bl w:val="nil"/>
                  </w:tcBorders>
                  <w:shd w:val="clear" w:color="auto" w:fill="auto"/>
                  <w:noWrap/>
                  <w:vAlign w:val="center"/>
                </w:tcPr>
                <w:p w14:paraId="41875011">
                  <w:pPr>
                    <w:pStyle w:val="21"/>
                    <w:keepNext w:val="0"/>
                    <w:keepLines w:val="0"/>
                    <w:suppressLineNumbers w:val="0"/>
                    <w:bidi w:val="0"/>
                    <w:spacing w:before="0" w:beforeAutospacing="0" w:after="0" w:afterAutospacing="0"/>
                    <w:ind w:left="0" w:right="0"/>
                    <w:rPr>
                      <w:rFonts w:hint="eastAsia"/>
                      <w:color w:val="auto"/>
                      <w:highlight w:val="none"/>
                    </w:rPr>
                  </w:pPr>
                  <w:r>
                    <w:rPr>
                      <w:rFonts w:hint="default"/>
                      <w:color w:val="auto"/>
                      <w:highlight w:val="none"/>
                      <w:lang w:val="en-US" w:eastAsia="zh-CN"/>
                    </w:rPr>
                    <w:t>14</w:t>
                  </w:r>
                </w:p>
              </w:tc>
              <w:tc>
                <w:tcPr>
                  <w:tcW w:w="743" w:type="dxa"/>
                  <w:vMerge w:val="continue"/>
                  <w:tcBorders>
                    <w:tl2br w:val="nil"/>
                    <w:tr2bl w:val="nil"/>
                  </w:tcBorders>
                  <w:shd w:val="clear" w:color="auto" w:fill="FFFFFF"/>
                  <w:noWrap/>
                  <w:vAlign w:val="center"/>
                </w:tcPr>
                <w:p w14:paraId="63EB6458">
                  <w:pPr>
                    <w:pStyle w:val="21"/>
                    <w:keepNext w:val="0"/>
                    <w:keepLines w:val="0"/>
                    <w:suppressLineNumbers w:val="0"/>
                    <w:bidi w:val="0"/>
                    <w:spacing w:before="0" w:beforeAutospacing="0" w:after="0" w:afterAutospacing="0"/>
                    <w:ind w:left="0" w:right="0"/>
                    <w:rPr>
                      <w:rFonts w:hint="eastAsia"/>
                      <w:color w:val="auto"/>
                      <w:highlight w:val="none"/>
                    </w:rPr>
                  </w:pPr>
                </w:p>
              </w:tc>
              <w:tc>
                <w:tcPr>
                  <w:tcW w:w="1528" w:type="dxa"/>
                  <w:tcBorders>
                    <w:tl2br w:val="nil"/>
                    <w:tr2bl w:val="nil"/>
                  </w:tcBorders>
                  <w:shd w:val="clear" w:color="auto" w:fill="auto"/>
                  <w:noWrap/>
                  <w:vAlign w:val="center"/>
                </w:tcPr>
                <w:p w14:paraId="0B657951">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箱输送带</w:t>
                  </w:r>
                </w:p>
              </w:tc>
              <w:tc>
                <w:tcPr>
                  <w:tcW w:w="303" w:type="dxa"/>
                  <w:tcBorders>
                    <w:tl2br w:val="nil"/>
                    <w:tr2bl w:val="nil"/>
                  </w:tcBorders>
                  <w:shd w:val="clear" w:color="auto" w:fill="FFFFFF"/>
                  <w:noWrap/>
                  <w:vAlign w:val="center"/>
                </w:tcPr>
                <w:p w14:paraId="4017CCBB">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w:t>
                  </w:r>
                </w:p>
              </w:tc>
              <w:tc>
                <w:tcPr>
                  <w:tcW w:w="1059" w:type="dxa"/>
                  <w:tcBorders>
                    <w:tl2br w:val="nil"/>
                    <w:tr2bl w:val="nil"/>
                  </w:tcBorders>
                  <w:shd w:val="clear" w:color="auto" w:fill="auto"/>
                  <w:noWrap/>
                  <w:vAlign w:val="center"/>
                </w:tcPr>
                <w:p w14:paraId="76AE502B">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75/1</w:t>
                  </w:r>
                </w:p>
              </w:tc>
              <w:tc>
                <w:tcPr>
                  <w:tcW w:w="664" w:type="dxa"/>
                  <w:vMerge w:val="continue"/>
                  <w:tcBorders>
                    <w:tl2br w:val="nil"/>
                    <w:tr2bl w:val="nil"/>
                  </w:tcBorders>
                  <w:shd w:val="clear" w:color="auto" w:fill="auto"/>
                  <w:noWrap/>
                  <w:vAlign w:val="center"/>
                </w:tcPr>
                <w:p w14:paraId="211AED8A">
                  <w:pPr>
                    <w:pStyle w:val="21"/>
                    <w:keepNext w:val="0"/>
                    <w:keepLines w:val="0"/>
                    <w:suppressLineNumbers w:val="0"/>
                    <w:bidi w:val="0"/>
                    <w:spacing w:before="0" w:beforeAutospacing="0" w:after="0" w:afterAutospacing="0"/>
                    <w:ind w:left="0" w:right="0"/>
                    <w:rPr>
                      <w:rFonts w:hint="eastAsia"/>
                      <w:color w:val="auto"/>
                    </w:rPr>
                  </w:pPr>
                </w:p>
              </w:tc>
              <w:tc>
                <w:tcPr>
                  <w:tcW w:w="702" w:type="dxa"/>
                  <w:tcBorders>
                    <w:tl2br w:val="nil"/>
                    <w:tr2bl w:val="nil"/>
                  </w:tcBorders>
                  <w:shd w:val="clear" w:color="auto" w:fill="auto"/>
                  <w:noWrap/>
                  <w:vAlign w:val="center"/>
                </w:tcPr>
                <w:p w14:paraId="6F0EB0CB">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197</w:t>
                  </w:r>
                </w:p>
              </w:tc>
              <w:tc>
                <w:tcPr>
                  <w:tcW w:w="813" w:type="dxa"/>
                  <w:tcBorders>
                    <w:tl2br w:val="nil"/>
                    <w:tr2bl w:val="nil"/>
                  </w:tcBorders>
                  <w:shd w:val="clear" w:color="auto" w:fill="auto"/>
                  <w:noWrap/>
                  <w:vAlign w:val="center"/>
                </w:tcPr>
                <w:p w14:paraId="43611464">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15</w:t>
                  </w:r>
                </w:p>
              </w:tc>
              <w:tc>
                <w:tcPr>
                  <w:tcW w:w="776" w:type="dxa"/>
                  <w:tcBorders>
                    <w:tl2br w:val="nil"/>
                    <w:tr2bl w:val="nil"/>
                  </w:tcBorders>
                  <w:shd w:val="clear" w:color="auto" w:fill="auto"/>
                  <w:noWrap/>
                  <w:vAlign w:val="center"/>
                </w:tcPr>
                <w:p w14:paraId="033D97EC">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w:t>
                  </w:r>
                </w:p>
              </w:tc>
              <w:tc>
                <w:tcPr>
                  <w:tcW w:w="1448" w:type="dxa"/>
                  <w:tcBorders>
                    <w:tl2br w:val="nil"/>
                    <w:tr2bl w:val="nil"/>
                  </w:tcBorders>
                  <w:shd w:val="clear" w:color="auto" w:fill="auto"/>
                  <w:noWrap/>
                  <w:vAlign w:val="center"/>
                </w:tcPr>
                <w:p w14:paraId="16BD854F">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w:t>
                  </w:r>
                </w:p>
              </w:tc>
              <w:tc>
                <w:tcPr>
                  <w:tcW w:w="1060" w:type="dxa"/>
                  <w:tcBorders>
                    <w:tl2br w:val="nil"/>
                    <w:tr2bl w:val="nil"/>
                  </w:tcBorders>
                  <w:shd w:val="clear" w:color="auto" w:fill="auto"/>
                  <w:noWrap/>
                  <w:vAlign w:val="center"/>
                </w:tcPr>
                <w:p w14:paraId="4981AEB6">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59.3</w:t>
                  </w:r>
                </w:p>
              </w:tc>
              <w:tc>
                <w:tcPr>
                  <w:tcW w:w="924" w:type="dxa"/>
                  <w:vMerge w:val="continue"/>
                  <w:tcBorders>
                    <w:tl2br w:val="nil"/>
                    <w:tr2bl w:val="nil"/>
                  </w:tcBorders>
                  <w:shd w:val="clear" w:color="auto" w:fill="auto"/>
                  <w:noWrap/>
                  <w:vAlign w:val="center"/>
                </w:tcPr>
                <w:p w14:paraId="2839CD39">
                  <w:pPr>
                    <w:pStyle w:val="21"/>
                    <w:keepNext w:val="0"/>
                    <w:keepLines w:val="0"/>
                    <w:suppressLineNumbers w:val="0"/>
                    <w:bidi w:val="0"/>
                    <w:spacing w:before="0" w:beforeAutospacing="0" w:after="0" w:afterAutospacing="0"/>
                    <w:ind w:left="0" w:right="0"/>
                    <w:rPr>
                      <w:rFonts w:hint="eastAsia"/>
                      <w:color w:val="auto"/>
                      <w:highlight w:val="none"/>
                    </w:rPr>
                  </w:pPr>
                </w:p>
              </w:tc>
              <w:tc>
                <w:tcPr>
                  <w:tcW w:w="1184" w:type="dxa"/>
                  <w:tcBorders>
                    <w:tl2br w:val="nil"/>
                    <w:tr2bl w:val="nil"/>
                  </w:tcBorders>
                  <w:shd w:val="clear" w:color="auto" w:fill="auto"/>
                  <w:noWrap/>
                  <w:vAlign w:val="center"/>
                </w:tcPr>
                <w:p w14:paraId="29058F2D">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26</w:t>
                  </w:r>
                </w:p>
              </w:tc>
              <w:tc>
                <w:tcPr>
                  <w:tcW w:w="1125" w:type="dxa"/>
                  <w:vMerge w:val="continue"/>
                  <w:tcBorders>
                    <w:tl2br w:val="nil"/>
                    <w:tr2bl w:val="nil"/>
                  </w:tcBorders>
                  <w:shd w:val="clear" w:color="auto" w:fill="auto"/>
                  <w:noWrap/>
                  <w:vAlign w:val="center"/>
                </w:tcPr>
                <w:p w14:paraId="1CD9AC12">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c>
                <w:tcPr>
                  <w:tcW w:w="916" w:type="dxa"/>
                  <w:vMerge w:val="continue"/>
                  <w:tcBorders>
                    <w:tl2br w:val="nil"/>
                    <w:tr2bl w:val="nil"/>
                  </w:tcBorders>
                  <w:shd w:val="clear" w:color="auto" w:fill="auto"/>
                  <w:noWrap/>
                  <w:vAlign w:val="center"/>
                </w:tcPr>
                <w:p w14:paraId="793D804D">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r>
            <w:tr w14:paraId="73BDEA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402" w:type="dxa"/>
                  <w:tcBorders>
                    <w:tl2br w:val="nil"/>
                    <w:tr2bl w:val="nil"/>
                  </w:tcBorders>
                  <w:shd w:val="clear" w:color="auto" w:fill="auto"/>
                  <w:noWrap/>
                  <w:vAlign w:val="center"/>
                </w:tcPr>
                <w:p w14:paraId="467137A8">
                  <w:pPr>
                    <w:pStyle w:val="21"/>
                    <w:keepNext w:val="0"/>
                    <w:keepLines w:val="0"/>
                    <w:suppressLineNumbers w:val="0"/>
                    <w:bidi w:val="0"/>
                    <w:spacing w:before="0" w:beforeAutospacing="0" w:after="0" w:afterAutospacing="0"/>
                    <w:ind w:left="0" w:right="0"/>
                    <w:rPr>
                      <w:rFonts w:hint="eastAsia"/>
                      <w:color w:val="auto"/>
                      <w:highlight w:val="none"/>
                    </w:rPr>
                  </w:pPr>
                  <w:r>
                    <w:rPr>
                      <w:rFonts w:hint="default"/>
                      <w:color w:val="auto"/>
                      <w:highlight w:val="none"/>
                      <w:lang w:val="en-US" w:eastAsia="zh-CN"/>
                    </w:rPr>
                    <w:t>15</w:t>
                  </w:r>
                </w:p>
              </w:tc>
              <w:tc>
                <w:tcPr>
                  <w:tcW w:w="743" w:type="dxa"/>
                  <w:vMerge w:val="continue"/>
                  <w:tcBorders>
                    <w:tl2br w:val="nil"/>
                    <w:tr2bl w:val="nil"/>
                  </w:tcBorders>
                  <w:shd w:val="clear" w:color="auto" w:fill="FFFFFF"/>
                  <w:noWrap/>
                  <w:vAlign w:val="center"/>
                </w:tcPr>
                <w:p w14:paraId="19424069">
                  <w:pPr>
                    <w:pStyle w:val="21"/>
                    <w:keepNext w:val="0"/>
                    <w:keepLines w:val="0"/>
                    <w:suppressLineNumbers w:val="0"/>
                    <w:bidi w:val="0"/>
                    <w:spacing w:before="0" w:beforeAutospacing="0" w:after="0" w:afterAutospacing="0"/>
                    <w:ind w:left="0" w:right="0"/>
                    <w:rPr>
                      <w:rFonts w:hint="eastAsia"/>
                      <w:color w:val="auto"/>
                      <w:highlight w:val="none"/>
                    </w:rPr>
                  </w:pPr>
                </w:p>
              </w:tc>
              <w:tc>
                <w:tcPr>
                  <w:tcW w:w="1528" w:type="dxa"/>
                  <w:tcBorders>
                    <w:tl2br w:val="nil"/>
                    <w:tr2bl w:val="nil"/>
                  </w:tcBorders>
                  <w:shd w:val="clear" w:color="auto" w:fill="auto"/>
                  <w:noWrap/>
                  <w:vAlign w:val="center"/>
                </w:tcPr>
                <w:p w14:paraId="1F246666">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缠膜机</w:t>
                  </w:r>
                </w:p>
              </w:tc>
              <w:tc>
                <w:tcPr>
                  <w:tcW w:w="303" w:type="dxa"/>
                  <w:tcBorders>
                    <w:tl2br w:val="nil"/>
                    <w:tr2bl w:val="nil"/>
                  </w:tcBorders>
                  <w:shd w:val="clear" w:color="auto" w:fill="FFFFFF"/>
                  <w:noWrap/>
                  <w:vAlign w:val="center"/>
                </w:tcPr>
                <w:p w14:paraId="36BEA1D1">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w:t>
                  </w:r>
                </w:p>
              </w:tc>
              <w:tc>
                <w:tcPr>
                  <w:tcW w:w="1059" w:type="dxa"/>
                  <w:tcBorders>
                    <w:tl2br w:val="nil"/>
                    <w:tr2bl w:val="nil"/>
                  </w:tcBorders>
                  <w:shd w:val="clear" w:color="auto" w:fill="auto"/>
                  <w:noWrap/>
                  <w:vAlign w:val="center"/>
                </w:tcPr>
                <w:p w14:paraId="1B903C70">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75/1</w:t>
                  </w:r>
                </w:p>
              </w:tc>
              <w:tc>
                <w:tcPr>
                  <w:tcW w:w="664" w:type="dxa"/>
                  <w:vMerge w:val="continue"/>
                  <w:tcBorders>
                    <w:tl2br w:val="nil"/>
                    <w:tr2bl w:val="nil"/>
                  </w:tcBorders>
                  <w:shd w:val="clear" w:color="auto" w:fill="auto"/>
                  <w:noWrap/>
                  <w:vAlign w:val="center"/>
                </w:tcPr>
                <w:p w14:paraId="5A455FD5">
                  <w:pPr>
                    <w:pStyle w:val="21"/>
                    <w:keepNext w:val="0"/>
                    <w:keepLines w:val="0"/>
                    <w:suppressLineNumbers w:val="0"/>
                    <w:bidi w:val="0"/>
                    <w:spacing w:before="0" w:beforeAutospacing="0" w:after="0" w:afterAutospacing="0"/>
                    <w:ind w:left="0" w:right="0"/>
                    <w:rPr>
                      <w:rFonts w:hint="eastAsia"/>
                      <w:color w:val="auto"/>
                    </w:rPr>
                  </w:pPr>
                </w:p>
              </w:tc>
              <w:tc>
                <w:tcPr>
                  <w:tcW w:w="702" w:type="dxa"/>
                  <w:tcBorders>
                    <w:tl2br w:val="nil"/>
                    <w:tr2bl w:val="nil"/>
                  </w:tcBorders>
                  <w:shd w:val="clear" w:color="auto" w:fill="auto"/>
                  <w:noWrap/>
                  <w:vAlign w:val="center"/>
                </w:tcPr>
                <w:p w14:paraId="2833852C">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205</w:t>
                  </w:r>
                </w:p>
              </w:tc>
              <w:tc>
                <w:tcPr>
                  <w:tcW w:w="813" w:type="dxa"/>
                  <w:tcBorders>
                    <w:tl2br w:val="nil"/>
                    <w:tr2bl w:val="nil"/>
                  </w:tcBorders>
                  <w:shd w:val="clear" w:color="auto" w:fill="auto"/>
                  <w:noWrap/>
                  <w:vAlign w:val="center"/>
                </w:tcPr>
                <w:p w14:paraId="30E2C1CF">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20</w:t>
                  </w:r>
                </w:p>
              </w:tc>
              <w:tc>
                <w:tcPr>
                  <w:tcW w:w="776" w:type="dxa"/>
                  <w:tcBorders>
                    <w:tl2br w:val="nil"/>
                    <w:tr2bl w:val="nil"/>
                  </w:tcBorders>
                  <w:shd w:val="clear" w:color="auto" w:fill="auto"/>
                  <w:noWrap/>
                  <w:vAlign w:val="center"/>
                </w:tcPr>
                <w:p w14:paraId="3F611C01">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w:t>
                  </w:r>
                </w:p>
              </w:tc>
              <w:tc>
                <w:tcPr>
                  <w:tcW w:w="1448" w:type="dxa"/>
                  <w:tcBorders>
                    <w:tl2br w:val="nil"/>
                    <w:tr2bl w:val="nil"/>
                  </w:tcBorders>
                  <w:shd w:val="clear" w:color="auto" w:fill="auto"/>
                  <w:noWrap/>
                  <w:vAlign w:val="center"/>
                </w:tcPr>
                <w:p w14:paraId="7C84B90C">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8</w:t>
                  </w:r>
                </w:p>
              </w:tc>
              <w:tc>
                <w:tcPr>
                  <w:tcW w:w="1060" w:type="dxa"/>
                  <w:tcBorders>
                    <w:tl2br w:val="nil"/>
                    <w:tr2bl w:val="nil"/>
                  </w:tcBorders>
                  <w:shd w:val="clear" w:color="auto" w:fill="auto"/>
                  <w:noWrap/>
                  <w:vAlign w:val="center"/>
                </w:tcPr>
                <w:p w14:paraId="56A02052">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56.6</w:t>
                  </w:r>
                </w:p>
              </w:tc>
              <w:tc>
                <w:tcPr>
                  <w:tcW w:w="924" w:type="dxa"/>
                  <w:vMerge w:val="continue"/>
                  <w:tcBorders>
                    <w:tl2br w:val="nil"/>
                    <w:tr2bl w:val="nil"/>
                  </w:tcBorders>
                  <w:shd w:val="clear" w:color="auto" w:fill="auto"/>
                  <w:noWrap/>
                  <w:vAlign w:val="center"/>
                </w:tcPr>
                <w:p w14:paraId="115602F4">
                  <w:pPr>
                    <w:pStyle w:val="21"/>
                    <w:keepNext w:val="0"/>
                    <w:keepLines w:val="0"/>
                    <w:suppressLineNumbers w:val="0"/>
                    <w:bidi w:val="0"/>
                    <w:spacing w:before="0" w:beforeAutospacing="0" w:after="0" w:afterAutospacing="0"/>
                    <w:ind w:left="0" w:right="0"/>
                    <w:rPr>
                      <w:rFonts w:hint="eastAsia"/>
                      <w:color w:val="auto"/>
                      <w:highlight w:val="none"/>
                    </w:rPr>
                  </w:pPr>
                </w:p>
              </w:tc>
              <w:tc>
                <w:tcPr>
                  <w:tcW w:w="1184" w:type="dxa"/>
                  <w:tcBorders>
                    <w:tl2br w:val="nil"/>
                    <w:tr2bl w:val="nil"/>
                  </w:tcBorders>
                  <w:shd w:val="clear" w:color="auto" w:fill="auto"/>
                  <w:noWrap/>
                  <w:vAlign w:val="center"/>
                </w:tcPr>
                <w:p w14:paraId="01A12A08">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26</w:t>
                  </w:r>
                </w:p>
              </w:tc>
              <w:tc>
                <w:tcPr>
                  <w:tcW w:w="1125" w:type="dxa"/>
                  <w:vMerge w:val="continue"/>
                  <w:tcBorders>
                    <w:tl2br w:val="nil"/>
                    <w:tr2bl w:val="nil"/>
                  </w:tcBorders>
                  <w:shd w:val="clear" w:color="auto" w:fill="auto"/>
                  <w:noWrap/>
                  <w:vAlign w:val="center"/>
                </w:tcPr>
                <w:p w14:paraId="2A51AF2E">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c>
                <w:tcPr>
                  <w:tcW w:w="916" w:type="dxa"/>
                  <w:vMerge w:val="continue"/>
                  <w:tcBorders>
                    <w:tl2br w:val="nil"/>
                    <w:tr2bl w:val="nil"/>
                  </w:tcBorders>
                  <w:shd w:val="clear" w:color="auto" w:fill="auto"/>
                  <w:noWrap/>
                  <w:vAlign w:val="center"/>
                </w:tcPr>
                <w:p w14:paraId="49F827B1">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r>
            <w:tr w14:paraId="634CB8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402" w:type="dxa"/>
                  <w:tcBorders>
                    <w:tl2br w:val="nil"/>
                    <w:tr2bl w:val="nil"/>
                  </w:tcBorders>
                  <w:shd w:val="clear" w:color="auto" w:fill="FFFFFF"/>
                  <w:noWrap/>
                  <w:vAlign w:val="center"/>
                </w:tcPr>
                <w:p w14:paraId="109F62AA">
                  <w:pPr>
                    <w:pStyle w:val="21"/>
                    <w:keepNext w:val="0"/>
                    <w:keepLines w:val="0"/>
                    <w:suppressLineNumbers w:val="0"/>
                    <w:bidi w:val="0"/>
                    <w:spacing w:before="0" w:beforeAutospacing="0" w:after="0" w:afterAutospacing="0"/>
                    <w:ind w:left="0" w:right="0"/>
                    <w:rPr>
                      <w:rFonts w:hint="eastAsia"/>
                      <w:color w:val="auto"/>
                      <w:highlight w:val="none"/>
                    </w:rPr>
                  </w:pPr>
                  <w:r>
                    <w:rPr>
                      <w:rFonts w:hint="default"/>
                      <w:color w:val="auto"/>
                      <w:highlight w:val="none"/>
                      <w:lang w:val="en-US" w:eastAsia="zh-CN"/>
                    </w:rPr>
                    <w:t>16</w:t>
                  </w:r>
                </w:p>
              </w:tc>
              <w:tc>
                <w:tcPr>
                  <w:tcW w:w="743" w:type="dxa"/>
                  <w:vMerge w:val="continue"/>
                  <w:tcBorders>
                    <w:tl2br w:val="nil"/>
                    <w:tr2bl w:val="nil"/>
                  </w:tcBorders>
                  <w:shd w:val="clear" w:color="auto" w:fill="FFFFFF"/>
                  <w:noWrap/>
                  <w:vAlign w:val="center"/>
                </w:tcPr>
                <w:p w14:paraId="04E76DE9">
                  <w:pPr>
                    <w:pStyle w:val="21"/>
                    <w:keepNext w:val="0"/>
                    <w:keepLines w:val="0"/>
                    <w:suppressLineNumbers w:val="0"/>
                    <w:bidi w:val="0"/>
                    <w:spacing w:before="0" w:beforeAutospacing="0" w:after="0" w:afterAutospacing="0"/>
                    <w:ind w:left="0" w:right="0"/>
                    <w:rPr>
                      <w:rFonts w:hint="eastAsia"/>
                      <w:color w:val="auto"/>
                      <w:highlight w:val="none"/>
                    </w:rPr>
                  </w:pPr>
                </w:p>
              </w:tc>
              <w:tc>
                <w:tcPr>
                  <w:tcW w:w="1528" w:type="dxa"/>
                  <w:tcBorders>
                    <w:tl2br w:val="nil"/>
                    <w:tr2bl w:val="nil"/>
                  </w:tcBorders>
                  <w:shd w:val="clear" w:color="auto" w:fill="FFFFFF"/>
                  <w:noWrap/>
                  <w:vAlign w:val="center"/>
                </w:tcPr>
                <w:p w14:paraId="11E39F62">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一次泵</w:t>
                  </w:r>
                </w:p>
              </w:tc>
              <w:tc>
                <w:tcPr>
                  <w:tcW w:w="303" w:type="dxa"/>
                  <w:tcBorders>
                    <w:tl2br w:val="nil"/>
                    <w:tr2bl w:val="nil"/>
                  </w:tcBorders>
                  <w:shd w:val="clear" w:color="auto" w:fill="FFFFFF"/>
                  <w:noWrap/>
                  <w:vAlign w:val="center"/>
                </w:tcPr>
                <w:p w14:paraId="70266D26">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w:t>
                  </w:r>
                </w:p>
              </w:tc>
              <w:tc>
                <w:tcPr>
                  <w:tcW w:w="1059" w:type="dxa"/>
                  <w:tcBorders>
                    <w:tl2br w:val="nil"/>
                    <w:tr2bl w:val="nil"/>
                  </w:tcBorders>
                  <w:shd w:val="clear" w:color="auto" w:fill="FFFFFF"/>
                  <w:noWrap/>
                  <w:vAlign w:val="center"/>
                </w:tcPr>
                <w:p w14:paraId="13AADA70">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70/1</w:t>
                  </w:r>
                </w:p>
              </w:tc>
              <w:tc>
                <w:tcPr>
                  <w:tcW w:w="664" w:type="dxa"/>
                  <w:vMerge w:val="continue"/>
                  <w:tcBorders>
                    <w:tl2br w:val="nil"/>
                    <w:tr2bl w:val="nil"/>
                  </w:tcBorders>
                  <w:shd w:val="clear" w:color="auto" w:fill="FFFFFF"/>
                  <w:noWrap/>
                  <w:vAlign w:val="center"/>
                </w:tcPr>
                <w:p w14:paraId="17D55CB8">
                  <w:pPr>
                    <w:pStyle w:val="21"/>
                    <w:keepNext w:val="0"/>
                    <w:keepLines w:val="0"/>
                    <w:suppressLineNumbers w:val="0"/>
                    <w:bidi w:val="0"/>
                    <w:spacing w:before="0" w:beforeAutospacing="0" w:after="0" w:afterAutospacing="0"/>
                    <w:ind w:left="0" w:right="0"/>
                    <w:rPr>
                      <w:rFonts w:hint="eastAsia"/>
                      <w:color w:val="auto"/>
                    </w:rPr>
                  </w:pPr>
                </w:p>
              </w:tc>
              <w:tc>
                <w:tcPr>
                  <w:tcW w:w="702" w:type="dxa"/>
                  <w:tcBorders>
                    <w:tl2br w:val="nil"/>
                    <w:tr2bl w:val="nil"/>
                  </w:tcBorders>
                  <w:shd w:val="clear" w:color="auto" w:fill="FFFFFF"/>
                  <w:noWrap/>
                  <w:vAlign w:val="center"/>
                </w:tcPr>
                <w:p w14:paraId="0E72DAE1">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-4</w:t>
                  </w:r>
                </w:p>
              </w:tc>
              <w:tc>
                <w:tcPr>
                  <w:tcW w:w="813" w:type="dxa"/>
                  <w:tcBorders>
                    <w:tl2br w:val="nil"/>
                    <w:tr2bl w:val="nil"/>
                  </w:tcBorders>
                  <w:shd w:val="clear" w:color="auto" w:fill="FFFFFF"/>
                  <w:noWrap/>
                  <w:vAlign w:val="center"/>
                </w:tcPr>
                <w:p w14:paraId="005801B7">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91</w:t>
                  </w:r>
                </w:p>
              </w:tc>
              <w:tc>
                <w:tcPr>
                  <w:tcW w:w="776" w:type="dxa"/>
                  <w:tcBorders>
                    <w:tl2br w:val="nil"/>
                    <w:tr2bl w:val="nil"/>
                  </w:tcBorders>
                  <w:shd w:val="clear" w:color="auto" w:fill="FFFFFF"/>
                  <w:noWrap/>
                  <w:vAlign w:val="center"/>
                </w:tcPr>
                <w:p w14:paraId="38B2351B">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w:t>
                  </w:r>
                </w:p>
              </w:tc>
              <w:tc>
                <w:tcPr>
                  <w:tcW w:w="1448" w:type="dxa"/>
                  <w:tcBorders>
                    <w:tl2br w:val="nil"/>
                    <w:tr2bl w:val="nil"/>
                  </w:tcBorders>
                  <w:shd w:val="clear" w:color="auto" w:fill="FFFFFF"/>
                  <w:noWrap/>
                  <w:vAlign w:val="center"/>
                </w:tcPr>
                <w:p w14:paraId="0724E4AE">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3</w:t>
                  </w:r>
                </w:p>
              </w:tc>
              <w:tc>
                <w:tcPr>
                  <w:tcW w:w="1060" w:type="dxa"/>
                  <w:tcBorders>
                    <w:tl2br w:val="nil"/>
                    <w:tr2bl w:val="nil"/>
                  </w:tcBorders>
                  <w:shd w:val="clear" w:color="auto" w:fill="FFFFFF"/>
                  <w:noWrap/>
                  <w:vAlign w:val="center"/>
                </w:tcPr>
                <w:p w14:paraId="38584998">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57.8</w:t>
                  </w:r>
                </w:p>
              </w:tc>
              <w:tc>
                <w:tcPr>
                  <w:tcW w:w="924" w:type="dxa"/>
                  <w:vMerge w:val="continue"/>
                  <w:tcBorders>
                    <w:tl2br w:val="nil"/>
                    <w:tr2bl w:val="nil"/>
                  </w:tcBorders>
                  <w:shd w:val="clear" w:color="auto" w:fill="FFFFFF"/>
                  <w:noWrap/>
                  <w:vAlign w:val="center"/>
                </w:tcPr>
                <w:p w14:paraId="3B507173">
                  <w:pPr>
                    <w:pStyle w:val="21"/>
                    <w:keepNext w:val="0"/>
                    <w:keepLines w:val="0"/>
                    <w:suppressLineNumbers w:val="0"/>
                    <w:bidi w:val="0"/>
                    <w:spacing w:before="0" w:beforeAutospacing="0" w:after="0" w:afterAutospacing="0"/>
                    <w:ind w:left="0" w:right="0"/>
                    <w:rPr>
                      <w:rFonts w:hint="eastAsia"/>
                      <w:color w:val="auto"/>
                      <w:highlight w:val="none"/>
                    </w:rPr>
                  </w:pPr>
                </w:p>
              </w:tc>
              <w:tc>
                <w:tcPr>
                  <w:tcW w:w="1184" w:type="dxa"/>
                  <w:tcBorders>
                    <w:tl2br w:val="nil"/>
                    <w:tr2bl w:val="nil"/>
                  </w:tcBorders>
                  <w:shd w:val="clear" w:color="auto" w:fill="FFFFFF"/>
                  <w:noWrap/>
                  <w:vAlign w:val="center"/>
                </w:tcPr>
                <w:p w14:paraId="164226C9">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26</w:t>
                  </w:r>
                </w:p>
              </w:tc>
              <w:tc>
                <w:tcPr>
                  <w:tcW w:w="1125" w:type="dxa"/>
                  <w:vMerge w:val="continue"/>
                  <w:tcBorders>
                    <w:tl2br w:val="nil"/>
                    <w:tr2bl w:val="nil"/>
                  </w:tcBorders>
                  <w:shd w:val="clear" w:color="auto" w:fill="FFFFFF"/>
                  <w:noWrap/>
                  <w:vAlign w:val="center"/>
                </w:tcPr>
                <w:p w14:paraId="3AEB138E">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c>
                <w:tcPr>
                  <w:tcW w:w="916" w:type="dxa"/>
                  <w:vMerge w:val="continue"/>
                  <w:tcBorders>
                    <w:tl2br w:val="nil"/>
                    <w:tr2bl w:val="nil"/>
                  </w:tcBorders>
                  <w:shd w:val="clear" w:color="auto" w:fill="FFFFFF"/>
                  <w:noWrap/>
                  <w:vAlign w:val="center"/>
                </w:tcPr>
                <w:p w14:paraId="3B8B1265">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r>
            <w:tr w14:paraId="1F9348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402" w:type="dxa"/>
                  <w:tcBorders>
                    <w:tl2br w:val="nil"/>
                    <w:tr2bl w:val="nil"/>
                  </w:tcBorders>
                  <w:shd w:val="clear" w:color="auto" w:fill="auto"/>
                  <w:noWrap/>
                  <w:vAlign w:val="center"/>
                </w:tcPr>
                <w:p w14:paraId="5A301D3F">
                  <w:pPr>
                    <w:pStyle w:val="21"/>
                    <w:keepNext w:val="0"/>
                    <w:keepLines w:val="0"/>
                    <w:suppressLineNumbers w:val="0"/>
                    <w:bidi w:val="0"/>
                    <w:spacing w:before="0" w:beforeAutospacing="0" w:after="0" w:afterAutospacing="0"/>
                    <w:ind w:left="0" w:right="0"/>
                    <w:rPr>
                      <w:rFonts w:hint="eastAsia"/>
                      <w:color w:val="auto"/>
                      <w:highlight w:val="none"/>
                    </w:rPr>
                  </w:pPr>
                  <w:r>
                    <w:rPr>
                      <w:rFonts w:hint="default"/>
                      <w:color w:val="auto"/>
                      <w:highlight w:val="none"/>
                      <w:lang w:val="en-US" w:eastAsia="zh-CN"/>
                    </w:rPr>
                    <w:t>17</w:t>
                  </w:r>
                </w:p>
              </w:tc>
              <w:tc>
                <w:tcPr>
                  <w:tcW w:w="743" w:type="dxa"/>
                  <w:vMerge w:val="continue"/>
                  <w:tcBorders>
                    <w:tl2br w:val="nil"/>
                    <w:tr2bl w:val="nil"/>
                  </w:tcBorders>
                  <w:shd w:val="clear" w:color="auto" w:fill="FFFFFF"/>
                  <w:noWrap/>
                  <w:vAlign w:val="center"/>
                </w:tcPr>
                <w:p w14:paraId="083D03CA">
                  <w:pPr>
                    <w:pStyle w:val="21"/>
                    <w:keepNext w:val="0"/>
                    <w:keepLines w:val="0"/>
                    <w:suppressLineNumbers w:val="0"/>
                    <w:bidi w:val="0"/>
                    <w:spacing w:before="0" w:beforeAutospacing="0" w:after="0" w:afterAutospacing="0"/>
                    <w:ind w:left="0" w:right="0"/>
                    <w:rPr>
                      <w:rFonts w:hint="eastAsia"/>
                      <w:color w:val="auto"/>
                      <w:highlight w:val="none"/>
                    </w:rPr>
                  </w:pPr>
                </w:p>
              </w:tc>
              <w:tc>
                <w:tcPr>
                  <w:tcW w:w="1528" w:type="dxa"/>
                  <w:tcBorders>
                    <w:tl2br w:val="nil"/>
                    <w:tr2bl w:val="nil"/>
                  </w:tcBorders>
                  <w:shd w:val="clear" w:color="auto" w:fill="auto"/>
                  <w:noWrap/>
                  <w:vAlign w:val="center"/>
                </w:tcPr>
                <w:p w14:paraId="4399A2EB">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二次泵1</w:t>
                  </w:r>
                </w:p>
              </w:tc>
              <w:tc>
                <w:tcPr>
                  <w:tcW w:w="303" w:type="dxa"/>
                  <w:tcBorders>
                    <w:tl2br w:val="nil"/>
                    <w:tr2bl w:val="nil"/>
                  </w:tcBorders>
                  <w:shd w:val="clear" w:color="auto" w:fill="FFFFFF"/>
                  <w:noWrap/>
                  <w:vAlign w:val="center"/>
                </w:tcPr>
                <w:p w14:paraId="19B92EE1">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w:t>
                  </w:r>
                </w:p>
              </w:tc>
              <w:tc>
                <w:tcPr>
                  <w:tcW w:w="1059" w:type="dxa"/>
                  <w:tcBorders>
                    <w:tl2br w:val="nil"/>
                    <w:tr2bl w:val="nil"/>
                  </w:tcBorders>
                  <w:shd w:val="clear" w:color="auto" w:fill="auto"/>
                  <w:noWrap/>
                  <w:vAlign w:val="center"/>
                </w:tcPr>
                <w:p w14:paraId="25A96CF3">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70/1</w:t>
                  </w:r>
                </w:p>
              </w:tc>
              <w:tc>
                <w:tcPr>
                  <w:tcW w:w="664" w:type="dxa"/>
                  <w:vMerge w:val="continue"/>
                  <w:tcBorders>
                    <w:tl2br w:val="nil"/>
                    <w:tr2bl w:val="nil"/>
                  </w:tcBorders>
                  <w:shd w:val="clear" w:color="auto" w:fill="auto"/>
                  <w:noWrap/>
                  <w:vAlign w:val="center"/>
                </w:tcPr>
                <w:p w14:paraId="03072B87">
                  <w:pPr>
                    <w:pStyle w:val="21"/>
                    <w:keepNext w:val="0"/>
                    <w:keepLines w:val="0"/>
                    <w:suppressLineNumbers w:val="0"/>
                    <w:bidi w:val="0"/>
                    <w:spacing w:before="0" w:beforeAutospacing="0" w:after="0" w:afterAutospacing="0"/>
                    <w:ind w:left="0" w:right="0"/>
                    <w:rPr>
                      <w:rFonts w:hint="eastAsia"/>
                      <w:color w:val="auto"/>
                    </w:rPr>
                  </w:pPr>
                </w:p>
              </w:tc>
              <w:tc>
                <w:tcPr>
                  <w:tcW w:w="702" w:type="dxa"/>
                  <w:tcBorders>
                    <w:tl2br w:val="nil"/>
                    <w:tr2bl w:val="nil"/>
                  </w:tcBorders>
                  <w:shd w:val="clear" w:color="auto" w:fill="auto"/>
                  <w:noWrap/>
                  <w:vAlign w:val="center"/>
                </w:tcPr>
                <w:p w14:paraId="5B9C16A2">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-4</w:t>
                  </w:r>
                </w:p>
              </w:tc>
              <w:tc>
                <w:tcPr>
                  <w:tcW w:w="813" w:type="dxa"/>
                  <w:tcBorders>
                    <w:tl2br w:val="nil"/>
                    <w:tr2bl w:val="nil"/>
                  </w:tcBorders>
                  <w:shd w:val="clear" w:color="auto" w:fill="auto"/>
                  <w:noWrap/>
                  <w:vAlign w:val="center"/>
                </w:tcPr>
                <w:p w14:paraId="7CDA0D55">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78</w:t>
                  </w:r>
                </w:p>
              </w:tc>
              <w:tc>
                <w:tcPr>
                  <w:tcW w:w="776" w:type="dxa"/>
                  <w:tcBorders>
                    <w:tl2br w:val="nil"/>
                    <w:tr2bl w:val="nil"/>
                  </w:tcBorders>
                  <w:shd w:val="clear" w:color="auto" w:fill="auto"/>
                  <w:noWrap/>
                  <w:vAlign w:val="center"/>
                </w:tcPr>
                <w:p w14:paraId="0520C24B">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w:t>
                  </w:r>
                </w:p>
              </w:tc>
              <w:tc>
                <w:tcPr>
                  <w:tcW w:w="1448" w:type="dxa"/>
                  <w:tcBorders>
                    <w:tl2br w:val="nil"/>
                    <w:tr2bl w:val="nil"/>
                  </w:tcBorders>
                  <w:shd w:val="clear" w:color="auto" w:fill="auto"/>
                  <w:noWrap/>
                  <w:vAlign w:val="center"/>
                </w:tcPr>
                <w:p w14:paraId="604AC0A0">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3</w:t>
                  </w:r>
                </w:p>
              </w:tc>
              <w:tc>
                <w:tcPr>
                  <w:tcW w:w="1060" w:type="dxa"/>
                  <w:tcBorders>
                    <w:tl2br w:val="nil"/>
                    <w:tr2bl w:val="nil"/>
                  </w:tcBorders>
                  <w:shd w:val="clear" w:color="auto" w:fill="auto"/>
                  <w:noWrap/>
                  <w:vAlign w:val="center"/>
                </w:tcPr>
                <w:p w14:paraId="5F5C3045">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57.8</w:t>
                  </w:r>
                </w:p>
              </w:tc>
              <w:tc>
                <w:tcPr>
                  <w:tcW w:w="924" w:type="dxa"/>
                  <w:vMerge w:val="continue"/>
                  <w:tcBorders>
                    <w:tl2br w:val="nil"/>
                    <w:tr2bl w:val="nil"/>
                  </w:tcBorders>
                  <w:shd w:val="clear" w:color="auto" w:fill="auto"/>
                  <w:noWrap/>
                  <w:vAlign w:val="center"/>
                </w:tcPr>
                <w:p w14:paraId="474D0CD4">
                  <w:pPr>
                    <w:pStyle w:val="21"/>
                    <w:keepNext w:val="0"/>
                    <w:keepLines w:val="0"/>
                    <w:suppressLineNumbers w:val="0"/>
                    <w:bidi w:val="0"/>
                    <w:spacing w:before="0" w:beforeAutospacing="0" w:after="0" w:afterAutospacing="0"/>
                    <w:ind w:left="0" w:right="0"/>
                    <w:rPr>
                      <w:rFonts w:hint="eastAsia"/>
                      <w:color w:val="auto"/>
                      <w:highlight w:val="none"/>
                    </w:rPr>
                  </w:pPr>
                </w:p>
              </w:tc>
              <w:tc>
                <w:tcPr>
                  <w:tcW w:w="1184" w:type="dxa"/>
                  <w:tcBorders>
                    <w:tl2br w:val="nil"/>
                    <w:tr2bl w:val="nil"/>
                  </w:tcBorders>
                  <w:shd w:val="clear" w:color="auto" w:fill="auto"/>
                  <w:noWrap/>
                  <w:vAlign w:val="center"/>
                </w:tcPr>
                <w:p w14:paraId="7245F554">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26</w:t>
                  </w:r>
                </w:p>
              </w:tc>
              <w:tc>
                <w:tcPr>
                  <w:tcW w:w="1125" w:type="dxa"/>
                  <w:vMerge w:val="continue"/>
                  <w:tcBorders>
                    <w:tl2br w:val="nil"/>
                    <w:tr2bl w:val="nil"/>
                  </w:tcBorders>
                  <w:shd w:val="clear" w:color="auto" w:fill="auto"/>
                  <w:noWrap/>
                  <w:vAlign w:val="center"/>
                </w:tcPr>
                <w:p w14:paraId="5A52E0C3">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c>
                <w:tcPr>
                  <w:tcW w:w="916" w:type="dxa"/>
                  <w:vMerge w:val="continue"/>
                  <w:tcBorders>
                    <w:tl2br w:val="nil"/>
                    <w:tr2bl w:val="nil"/>
                  </w:tcBorders>
                  <w:shd w:val="clear" w:color="auto" w:fill="auto"/>
                  <w:noWrap/>
                  <w:vAlign w:val="center"/>
                </w:tcPr>
                <w:p w14:paraId="00676427">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r>
            <w:tr w14:paraId="63EDB3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402" w:type="dxa"/>
                  <w:tcBorders>
                    <w:tl2br w:val="nil"/>
                    <w:tr2bl w:val="nil"/>
                  </w:tcBorders>
                  <w:shd w:val="clear" w:color="auto" w:fill="FFFFFF"/>
                  <w:noWrap/>
                  <w:vAlign w:val="center"/>
                </w:tcPr>
                <w:p w14:paraId="4C725486">
                  <w:pPr>
                    <w:pStyle w:val="21"/>
                    <w:keepNext w:val="0"/>
                    <w:keepLines w:val="0"/>
                    <w:suppressLineNumbers w:val="0"/>
                    <w:bidi w:val="0"/>
                    <w:spacing w:before="0" w:beforeAutospacing="0" w:after="0" w:afterAutospacing="0"/>
                    <w:ind w:left="0" w:right="0"/>
                    <w:rPr>
                      <w:rFonts w:hint="eastAsia"/>
                      <w:color w:val="auto"/>
                      <w:highlight w:val="none"/>
                    </w:rPr>
                  </w:pPr>
                  <w:r>
                    <w:rPr>
                      <w:rFonts w:hint="default"/>
                      <w:color w:val="auto"/>
                      <w:highlight w:val="none"/>
                      <w:lang w:val="en-US" w:eastAsia="zh-CN"/>
                    </w:rPr>
                    <w:t>18</w:t>
                  </w:r>
                </w:p>
              </w:tc>
              <w:tc>
                <w:tcPr>
                  <w:tcW w:w="743" w:type="dxa"/>
                  <w:vMerge w:val="continue"/>
                  <w:tcBorders>
                    <w:tl2br w:val="nil"/>
                    <w:tr2bl w:val="nil"/>
                  </w:tcBorders>
                  <w:shd w:val="clear" w:color="auto" w:fill="FFFFFF"/>
                  <w:noWrap/>
                  <w:vAlign w:val="center"/>
                </w:tcPr>
                <w:p w14:paraId="086AA338">
                  <w:pPr>
                    <w:pStyle w:val="21"/>
                    <w:keepNext w:val="0"/>
                    <w:keepLines w:val="0"/>
                    <w:suppressLineNumbers w:val="0"/>
                    <w:bidi w:val="0"/>
                    <w:spacing w:before="0" w:beforeAutospacing="0" w:after="0" w:afterAutospacing="0"/>
                    <w:ind w:left="0" w:right="0"/>
                    <w:rPr>
                      <w:rFonts w:hint="eastAsia"/>
                      <w:color w:val="auto"/>
                      <w:highlight w:val="none"/>
                    </w:rPr>
                  </w:pPr>
                </w:p>
              </w:tc>
              <w:tc>
                <w:tcPr>
                  <w:tcW w:w="1528" w:type="dxa"/>
                  <w:tcBorders>
                    <w:tl2br w:val="nil"/>
                    <w:tr2bl w:val="nil"/>
                  </w:tcBorders>
                  <w:shd w:val="clear" w:color="auto" w:fill="FFFFFF"/>
                  <w:noWrap/>
                  <w:vAlign w:val="center"/>
                </w:tcPr>
                <w:p w14:paraId="2FD986C5">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二次泵2</w:t>
                  </w:r>
                </w:p>
              </w:tc>
              <w:tc>
                <w:tcPr>
                  <w:tcW w:w="303" w:type="dxa"/>
                  <w:tcBorders>
                    <w:tl2br w:val="nil"/>
                    <w:tr2bl w:val="nil"/>
                  </w:tcBorders>
                  <w:shd w:val="clear" w:color="auto" w:fill="FFFFFF"/>
                  <w:noWrap/>
                  <w:vAlign w:val="center"/>
                </w:tcPr>
                <w:p w14:paraId="3B8A41C5">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w:t>
                  </w:r>
                </w:p>
              </w:tc>
              <w:tc>
                <w:tcPr>
                  <w:tcW w:w="1059" w:type="dxa"/>
                  <w:tcBorders>
                    <w:tl2br w:val="nil"/>
                    <w:tr2bl w:val="nil"/>
                  </w:tcBorders>
                  <w:shd w:val="clear" w:color="auto" w:fill="FFFFFF"/>
                  <w:noWrap/>
                  <w:vAlign w:val="center"/>
                </w:tcPr>
                <w:p w14:paraId="36D39DDD">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70/1</w:t>
                  </w:r>
                </w:p>
              </w:tc>
              <w:tc>
                <w:tcPr>
                  <w:tcW w:w="664" w:type="dxa"/>
                  <w:vMerge w:val="continue"/>
                  <w:tcBorders>
                    <w:tl2br w:val="nil"/>
                    <w:tr2bl w:val="nil"/>
                  </w:tcBorders>
                  <w:shd w:val="clear" w:color="auto" w:fill="FFFFFF"/>
                  <w:noWrap/>
                  <w:vAlign w:val="center"/>
                </w:tcPr>
                <w:p w14:paraId="59EF28F2">
                  <w:pPr>
                    <w:pStyle w:val="21"/>
                    <w:keepNext w:val="0"/>
                    <w:keepLines w:val="0"/>
                    <w:suppressLineNumbers w:val="0"/>
                    <w:bidi w:val="0"/>
                    <w:spacing w:before="0" w:beforeAutospacing="0" w:after="0" w:afterAutospacing="0"/>
                    <w:ind w:left="0" w:right="0"/>
                    <w:rPr>
                      <w:rFonts w:hint="eastAsia"/>
                      <w:color w:val="auto"/>
                    </w:rPr>
                  </w:pPr>
                </w:p>
              </w:tc>
              <w:tc>
                <w:tcPr>
                  <w:tcW w:w="702" w:type="dxa"/>
                  <w:tcBorders>
                    <w:tl2br w:val="nil"/>
                    <w:tr2bl w:val="nil"/>
                  </w:tcBorders>
                  <w:shd w:val="clear" w:color="auto" w:fill="FFFFFF"/>
                  <w:noWrap/>
                  <w:vAlign w:val="center"/>
                </w:tcPr>
                <w:p w14:paraId="3D029708">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-4</w:t>
                  </w:r>
                </w:p>
              </w:tc>
              <w:tc>
                <w:tcPr>
                  <w:tcW w:w="813" w:type="dxa"/>
                  <w:tcBorders>
                    <w:tl2br w:val="nil"/>
                    <w:tr2bl w:val="nil"/>
                  </w:tcBorders>
                  <w:shd w:val="clear" w:color="auto" w:fill="FFFFFF"/>
                  <w:noWrap/>
                  <w:vAlign w:val="center"/>
                </w:tcPr>
                <w:p w14:paraId="63101003">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69</w:t>
                  </w:r>
                </w:p>
              </w:tc>
              <w:tc>
                <w:tcPr>
                  <w:tcW w:w="776" w:type="dxa"/>
                  <w:tcBorders>
                    <w:tl2br w:val="nil"/>
                    <w:tr2bl w:val="nil"/>
                  </w:tcBorders>
                  <w:shd w:val="clear" w:color="auto" w:fill="FFFFFF"/>
                  <w:noWrap/>
                  <w:vAlign w:val="center"/>
                </w:tcPr>
                <w:p w14:paraId="376B9B93">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w:t>
                  </w:r>
                </w:p>
              </w:tc>
              <w:tc>
                <w:tcPr>
                  <w:tcW w:w="1448" w:type="dxa"/>
                  <w:tcBorders>
                    <w:tl2br w:val="nil"/>
                    <w:tr2bl w:val="nil"/>
                  </w:tcBorders>
                  <w:shd w:val="clear" w:color="auto" w:fill="FFFFFF"/>
                  <w:noWrap/>
                  <w:vAlign w:val="center"/>
                </w:tcPr>
                <w:p w14:paraId="14009572">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3</w:t>
                  </w:r>
                </w:p>
              </w:tc>
              <w:tc>
                <w:tcPr>
                  <w:tcW w:w="1060" w:type="dxa"/>
                  <w:tcBorders>
                    <w:tl2br w:val="nil"/>
                    <w:tr2bl w:val="nil"/>
                  </w:tcBorders>
                  <w:shd w:val="clear" w:color="auto" w:fill="FFFFFF"/>
                  <w:noWrap/>
                  <w:vAlign w:val="center"/>
                </w:tcPr>
                <w:p w14:paraId="74C2BF32">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57.8</w:t>
                  </w:r>
                </w:p>
              </w:tc>
              <w:tc>
                <w:tcPr>
                  <w:tcW w:w="924" w:type="dxa"/>
                  <w:vMerge w:val="continue"/>
                  <w:tcBorders>
                    <w:tl2br w:val="nil"/>
                    <w:tr2bl w:val="nil"/>
                  </w:tcBorders>
                  <w:shd w:val="clear" w:color="auto" w:fill="FFFFFF"/>
                  <w:noWrap/>
                  <w:vAlign w:val="center"/>
                </w:tcPr>
                <w:p w14:paraId="27E7F4E3">
                  <w:pPr>
                    <w:pStyle w:val="21"/>
                    <w:keepNext w:val="0"/>
                    <w:keepLines w:val="0"/>
                    <w:suppressLineNumbers w:val="0"/>
                    <w:bidi w:val="0"/>
                    <w:spacing w:before="0" w:beforeAutospacing="0" w:after="0" w:afterAutospacing="0"/>
                    <w:ind w:left="0" w:right="0"/>
                    <w:rPr>
                      <w:rFonts w:hint="eastAsia"/>
                      <w:color w:val="auto"/>
                      <w:highlight w:val="none"/>
                    </w:rPr>
                  </w:pPr>
                </w:p>
              </w:tc>
              <w:tc>
                <w:tcPr>
                  <w:tcW w:w="1184" w:type="dxa"/>
                  <w:tcBorders>
                    <w:tl2br w:val="nil"/>
                    <w:tr2bl w:val="nil"/>
                  </w:tcBorders>
                  <w:shd w:val="clear" w:color="auto" w:fill="FFFFFF"/>
                  <w:noWrap/>
                  <w:vAlign w:val="center"/>
                </w:tcPr>
                <w:p w14:paraId="15E7AD99">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26</w:t>
                  </w:r>
                </w:p>
              </w:tc>
              <w:tc>
                <w:tcPr>
                  <w:tcW w:w="1125" w:type="dxa"/>
                  <w:vMerge w:val="continue"/>
                  <w:tcBorders>
                    <w:tl2br w:val="nil"/>
                    <w:tr2bl w:val="nil"/>
                  </w:tcBorders>
                  <w:shd w:val="clear" w:color="auto" w:fill="FFFFFF"/>
                  <w:noWrap/>
                  <w:vAlign w:val="center"/>
                </w:tcPr>
                <w:p w14:paraId="51DC0BE5">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c>
                <w:tcPr>
                  <w:tcW w:w="916" w:type="dxa"/>
                  <w:vMerge w:val="continue"/>
                  <w:tcBorders>
                    <w:tl2br w:val="nil"/>
                    <w:tr2bl w:val="nil"/>
                  </w:tcBorders>
                  <w:shd w:val="clear" w:color="auto" w:fill="FFFFFF"/>
                  <w:noWrap/>
                  <w:vAlign w:val="center"/>
                </w:tcPr>
                <w:p w14:paraId="3BE99B7B">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r>
            <w:tr w14:paraId="665D55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02" w:type="dxa"/>
                  <w:tcBorders>
                    <w:tl2br w:val="nil"/>
                    <w:tr2bl w:val="nil"/>
                  </w:tcBorders>
                  <w:shd w:val="clear" w:color="auto" w:fill="auto"/>
                  <w:noWrap/>
                  <w:vAlign w:val="center"/>
                </w:tcPr>
                <w:p w14:paraId="1FABEC7D">
                  <w:pPr>
                    <w:pStyle w:val="21"/>
                    <w:keepNext w:val="0"/>
                    <w:keepLines w:val="0"/>
                    <w:suppressLineNumbers w:val="0"/>
                    <w:bidi w:val="0"/>
                    <w:spacing w:before="0" w:beforeAutospacing="0" w:after="0" w:afterAutospacing="0"/>
                    <w:ind w:left="0" w:right="0"/>
                    <w:rPr>
                      <w:rFonts w:hint="eastAsia"/>
                      <w:color w:val="auto"/>
                      <w:highlight w:val="none"/>
                    </w:rPr>
                  </w:pPr>
                  <w:r>
                    <w:rPr>
                      <w:rFonts w:hint="default"/>
                      <w:color w:val="auto"/>
                      <w:highlight w:val="none"/>
                      <w:lang w:val="en-US" w:eastAsia="zh-CN"/>
                    </w:rPr>
                    <w:t>19</w:t>
                  </w:r>
                </w:p>
              </w:tc>
              <w:tc>
                <w:tcPr>
                  <w:tcW w:w="743" w:type="dxa"/>
                  <w:vMerge w:val="continue"/>
                  <w:tcBorders>
                    <w:tl2br w:val="nil"/>
                    <w:tr2bl w:val="nil"/>
                  </w:tcBorders>
                  <w:shd w:val="clear" w:color="auto" w:fill="FFFFFF"/>
                  <w:noWrap/>
                  <w:vAlign w:val="center"/>
                </w:tcPr>
                <w:p w14:paraId="5B85DD29">
                  <w:pPr>
                    <w:pStyle w:val="21"/>
                    <w:keepNext w:val="0"/>
                    <w:keepLines w:val="0"/>
                    <w:suppressLineNumbers w:val="0"/>
                    <w:bidi w:val="0"/>
                    <w:spacing w:before="0" w:beforeAutospacing="0" w:after="0" w:afterAutospacing="0"/>
                    <w:ind w:left="0" w:right="0"/>
                    <w:rPr>
                      <w:rFonts w:hint="eastAsia"/>
                      <w:color w:val="auto"/>
                      <w:highlight w:val="none"/>
                    </w:rPr>
                  </w:pPr>
                </w:p>
              </w:tc>
              <w:tc>
                <w:tcPr>
                  <w:tcW w:w="1528" w:type="dxa"/>
                  <w:tcBorders>
                    <w:tl2br w:val="nil"/>
                    <w:tr2bl w:val="nil"/>
                  </w:tcBorders>
                  <w:shd w:val="clear" w:color="auto" w:fill="auto"/>
                  <w:noWrap/>
                  <w:vAlign w:val="center"/>
                </w:tcPr>
                <w:p w14:paraId="64DF4DB9">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低压机组</w:t>
                  </w:r>
                </w:p>
              </w:tc>
              <w:tc>
                <w:tcPr>
                  <w:tcW w:w="303" w:type="dxa"/>
                  <w:tcBorders>
                    <w:tl2br w:val="nil"/>
                    <w:tr2bl w:val="nil"/>
                  </w:tcBorders>
                  <w:shd w:val="clear" w:color="auto" w:fill="FFFFFF"/>
                  <w:noWrap/>
                  <w:vAlign w:val="center"/>
                </w:tcPr>
                <w:p w14:paraId="7A960124">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w:t>
                  </w:r>
                </w:p>
              </w:tc>
              <w:tc>
                <w:tcPr>
                  <w:tcW w:w="1059" w:type="dxa"/>
                  <w:tcBorders>
                    <w:tl2br w:val="nil"/>
                    <w:tr2bl w:val="nil"/>
                  </w:tcBorders>
                  <w:shd w:val="clear" w:color="auto" w:fill="auto"/>
                  <w:noWrap/>
                  <w:vAlign w:val="center"/>
                </w:tcPr>
                <w:p w14:paraId="403704E8">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85/1</w:t>
                  </w:r>
                </w:p>
              </w:tc>
              <w:tc>
                <w:tcPr>
                  <w:tcW w:w="664" w:type="dxa"/>
                  <w:vMerge w:val="continue"/>
                  <w:tcBorders>
                    <w:tl2br w:val="nil"/>
                    <w:tr2bl w:val="nil"/>
                  </w:tcBorders>
                  <w:shd w:val="clear" w:color="auto" w:fill="auto"/>
                  <w:noWrap/>
                  <w:vAlign w:val="center"/>
                </w:tcPr>
                <w:p w14:paraId="7D2F829A">
                  <w:pPr>
                    <w:pStyle w:val="21"/>
                    <w:keepNext w:val="0"/>
                    <w:keepLines w:val="0"/>
                    <w:suppressLineNumbers w:val="0"/>
                    <w:bidi w:val="0"/>
                    <w:spacing w:before="0" w:beforeAutospacing="0" w:after="0" w:afterAutospacing="0"/>
                    <w:ind w:left="0" w:right="0"/>
                    <w:rPr>
                      <w:rFonts w:hint="eastAsia"/>
                      <w:color w:val="auto"/>
                    </w:rPr>
                  </w:pPr>
                </w:p>
              </w:tc>
              <w:tc>
                <w:tcPr>
                  <w:tcW w:w="702" w:type="dxa"/>
                  <w:tcBorders>
                    <w:tl2br w:val="nil"/>
                    <w:tr2bl w:val="nil"/>
                  </w:tcBorders>
                  <w:shd w:val="clear" w:color="auto" w:fill="auto"/>
                  <w:noWrap/>
                  <w:vAlign w:val="center"/>
                </w:tcPr>
                <w:p w14:paraId="46534259">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0</w:t>
                  </w:r>
                </w:p>
              </w:tc>
              <w:tc>
                <w:tcPr>
                  <w:tcW w:w="813" w:type="dxa"/>
                  <w:tcBorders>
                    <w:tl2br w:val="nil"/>
                    <w:tr2bl w:val="nil"/>
                  </w:tcBorders>
                  <w:shd w:val="clear" w:color="auto" w:fill="auto"/>
                  <w:noWrap/>
                  <w:vAlign w:val="center"/>
                </w:tcPr>
                <w:p w14:paraId="2444FF9D">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72</w:t>
                  </w:r>
                </w:p>
              </w:tc>
              <w:tc>
                <w:tcPr>
                  <w:tcW w:w="776" w:type="dxa"/>
                  <w:tcBorders>
                    <w:tl2br w:val="nil"/>
                    <w:tr2bl w:val="nil"/>
                  </w:tcBorders>
                  <w:shd w:val="clear" w:color="auto" w:fill="auto"/>
                  <w:noWrap/>
                  <w:vAlign w:val="center"/>
                </w:tcPr>
                <w:p w14:paraId="088818A8">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w:t>
                  </w:r>
                </w:p>
              </w:tc>
              <w:tc>
                <w:tcPr>
                  <w:tcW w:w="1448" w:type="dxa"/>
                  <w:tcBorders>
                    <w:tl2br w:val="nil"/>
                    <w:tr2bl w:val="nil"/>
                  </w:tcBorders>
                  <w:shd w:val="clear" w:color="auto" w:fill="auto"/>
                  <w:noWrap/>
                  <w:vAlign w:val="center"/>
                </w:tcPr>
                <w:p w14:paraId="1D909464">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7</w:t>
                  </w:r>
                </w:p>
              </w:tc>
              <w:tc>
                <w:tcPr>
                  <w:tcW w:w="1060" w:type="dxa"/>
                  <w:tcBorders>
                    <w:tl2br w:val="nil"/>
                    <w:tr2bl w:val="nil"/>
                  </w:tcBorders>
                  <w:shd w:val="clear" w:color="auto" w:fill="auto"/>
                  <w:noWrap/>
                  <w:vAlign w:val="center"/>
                </w:tcPr>
                <w:p w14:paraId="26DC8F72">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72.3</w:t>
                  </w:r>
                </w:p>
              </w:tc>
              <w:tc>
                <w:tcPr>
                  <w:tcW w:w="924" w:type="dxa"/>
                  <w:vMerge w:val="continue"/>
                  <w:tcBorders>
                    <w:tl2br w:val="nil"/>
                    <w:tr2bl w:val="nil"/>
                  </w:tcBorders>
                  <w:shd w:val="clear" w:color="auto" w:fill="auto"/>
                  <w:noWrap/>
                  <w:vAlign w:val="center"/>
                </w:tcPr>
                <w:p w14:paraId="70397BB1">
                  <w:pPr>
                    <w:pStyle w:val="21"/>
                    <w:keepNext w:val="0"/>
                    <w:keepLines w:val="0"/>
                    <w:suppressLineNumbers w:val="0"/>
                    <w:bidi w:val="0"/>
                    <w:spacing w:before="0" w:beforeAutospacing="0" w:after="0" w:afterAutospacing="0"/>
                    <w:ind w:left="0" w:right="0"/>
                    <w:rPr>
                      <w:rFonts w:hint="eastAsia"/>
                      <w:color w:val="auto"/>
                      <w:highlight w:val="none"/>
                    </w:rPr>
                  </w:pPr>
                </w:p>
              </w:tc>
              <w:tc>
                <w:tcPr>
                  <w:tcW w:w="1184" w:type="dxa"/>
                  <w:tcBorders>
                    <w:tl2br w:val="nil"/>
                    <w:tr2bl w:val="nil"/>
                  </w:tcBorders>
                  <w:shd w:val="clear" w:color="auto" w:fill="auto"/>
                  <w:noWrap/>
                  <w:vAlign w:val="center"/>
                </w:tcPr>
                <w:p w14:paraId="3C241D86">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26</w:t>
                  </w:r>
                </w:p>
              </w:tc>
              <w:tc>
                <w:tcPr>
                  <w:tcW w:w="1125" w:type="dxa"/>
                  <w:vMerge w:val="continue"/>
                  <w:tcBorders>
                    <w:tl2br w:val="nil"/>
                    <w:tr2bl w:val="nil"/>
                  </w:tcBorders>
                  <w:shd w:val="clear" w:color="auto" w:fill="auto"/>
                  <w:noWrap/>
                  <w:vAlign w:val="center"/>
                </w:tcPr>
                <w:p w14:paraId="6F53C5A9">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c>
                <w:tcPr>
                  <w:tcW w:w="916" w:type="dxa"/>
                  <w:vMerge w:val="continue"/>
                  <w:tcBorders>
                    <w:tl2br w:val="nil"/>
                    <w:tr2bl w:val="nil"/>
                  </w:tcBorders>
                  <w:shd w:val="clear" w:color="auto" w:fill="auto"/>
                  <w:noWrap/>
                  <w:vAlign w:val="center"/>
                </w:tcPr>
                <w:p w14:paraId="3EC48BA2">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r>
            <w:tr w14:paraId="744F1F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02" w:type="dxa"/>
                  <w:tcBorders>
                    <w:tl2br w:val="nil"/>
                    <w:tr2bl w:val="nil"/>
                  </w:tcBorders>
                  <w:shd w:val="clear" w:color="auto" w:fill="FFFFFF"/>
                  <w:noWrap/>
                  <w:vAlign w:val="center"/>
                </w:tcPr>
                <w:p w14:paraId="2A347C41">
                  <w:pPr>
                    <w:pStyle w:val="21"/>
                    <w:keepNext w:val="0"/>
                    <w:keepLines w:val="0"/>
                    <w:suppressLineNumbers w:val="0"/>
                    <w:bidi w:val="0"/>
                    <w:spacing w:before="0" w:beforeAutospacing="0" w:after="0" w:afterAutospacing="0"/>
                    <w:ind w:left="0" w:right="0"/>
                    <w:rPr>
                      <w:rFonts w:hint="eastAsia"/>
                      <w:color w:val="auto"/>
                      <w:highlight w:val="none"/>
                    </w:rPr>
                  </w:pPr>
                  <w:r>
                    <w:rPr>
                      <w:rFonts w:hint="default"/>
                      <w:color w:val="auto"/>
                      <w:highlight w:val="none"/>
                      <w:lang w:val="en-US" w:eastAsia="zh-CN"/>
                    </w:rPr>
                    <w:t>20</w:t>
                  </w:r>
                </w:p>
              </w:tc>
              <w:tc>
                <w:tcPr>
                  <w:tcW w:w="743" w:type="dxa"/>
                  <w:vMerge w:val="continue"/>
                  <w:tcBorders>
                    <w:tl2br w:val="nil"/>
                    <w:tr2bl w:val="nil"/>
                  </w:tcBorders>
                  <w:shd w:val="clear" w:color="auto" w:fill="FFFFFF"/>
                  <w:noWrap/>
                  <w:vAlign w:val="center"/>
                </w:tcPr>
                <w:p w14:paraId="260026F7">
                  <w:pPr>
                    <w:pStyle w:val="21"/>
                    <w:keepNext w:val="0"/>
                    <w:keepLines w:val="0"/>
                    <w:suppressLineNumbers w:val="0"/>
                    <w:bidi w:val="0"/>
                    <w:spacing w:before="0" w:beforeAutospacing="0" w:after="0" w:afterAutospacing="0"/>
                    <w:ind w:left="0" w:right="0"/>
                    <w:rPr>
                      <w:rFonts w:hint="eastAsia"/>
                      <w:color w:val="auto"/>
                      <w:highlight w:val="none"/>
                    </w:rPr>
                  </w:pPr>
                </w:p>
              </w:tc>
              <w:tc>
                <w:tcPr>
                  <w:tcW w:w="1528" w:type="dxa"/>
                  <w:tcBorders>
                    <w:tl2br w:val="nil"/>
                    <w:tr2bl w:val="nil"/>
                  </w:tcBorders>
                  <w:shd w:val="clear" w:color="auto" w:fill="FFFFFF"/>
                  <w:noWrap/>
                  <w:vAlign w:val="center"/>
                </w:tcPr>
                <w:p w14:paraId="2708970D">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空压机</w:t>
                  </w:r>
                </w:p>
              </w:tc>
              <w:tc>
                <w:tcPr>
                  <w:tcW w:w="303" w:type="dxa"/>
                  <w:tcBorders>
                    <w:tl2br w:val="nil"/>
                    <w:tr2bl w:val="nil"/>
                  </w:tcBorders>
                  <w:shd w:val="clear" w:color="auto" w:fill="FFFFFF"/>
                  <w:noWrap/>
                  <w:vAlign w:val="center"/>
                </w:tcPr>
                <w:p w14:paraId="74D41E5D">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w:t>
                  </w:r>
                </w:p>
              </w:tc>
              <w:tc>
                <w:tcPr>
                  <w:tcW w:w="1059" w:type="dxa"/>
                  <w:tcBorders>
                    <w:tl2br w:val="nil"/>
                    <w:tr2bl w:val="nil"/>
                  </w:tcBorders>
                  <w:shd w:val="clear" w:color="auto" w:fill="FFFFFF"/>
                  <w:noWrap/>
                  <w:vAlign w:val="center"/>
                </w:tcPr>
                <w:p w14:paraId="58EE34BA">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85/1</w:t>
                  </w:r>
                </w:p>
              </w:tc>
              <w:tc>
                <w:tcPr>
                  <w:tcW w:w="664" w:type="dxa"/>
                  <w:vMerge w:val="continue"/>
                  <w:tcBorders>
                    <w:tl2br w:val="nil"/>
                    <w:tr2bl w:val="nil"/>
                  </w:tcBorders>
                  <w:shd w:val="clear" w:color="auto" w:fill="FFFFFF"/>
                  <w:noWrap/>
                  <w:vAlign w:val="center"/>
                </w:tcPr>
                <w:p w14:paraId="4C790B35">
                  <w:pPr>
                    <w:pStyle w:val="21"/>
                    <w:keepNext w:val="0"/>
                    <w:keepLines w:val="0"/>
                    <w:suppressLineNumbers w:val="0"/>
                    <w:bidi w:val="0"/>
                    <w:spacing w:before="0" w:beforeAutospacing="0" w:after="0" w:afterAutospacing="0"/>
                    <w:ind w:left="0" w:right="0"/>
                    <w:rPr>
                      <w:rFonts w:hint="eastAsia"/>
                      <w:color w:val="auto"/>
                    </w:rPr>
                  </w:pPr>
                </w:p>
              </w:tc>
              <w:tc>
                <w:tcPr>
                  <w:tcW w:w="702" w:type="dxa"/>
                  <w:tcBorders>
                    <w:tl2br w:val="nil"/>
                    <w:tr2bl w:val="nil"/>
                  </w:tcBorders>
                  <w:shd w:val="clear" w:color="auto" w:fill="FFFFFF"/>
                  <w:noWrap/>
                  <w:vAlign w:val="center"/>
                </w:tcPr>
                <w:p w14:paraId="4E64A589">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w:t>
                  </w:r>
                </w:p>
              </w:tc>
              <w:tc>
                <w:tcPr>
                  <w:tcW w:w="813" w:type="dxa"/>
                  <w:tcBorders>
                    <w:tl2br w:val="nil"/>
                    <w:tr2bl w:val="nil"/>
                  </w:tcBorders>
                  <w:shd w:val="clear" w:color="auto" w:fill="FFFFFF"/>
                  <w:noWrap/>
                  <w:vAlign w:val="center"/>
                </w:tcPr>
                <w:p w14:paraId="2D5A2129">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68</w:t>
                  </w:r>
                </w:p>
              </w:tc>
              <w:tc>
                <w:tcPr>
                  <w:tcW w:w="776" w:type="dxa"/>
                  <w:tcBorders>
                    <w:tl2br w:val="nil"/>
                    <w:tr2bl w:val="nil"/>
                  </w:tcBorders>
                  <w:shd w:val="clear" w:color="auto" w:fill="FFFFFF"/>
                  <w:noWrap/>
                  <w:vAlign w:val="center"/>
                </w:tcPr>
                <w:p w14:paraId="04011A2E">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w:t>
                  </w:r>
                </w:p>
              </w:tc>
              <w:tc>
                <w:tcPr>
                  <w:tcW w:w="1448" w:type="dxa"/>
                  <w:tcBorders>
                    <w:tl2br w:val="nil"/>
                    <w:tr2bl w:val="nil"/>
                  </w:tcBorders>
                  <w:shd w:val="clear" w:color="auto" w:fill="FFFFFF"/>
                  <w:noWrap/>
                  <w:vAlign w:val="center"/>
                </w:tcPr>
                <w:p w14:paraId="0EA60DF8">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5</w:t>
                  </w:r>
                </w:p>
              </w:tc>
              <w:tc>
                <w:tcPr>
                  <w:tcW w:w="1060" w:type="dxa"/>
                  <w:tcBorders>
                    <w:tl2br w:val="nil"/>
                    <w:tr2bl w:val="nil"/>
                  </w:tcBorders>
                  <w:shd w:val="clear" w:color="auto" w:fill="FFFFFF"/>
                  <w:noWrap/>
                  <w:vAlign w:val="center"/>
                </w:tcPr>
                <w:p w14:paraId="4CEBCB75">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72.4</w:t>
                  </w:r>
                </w:p>
              </w:tc>
              <w:tc>
                <w:tcPr>
                  <w:tcW w:w="924" w:type="dxa"/>
                  <w:vMerge w:val="continue"/>
                  <w:tcBorders>
                    <w:tl2br w:val="nil"/>
                    <w:tr2bl w:val="nil"/>
                  </w:tcBorders>
                  <w:shd w:val="clear" w:color="auto" w:fill="FFFFFF"/>
                  <w:noWrap/>
                  <w:vAlign w:val="center"/>
                </w:tcPr>
                <w:p w14:paraId="343F0740">
                  <w:pPr>
                    <w:pStyle w:val="21"/>
                    <w:keepNext w:val="0"/>
                    <w:keepLines w:val="0"/>
                    <w:suppressLineNumbers w:val="0"/>
                    <w:bidi w:val="0"/>
                    <w:spacing w:before="0" w:beforeAutospacing="0" w:after="0" w:afterAutospacing="0"/>
                    <w:ind w:left="0" w:right="0"/>
                    <w:rPr>
                      <w:rFonts w:hint="eastAsia"/>
                      <w:color w:val="auto"/>
                      <w:highlight w:val="none"/>
                    </w:rPr>
                  </w:pPr>
                </w:p>
              </w:tc>
              <w:tc>
                <w:tcPr>
                  <w:tcW w:w="1184" w:type="dxa"/>
                  <w:tcBorders>
                    <w:tl2br w:val="nil"/>
                    <w:tr2bl w:val="nil"/>
                  </w:tcBorders>
                  <w:shd w:val="clear" w:color="auto" w:fill="FFFFFF"/>
                  <w:noWrap/>
                  <w:vAlign w:val="center"/>
                </w:tcPr>
                <w:p w14:paraId="4AA71DBA">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26</w:t>
                  </w:r>
                </w:p>
              </w:tc>
              <w:tc>
                <w:tcPr>
                  <w:tcW w:w="1125" w:type="dxa"/>
                  <w:vMerge w:val="continue"/>
                  <w:tcBorders>
                    <w:tl2br w:val="nil"/>
                    <w:tr2bl w:val="nil"/>
                  </w:tcBorders>
                  <w:shd w:val="clear" w:color="auto" w:fill="FFFFFF"/>
                  <w:noWrap/>
                  <w:vAlign w:val="center"/>
                </w:tcPr>
                <w:p w14:paraId="35BE58E8">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c>
                <w:tcPr>
                  <w:tcW w:w="916" w:type="dxa"/>
                  <w:vMerge w:val="continue"/>
                  <w:tcBorders>
                    <w:tl2br w:val="nil"/>
                    <w:tr2bl w:val="nil"/>
                  </w:tcBorders>
                  <w:shd w:val="clear" w:color="auto" w:fill="FFFFFF"/>
                  <w:noWrap/>
                  <w:vAlign w:val="center"/>
                </w:tcPr>
                <w:p w14:paraId="22DD98C7">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r>
            <w:tr w14:paraId="3A9732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402" w:type="dxa"/>
                  <w:tcBorders>
                    <w:tl2br w:val="nil"/>
                    <w:tr2bl w:val="nil"/>
                  </w:tcBorders>
                  <w:shd w:val="clear" w:color="auto" w:fill="auto"/>
                  <w:noWrap/>
                  <w:vAlign w:val="center"/>
                </w:tcPr>
                <w:p w14:paraId="3DEBD187">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color w:val="auto"/>
                      <w:highlight w:val="none"/>
                      <w:lang w:val="en-US" w:eastAsia="zh-CN"/>
                    </w:rPr>
                    <w:t>21</w:t>
                  </w:r>
                </w:p>
              </w:tc>
              <w:tc>
                <w:tcPr>
                  <w:tcW w:w="743" w:type="dxa"/>
                  <w:vMerge w:val="continue"/>
                  <w:tcBorders>
                    <w:tl2br w:val="nil"/>
                    <w:tr2bl w:val="nil"/>
                  </w:tcBorders>
                  <w:shd w:val="clear" w:color="auto" w:fill="FFFFFF"/>
                  <w:noWrap/>
                  <w:vAlign w:val="center"/>
                </w:tcPr>
                <w:p w14:paraId="756D0CEB">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zh-CN" w:eastAsia="zh-CN" w:bidi="zh-CN"/>
                    </w:rPr>
                  </w:pPr>
                </w:p>
              </w:tc>
              <w:tc>
                <w:tcPr>
                  <w:tcW w:w="1528" w:type="dxa"/>
                  <w:tcBorders>
                    <w:tl2br w:val="nil"/>
                    <w:tr2bl w:val="nil"/>
                  </w:tcBorders>
                  <w:shd w:val="clear" w:color="auto" w:fill="auto"/>
                  <w:noWrap/>
                  <w:vAlign w:val="center"/>
                </w:tcPr>
                <w:p w14:paraId="1F349FB4">
                  <w:pPr>
                    <w:pStyle w:val="21"/>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纯氧制备机</w:t>
                  </w:r>
                </w:p>
              </w:tc>
              <w:tc>
                <w:tcPr>
                  <w:tcW w:w="303" w:type="dxa"/>
                  <w:tcBorders>
                    <w:tl2br w:val="nil"/>
                    <w:tr2bl w:val="nil"/>
                  </w:tcBorders>
                  <w:shd w:val="clear" w:color="auto" w:fill="FFFFFF"/>
                  <w:noWrap/>
                  <w:vAlign w:val="center"/>
                </w:tcPr>
                <w:p w14:paraId="5D8CAE27">
                  <w:pPr>
                    <w:pStyle w:val="21"/>
                    <w:keepNext w:val="0"/>
                    <w:keepLines w:val="0"/>
                    <w:suppressLineNumbers w:val="0"/>
                    <w:bidi w:val="0"/>
                    <w:spacing w:before="0" w:beforeAutospacing="0" w:after="0" w:afterAutospacing="0"/>
                    <w:ind w:left="0" w:right="0"/>
                    <w:rPr>
                      <w:rFonts w:hint="eastAsia"/>
                      <w:color w:val="auto"/>
                      <w:lang w:val="en-US" w:eastAsia="zh-CN"/>
                    </w:rPr>
                  </w:pPr>
                </w:p>
              </w:tc>
              <w:tc>
                <w:tcPr>
                  <w:tcW w:w="1059" w:type="dxa"/>
                  <w:tcBorders>
                    <w:tl2br w:val="nil"/>
                    <w:tr2bl w:val="nil"/>
                  </w:tcBorders>
                  <w:shd w:val="clear" w:color="auto" w:fill="FFFFFF"/>
                  <w:noWrap/>
                  <w:vAlign w:val="center"/>
                </w:tcPr>
                <w:p w14:paraId="7BE3CFA4">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80/1</w:t>
                  </w:r>
                </w:p>
              </w:tc>
              <w:tc>
                <w:tcPr>
                  <w:tcW w:w="664" w:type="dxa"/>
                  <w:vMerge w:val="continue"/>
                  <w:tcBorders>
                    <w:tl2br w:val="nil"/>
                    <w:tr2bl w:val="nil"/>
                  </w:tcBorders>
                  <w:shd w:val="clear" w:color="auto" w:fill="FFFFFF"/>
                  <w:noWrap/>
                  <w:vAlign w:val="center"/>
                </w:tcPr>
                <w:p w14:paraId="13E5E454">
                  <w:pPr>
                    <w:pStyle w:val="21"/>
                    <w:keepNext w:val="0"/>
                    <w:keepLines w:val="0"/>
                    <w:suppressLineNumbers w:val="0"/>
                    <w:bidi w:val="0"/>
                    <w:spacing w:before="0" w:beforeAutospacing="0" w:after="0" w:afterAutospacing="0"/>
                    <w:ind w:left="0" w:right="0"/>
                    <w:rPr>
                      <w:rFonts w:hint="eastAsia"/>
                      <w:color w:val="auto"/>
                    </w:rPr>
                  </w:pPr>
                </w:p>
              </w:tc>
              <w:tc>
                <w:tcPr>
                  <w:tcW w:w="702" w:type="dxa"/>
                  <w:tcBorders>
                    <w:tl2br w:val="nil"/>
                    <w:tr2bl w:val="nil"/>
                  </w:tcBorders>
                  <w:shd w:val="clear" w:color="auto" w:fill="FFFFFF"/>
                  <w:noWrap/>
                  <w:vAlign w:val="center"/>
                </w:tcPr>
                <w:p w14:paraId="1F03FC7B">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w:t>
                  </w:r>
                </w:p>
              </w:tc>
              <w:tc>
                <w:tcPr>
                  <w:tcW w:w="813" w:type="dxa"/>
                  <w:tcBorders>
                    <w:tl2br w:val="nil"/>
                    <w:tr2bl w:val="nil"/>
                  </w:tcBorders>
                  <w:shd w:val="clear" w:color="auto" w:fill="FFFFFF"/>
                  <w:noWrap/>
                  <w:vAlign w:val="center"/>
                </w:tcPr>
                <w:p w14:paraId="3A9BA10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68</w:t>
                  </w:r>
                </w:p>
              </w:tc>
              <w:tc>
                <w:tcPr>
                  <w:tcW w:w="776" w:type="dxa"/>
                  <w:tcBorders>
                    <w:tl2br w:val="nil"/>
                    <w:tr2bl w:val="nil"/>
                  </w:tcBorders>
                  <w:shd w:val="clear" w:color="auto" w:fill="FFFFFF"/>
                  <w:noWrap/>
                  <w:vAlign w:val="center"/>
                </w:tcPr>
                <w:p w14:paraId="144754C9">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w:t>
                  </w:r>
                </w:p>
              </w:tc>
              <w:tc>
                <w:tcPr>
                  <w:tcW w:w="1448" w:type="dxa"/>
                  <w:tcBorders>
                    <w:tl2br w:val="nil"/>
                    <w:tr2bl w:val="nil"/>
                  </w:tcBorders>
                  <w:shd w:val="clear" w:color="auto" w:fill="FFFFFF"/>
                  <w:noWrap/>
                  <w:vAlign w:val="center"/>
                </w:tcPr>
                <w:p w14:paraId="117F38BF">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6</w:t>
                  </w:r>
                </w:p>
              </w:tc>
              <w:tc>
                <w:tcPr>
                  <w:tcW w:w="1060" w:type="dxa"/>
                  <w:tcBorders>
                    <w:tl2br w:val="nil"/>
                    <w:tr2bl w:val="nil"/>
                  </w:tcBorders>
                  <w:shd w:val="clear" w:color="auto" w:fill="FFFFFF"/>
                  <w:noWrap/>
                  <w:vAlign w:val="center"/>
                </w:tcPr>
                <w:p w14:paraId="73D18ACF">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67.3</w:t>
                  </w:r>
                </w:p>
              </w:tc>
              <w:tc>
                <w:tcPr>
                  <w:tcW w:w="924" w:type="dxa"/>
                  <w:vMerge w:val="continue"/>
                  <w:tcBorders>
                    <w:tl2br w:val="nil"/>
                    <w:tr2bl w:val="nil"/>
                  </w:tcBorders>
                  <w:shd w:val="clear" w:color="auto" w:fill="FFFFFF"/>
                  <w:noWrap/>
                  <w:vAlign w:val="center"/>
                </w:tcPr>
                <w:p w14:paraId="1D29B0FA">
                  <w:pPr>
                    <w:pStyle w:val="21"/>
                    <w:keepNext w:val="0"/>
                    <w:keepLines w:val="0"/>
                    <w:suppressLineNumbers w:val="0"/>
                    <w:bidi w:val="0"/>
                    <w:spacing w:before="0" w:beforeAutospacing="0" w:after="0" w:afterAutospacing="0"/>
                    <w:ind w:left="0" w:right="0"/>
                    <w:rPr>
                      <w:rFonts w:hint="eastAsia"/>
                      <w:color w:val="auto"/>
                      <w:highlight w:val="none"/>
                    </w:rPr>
                  </w:pPr>
                </w:p>
              </w:tc>
              <w:tc>
                <w:tcPr>
                  <w:tcW w:w="1184" w:type="dxa"/>
                  <w:tcBorders>
                    <w:tl2br w:val="nil"/>
                    <w:tr2bl w:val="nil"/>
                  </w:tcBorders>
                  <w:shd w:val="clear" w:color="auto" w:fill="FFFFFF"/>
                  <w:noWrap/>
                  <w:vAlign w:val="center"/>
                </w:tcPr>
                <w:p w14:paraId="02EB2528">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26</w:t>
                  </w:r>
                </w:p>
              </w:tc>
              <w:tc>
                <w:tcPr>
                  <w:tcW w:w="1125" w:type="dxa"/>
                  <w:vMerge w:val="continue"/>
                  <w:tcBorders>
                    <w:tl2br w:val="nil"/>
                    <w:tr2bl w:val="nil"/>
                  </w:tcBorders>
                  <w:shd w:val="clear" w:color="auto" w:fill="FFFFFF"/>
                  <w:noWrap/>
                  <w:vAlign w:val="center"/>
                </w:tcPr>
                <w:p w14:paraId="7BCEF645">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c>
                <w:tcPr>
                  <w:tcW w:w="916" w:type="dxa"/>
                  <w:vMerge w:val="continue"/>
                  <w:tcBorders>
                    <w:tl2br w:val="nil"/>
                    <w:tr2bl w:val="nil"/>
                  </w:tcBorders>
                  <w:shd w:val="clear" w:color="auto" w:fill="FFFFFF"/>
                  <w:noWrap/>
                  <w:vAlign w:val="center"/>
                </w:tcPr>
                <w:p w14:paraId="057105A8">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r>
            <w:tr w14:paraId="21941E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02" w:type="dxa"/>
                  <w:tcBorders>
                    <w:tl2br w:val="nil"/>
                    <w:tr2bl w:val="nil"/>
                  </w:tcBorders>
                  <w:shd w:val="clear" w:color="auto" w:fill="auto"/>
                  <w:noWrap/>
                  <w:vAlign w:val="center"/>
                </w:tcPr>
                <w:p w14:paraId="060DAA17">
                  <w:pPr>
                    <w:pStyle w:val="21"/>
                    <w:keepNext w:val="0"/>
                    <w:keepLines w:val="0"/>
                    <w:suppressLineNumbers w:val="0"/>
                    <w:bidi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22</w:t>
                  </w:r>
                </w:p>
              </w:tc>
              <w:tc>
                <w:tcPr>
                  <w:tcW w:w="743" w:type="dxa"/>
                  <w:vMerge w:val="continue"/>
                  <w:tcBorders>
                    <w:tl2br w:val="nil"/>
                    <w:tr2bl w:val="nil"/>
                  </w:tcBorders>
                  <w:shd w:val="clear" w:color="auto" w:fill="FFFFFF"/>
                  <w:noWrap/>
                  <w:vAlign w:val="center"/>
                </w:tcPr>
                <w:p w14:paraId="6D2C705F">
                  <w:pPr>
                    <w:pStyle w:val="21"/>
                    <w:keepNext w:val="0"/>
                    <w:keepLines w:val="0"/>
                    <w:suppressLineNumbers w:val="0"/>
                    <w:bidi w:val="0"/>
                    <w:spacing w:before="0" w:beforeAutospacing="0" w:after="0" w:afterAutospacing="0"/>
                    <w:ind w:left="0" w:right="0"/>
                    <w:rPr>
                      <w:rFonts w:hint="eastAsia"/>
                      <w:color w:val="auto"/>
                      <w:highlight w:val="none"/>
                    </w:rPr>
                  </w:pPr>
                </w:p>
              </w:tc>
              <w:tc>
                <w:tcPr>
                  <w:tcW w:w="1528" w:type="dxa"/>
                  <w:tcBorders>
                    <w:tl2br w:val="nil"/>
                    <w:tr2bl w:val="nil"/>
                  </w:tcBorders>
                  <w:shd w:val="clear" w:color="auto" w:fill="auto"/>
                  <w:noWrap/>
                  <w:vAlign w:val="center"/>
                </w:tcPr>
                <w:p w14:paraId="41CDFC1E">
                  <w:pPr>
                    <w:pStyle w:val="21"/>
                    <w:keepNext w:val="0"/>
                    <w:keepLines w:val="0"/>
                    <w:suppressLineNumbers w:val="0"/>
                    <w:bidi w:val="0"/>
                    <w:spacing w:before="0" w:beforeAutospacing="0" w:after="0" w:afterAutospacing="0"/>
                    <w:ind w:left="0" w:right="0"/>
                    <w:rPr>
                      <w:rFonts w:hint="eastAsia"/>
                      <w:color w:val="auto"/>
                    </w:rPr>
                  </w:pPr>
                  <w:r>
                    <w:rPr>
                      <w:rFonts w:hint="eastAsia"/>
                      <w:color w:val="auto"/>
                    </w:rPr>
                    <w:t>高压机组</w:t>
                  </w:r>
                </w:p>
              </w:tc>
              <w:tc>
                <w:tcPr>
                  <w:tcW w:w="303" w:type="dxa"/>
                  <w:tcBorders>
                    <w:tl2br w:val="nil"/>
                    <w:tr2bl w:val="nil"/>
                  </w:tcBorders>
                  <w:shd w:val="clear" w:color="auto" w:fill="FFFFFF"/>
                  <w:noWrap/>
                  <w:vAlign w:val="center"/>
                </w:tcPr>
                <w:p w14:paraId="31BC968B">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w:t>
                  </w:r>
                </w:p>
              </w:tc>
              <w:tc>
                <w:tcPr>
                  <w:tcW w:w="1059" w:type="dxa"/>
                  <w:tcBorders>
                    <w:tl2br w:val="nil"/>
                    <w:tr2bl w:val="nil"/>
                  </w:tcBorders>
                  <w:shd w:val="clear" w:color="auto" w:fill="auto"/>
                  <w:noWrap/>
                  <w:vAlign w:val="center"/>
                </w:tcPr>
                <w:p w14:paraId="33FBDCC0">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85/1</w:t>
                  </w:r>
                </w:p>
              </w:tc>
              <w:tc>
                <w:tcPr>
                  <w:tcW w:w="664" w:type="dxa"/>
                  <w:vMerge w:val="continue"/>
                  <w:tcBorders>
                    <w:tl2br w:val="nil"/>
                    <w:tr2bl w:val="nil"/>
                  </w:tcBorders>
                  <w:shd w:val="clear" w:color="auto" w:fill="auto"/>
                  <w:noWrap/>
                  <w:vAlign w:val="center"/>
                </w:tcPr>
                <w:p w14:paraId="67B08AA5">
                  <w:pPr>
                    <w:pStyle w:val="21"/>
                    <w:keepNext w:val="0"/>
                    <w:keepLines w:val="0"/>
                    <w:suppressLineNumbers w:val="0"/>
                    <w:bidi w:val="0"/>
                    <w:spacing w:before="0" w:beforeAutospacing="0" w:after="0" w:afterAutospacing="0"/>
                    <w:ind w:left="0" w:right="0"/>
                    <w:rPr>
                      <w:rFonts w:hint="eastAsia"/>
                      <w:color w:val="auto"/>
                    </w:rPr>
                  </w:pPr>
                </w:p>
              </w:tc>
              <w:tc>
                <w:tcPr>
                  <w:tcW w:w="702" w:type="dxa"/>
                  <w:tcBorders>
                    <w:tl2br w:val="nil"/>
                    <w:tr2bl w:val="nil"/>
                  </w:tcBorders>
                  <w:shd w:val="clear" w:color="auto" w:fill="auto"/>
                  <w:noWrap/>
                  <w:vAlign w:val="center"/>
                </w:tcPr>
                <w:p w14:paraId="6F152874">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w:t>
                  </w:r>
                </w:p>
              </w:tc>
              <w:tc>
                <w:tcPr>
                  <w:tcW w:w="813" w:type="dxa"/>
                  <w:tcBorders>
                    <w:tl2br w:val="nil"/>
                    <w:tr2bl w:val="nil"/>
                  </w:tcBorders>
                  <w:shd w:val="clear" w:color="auto" w:fill="auto"/>
                  <w:noWrap/>
                  <w:vAlign w:val="center"/>
                </w:tcPr>
                <w:p w14:paraId="5D7BDE72">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81</w:t>
                  </w:r>
                </w:p>
              </w:tc>
              <w:tc>
                <w:tcPr>
                  <w:tcW w:w="776" w:type="dxa"/>
                  <w:tcBorders>
                    <w:tl2br w:val="nil"/>
                    <w:tr2bl w:val="nil"/>
                  </w:tcBorders>
                  <w:shd w:val="clear" w:color="auto" w:fill="auto"/>
                  <w:noWrap/>
                  <w:vAlign w:val="center"/>
                </w:tcPr>
                <w:p w14:paraId="63B8E116">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1</w:t>
                  </w:r>
                </w:p>
              </w:tc>
              <w:tc>
                <w:tcPr>
                  <w:tcW w:w="1448" w:type="dxa"/>
                  <w:tcBorders>
                    <w:tl2br w:val="nil"/>
                    <w:tr2bl w:val="nil"/>
                  </w:tcBorders>
                  <w:shd w:val="clear" w:color="auto" w:fill="auto"/>
                  <w:noWrap/>
                  <w:vAlign w:val="center"/>
                </w:tcPr>
                <w:p w14:paraId="4CF739AE">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6</w:t>
                  </w:r>
                </w:p>
              </w:tc>
              <w:tc>
                <w:tcPr>
                  <w:tcW w:w="1060" w:type="dxa"/>
                  <w:tcBorders>
                    <w:tl2br w:val="nil"/>
                    <w:tr2bl w:val="nil"/>
                  </w:tcBorders>
                  <w:shd w:val="clear" w:color="auto" w:fill="auto"/>
                  <w:noWrap/>
                  <w:vAlign w:val="center"/>
                </w:tcPr>
                <w:p w14:paraId="67DAFE2D">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72.3</w:t>
                  </w:r>
                </w:p>
              </w:tc>
              <w:tc>
                <w:tcPr>
                  <w:tcW w:w="924" w:type="dxa"/>
                  <w:vMerge w:val="continue"/>
                  <w:tcBorders>
                    <w:tl2br w:val="nil"/>
                    <w:tr2bl w:val="nil"/>
                  </w:tcBorders>
                  <w:shd w:val="clear" w:color="auto" w:fill="auto"/>
                  <w:noWrap/>
                  <w:vAlign w:val="center"/>
                </w:tcPr>
                <w:p w14:paraId="4F9F69AD">
                  <w:pPr>
                    <w:pStyle w:val="21"/>
                    <w:keepNext w:val="0"/>
                    <w:keepLines w:val="0"/>
                    <w:suppressLineNumbers w:val="0"/>
                    <w:bidi w:val="0"/>
                    <w:spacing w:before="0" w:beforeAutospacing="0" w:after="0" w:afterAutospacing="0"/>
                    <w:ind w:left="0" w:right="0"/>
                    <w:rPr>
                      <w:rFonts w:hint="eastAsia"/>
                      <w:color w:val="auto"/>
                      <w:highlight w:val="none"/>
                    </w:rPr>
                  </w:pPr>
                </w:p>
              </w:tc>
              <w:tc>
                <w:tcPr>
                  <w:tcW w:w="1184" w:type="dxa"/>
                  <w:tcBorders>
                    <w:tl2br w:val="nil"/>
                    <w:tr2bl w:val="nil"/>
                  </w:tcBorders>
                  <w:shd w:val="clear" w:color="auto" w:fill="auto"/>
                  <w:noWrap/>
                  <w:vAlign w:val="center"/>
                </w:tcPr>
                <w:p w14:paraId="53D4D669">
                  <w:pPr>
                    <w:pStyle w:val="21"/>
                    <w:keepNext w:val="0"/>
                    <w:keepLines w:val="0"/>
                    <w:suppressLineNumbers w:val="0"/>
                    <w:bidi w:val="0"/>
                    <w:spacing w:before="0" w:beforeAutospacing="0" w:after="0" w:afterAutospacing="0"/>
                    <w:ind w:left="0" w:right="0"/>
                    <w:rPr>
                      <w:rFonts w:hint="eastAsia"/>
                      <w:color w:val="auto"/>
                    </w:rPr>
                  </w:pPr>
                  <w:r>
                    <w:rPr>
                      <w:rFonts w:hint="eastAsia"/>
                      <w:color w:val="auto"/>
                      <w:lang w:val="en-US" w:eastAsia="zh-CN"/>
                    </w:rPr>
                    <w:t>26</w:t>
                  </w:r>
                </w:p>
              </w:tc>
              <w:tc>
                <w:tcPr>
                  <w:tcW w:w="1125" w:type="dxa"/>
                  <w:vMerge w:val="continue"/>
                  <w:tcBorders>
                    <w:tl2br w:val="nil"/>
                    <w:tr2bl w:val="nil"/>
                  </w:tcBorders>
                  <w:shd w:val="clear" w:color="auto" w:fill="auto"/>
                  <w:noWrap/>
                  <w:vAlign w:val="center"/>
                </w:tcPr>
                <w:p w14:paraId="693E30A0">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c>
                <w:tcPr>
                  <w:tcW w:w="916" w:type="dxa"/>
                  <w:vMerge w:val="continue"/>
                  <w:tcBorders>
                    <w:tl2br w:val="nil"/>
                    <w:tr2bl w:val="nil"/>
                  </w:tcBorders>
                  <w:shd w:val="clear" w:color="auto" w:fill="auto"/>
                  <w:noWrap/>
                  <w:vAlign w:val="center"/>
                </w:tcPr>
                <w:p w14:paraId="714CBF49">
                  <w:pPr>
                    <w:pStyle w:val="21"/>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rPr>
                  </w:pPr>
                </w:p>
              </w:tc>
            </w:tr>
          </w:tbl>
          <w:p w14:paraId="282C8D72">
            <w:pPr>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注：以厂区西南角为原点，正东方向为X轴正方向，正北方向为Y轴正方向，单位长度1m，建立坐标系。</w:t>
            </w:r>
          </w:p>
          <w:p w14:paraId="5D6DB060">
            <w:pPr>
              <w:keepNext w:val="0"/>
              <w:keepLines w:val="0"/>
              <w:suppressLineNumbers w:val="0"/>
              <w:bidi w:val="0"/>
              <w:spacing w:before="0" w:beforeAutospacing="0" w:after="0" w:afterAutospacing="0"/>
              <w:ind w:left="0" w:right="0"/>
              <w:rPr>
                <w:rFonts w:hint="default"/>
                <w:color w:val="auto"/>
              </w:rPr>
            </w:pPr>
          </w:p>
          <w:p w14:paraId="7685AF92">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p>
          <w:p w14:paraId="01AD78F7">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p>
        </w:tc>
      </w:tr>
    </w:tbl>
    <w:p w14:paraId="2143A1F2">
      <w:pPr>
        <w:ind w:firstLine="480"/>
        <w:rPr>
          <w:rFonts w:ascii="Times New Roman" w:hAnsi="Times New Roman" w:eastAsia="宋体"/>
          <w:color w:val="auto"/>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p>
    <w:tbl>
      <w:tblPr>
        <w:tblStyle w:val="1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454"/>
        <w:gridCol w:w="7878"/>
      </w:tblGrid>
      <w:tr w14:paraId="0E018B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454" w:type="dxa"/>
            <w:tcMar>
              <w:top w:w="16" w:type="dxa"/>
              <w:left w:w="16" w:type="dxa"/>
              <w:right w:w="16" w:type="dxa"/>
            </w:tcMar>
            <w:vAlign w:val="center"/>
          </w:tcPr>
          <w:p w14:paraId="44CF9872">
            <w:pPr>
              <w:pStyle w:val="29"/>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7878" w:type="dxa"/>
            <w:vAlign w:val="center"/>
          </w:tcPr>
          <w:p w14:paraId="6B182022">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（2）噪声治理措施</w:t>
            </w:r>
          </w:p>
          <w:p w14:paraId="1795A69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本项目的噪声源主要为生产工艺上设备运行噪声，根据《环境影响评价技术导则声环境》（HJ2.4-2021），为降低生产设备噪声对周围环境的影响，建设单位拟采用的噪声治理措施：</w:t>
            </w:r>
          </w:p>
          <w:p w14:paraId="6324105E">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1）规划防治对策</w:t>
            </w:r>
          </w:p>
          <w:p w14:paraId="7994E479">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从建设项目的选址、规划布局、总图布置和设备布局等方面进行调整，高噪声设备尽可能远离声环境保护目标、优化建设项目布局。</w:t>
            </w:r>
          </w:p>
          <w:p w14:paraId="600DFF99">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2）噪声源控制措施</w:t>
            </w:r>
          </w:p>
          <w:p w14:paraId="14138459">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在设备选型时选用先进的低噪声设备，在满足工艺设计的前提下，尽量地</w:t>
            </w:r>
            <w:r>
              <w:rPr>
                <w:rFonts w:hint="eastAsia" w:ascii="Times New Roman" w:hAnsi="Times New Roman" w:eastAsia="宋体"/>
                <w:color w:val="auto"/>
                <w:highlight w:val="none"/>
                <w:lang w:val="en-US"/>
              </w:rPr>
              <w:t>选用</w:t>
            </w:r>
            <w:r>
              <w:rPr>
                <w:rFonts w:hint="default" w:ascii="Times New Roman" w:hAnsi="Times New Roman" w:eastAsia="宋体"/>
                <w:color w:val="auto"/>
                <w:highlight w:val="none"/>
                <w:lang w:val="en-US"/>
              </w:rPr>
              <w:t>满足国际标准的低噪声、低振动型号的设备，降低噪声源强。</w:t>
            </w:r>
          </w:p>
          <w:p w14:paraId="4BC91629">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3）声环境保护目标自身防护措施</w:t>
            </w:r>
          </w:p>
          <w:p w14:paraId="7C63F5D6">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优化调整建筑物平面布局、建筑物功能布局；本项目高噪声设备均安置在室内，合理布置设备的位置，有效利用了建筑隔声，并采取隔声、吸声材料制作门窗、墙体等，防止噪声的扩散和传播。</w:t>
            </w:r>
          </w:p>
          <w:p w14:paraId="35853FEF">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4）采取减振消声措施，高噪声设备设置</w:t>
            </w:r>
            <w:r>
              <w:rPr>
                <w:rFonts w:hint="eastAsia"/>
                <w:color w:val="auto"/>
                <w:highlight w:val="none"/>
                <w:lang w:val="en-US" w:eastAsia="zh-CN"/>
              </w:rPr>
              <w:t>减振</w:t>
            </w:r>
            <w:r>
              <w:rPr>
                <w:rFonts w:hint="eastAsia" w:ascii="Times New Roman" w:hAnsi="Times New Roman" w:eastAsia="宋体"/>
                <w:color w:val="auto"/>
                <w:highlight w:val="none"/>
                <w:lang w:val="en-US" w:eastAsia="zh-CN"/>
              </w:rPr>
              <w:t>底座，风机进出风口设置消声器。</w:t>
            </w:r>
          </w:p>
          <w:p w14:paraId="21DB15DE">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eastAsia="zh-CN"/>
              </w:rPr>
              <w:t>5</w:t>
            </w:r>
            <w:r>
              <w:rPr>
                <w:rFonts w:hint="default" w:ascii="Times New Roman" w:hAnsi="Times New Roman" w:eastAsia="宋体"/>
                <w:color w:val="auto"/>
                <w:highlight w:val="none"/>
                <w:lang w:val="en-US"/>
              </w:rPr>
              <w:t>）管理措施</w:t>
            </w:r>
          </w:p>
          <w:p w14:paraId="6CE2BAB1">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提出噪声管理方案，制定噪声监测方案。</w:t>
            </w:r>
          </w:p>
          <w:p w14:paraId="5120F85C">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确保各类防治措施有效运行，各设备均保持良好运行状态，防止突发噪声；加强管理，加强职工环保意识教育，提倡文明生产，防止人为噪声；对于厂区流动声源（汽车），要强化行车管理制度，设置降噪标准，严禁鸣号，进入厂区低速行驶，最大限度减少流动噪声源。加强设备维护，避免设备故障异常噪声产生。</w:t>
            </w:r>
          </w:p>
          <w:p w14:paraId="78E4B62A">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（3）噪声环境影响分析</w:t>
            </w:r>
          </w:p>
          <w:p w14:paraId="792D53CD">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1）噪声环境影响分析</w:t>
            </w:r>
          </w:p>
          <w:p w14:paraId="5AF4EB10">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①室内声源</w:t>
            </w:r>
          </w:p>
          <w:p w14:paraId="00EAADF1">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A.计算某一室内声源靠近围护结构处产生的倍频带声压级。计算公式如下：</w:t>
            </w:r>
          </w:p>
          <w:p w14:paraId="461FA3F5">
            <w:pPr>
              <w:keepNext w:val="0"/>
              <w:keepLines w:val="0"/>
              <w:suppressLineNumbers w:val="0"/>
              <w:spacing w:before="0" w:beforeAutospacing="0" w:after="0" w:afterAutospacing="0"/>
              <w:ind w:left="0" w:right="0" w:firstLine="0" w:firstLineChars="0"/>
              <w:jc w:val="center"/>
              <w:rPr>
                <w:rFonts w:hint="default" w:ascii="Times New Roman" w:hAnsi="Times New Roman" w:eastAsia="宋体"/>
                <w:color w:val="auto"/>
                <w:highlight w:val="none"/>
              </w:rPr>
            </w:pPr>
            <w:r>
              <w:rPr>
                <w:rFonts w:hint="default" w:ascii="Times New Roman" w:hAnsi="Times New Roman" w:eastAsia="宋体"/>
                <w:color w:val="auto"/>
                <w:highlight w:val="none"/>
              </w:rPr>
              <w:drawing>
                <wp:inline distT="0" distB="0" distL="114300" distR="114300">
                  <wp:extent cx="1694180" cy="508635"/>
                  <wp:effectExtent l="0" t="0" r="1270" b="5715"/>
                  <wp:docPr id="2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3"/>
                          <pic:cNvPicPr>
                            <a:picLocks noChangeAspect="1"/>
                          </pic:cNvPicPr>
                        </pic:nvPicPr>
                        <pic:blipFill>
                          <a:blip r:embed="rId27"/>
                          <a:stretch>
                            <a:fillRect/>
                          </a:stretch>
                        </pic:blipFill>
                        <pic:spPr>
                          <a:xfrm>
                            <a:off x="0" y="0"/>
                            <a:ext cx="1694180" cy="508635"/>
                          </a:xfrm>
                          <a:prstGeom prst="rect">
                            <a:avLst/>
                          </a:prstGeom>
                          <a:noFill/>
                          <a:ln>
                            <a:noFill/>
                          </a:ln>
                        </pic:spPr>
                      </pic:pic>
                    </a:graphicData>
                  </a:graphic>
                </wp:inline>
              </w:drawing>
            </w:r>
          </w:p>
          <w:p w14:paraId="46E1CAB1">
            <w:pPr>
              <w:keepNext w:val="0"/>
              <w:keepLines w:val="0"/>
              <w:widowControl/>
              <w:suppressLineNumbers w:val="0"/>
              <w:spacing w:before="0" w:beforeAutospacing="0" w:after="0" w:afterAutospacing="0"/>
              <w:ind w:left="0" w:right="0" w:firstLine="480"/>
              <w:jc w:val="left"/>
              <w:rPr>
                <w:rFonts w:hint="default" w:ascii="Times New Roman" w:hAnsi="Times New Roman" w:eastAsia="宋体"/>
                <w:snapToGrid w:val="0"/>
                <w:color w:val="auto"/>
                <w:szCs w:val="21"/>
                <w:highlight w:val="none"/>
              </w:rPr>
            </w:pPr>
            <w:r>
              <w:rPr>
                <w:rFonts w:hint="default" w:ascii="Times New Roman" w:hAnsi="Times New Roman" w:eastAsia="宋体"/>
                <w:snapToGrid w:val="0"/>
                <w:color w:val="auto"/>
                <w:szCs w:val="21"/>
                <w:highlight w:val="none"/>
              </w:rPr>
              <w:t>式中：</w:t>
            </w:r>
          </w:p>
          <w:p w14:paraId="5F29C1B0">
            <w:pPr>
              <w:keepNext w:val="0"/>
              <w:keepLines w:val="0"/>
              <w:widowControl/>
              <w:suppressLineNumbers w:val="0"/>
              <w:spacing w:before="0" w:beforeAutospacing="0" w:after="0" w:afterAutospacing="0"/>
              <w:ind w:left="0" w:right="0" w:firstLine="480"/>
              <w:jc w:val="left"/>
              <w:rPr>
                <w:rFonts w:hint="default" w:ascii="Times New Roman" w:hAnsi="Times New Roman" w:eastAsia="宋体"/>
                <w:snapToGrid w:val="0"/>
                <w:color w:val="auto"/>
                <w:szCs w:val="21"/>
                <w:highlight w:val="none"/>
              </w:rPr>
            </w:pPr>
            <w:r>
              <w:rPr>
                <w:rFonts w:hint="default" w:ascii="Times New Roman" w:hAnsi="Times New Roman" w:eastAsia="宋体"/>
                <w:i/>
                <w:iCs/>
                <w:snapToGrid w:val="0"/>
                <w:color w:val="auto"/>
                <w:szCs w:val="21"/>
                <w:highlight w:val="none"/>
              </w:rPr>
              <w:t>L</w:t>
            </w:r>
            <w:r>
              <w:rPr>
                <w:rFonts w:hint="default" w:ascii="Times New Roman" w:hAnsi="Times New Roman" w:eastAsia="宋体"/>
                <w:i/>
                <w:iCs/>
                <w:snapToGrid w:val="0"/>
                <w:color w:val="auto"/>
                <w:szCs w:val="21"/>
                <w:highlight w:val="none"/>
                <w:vertAlign w:val="subscript"/>
              </w:rPr>
              <w:t>p1</w:t>
            </w:r>
            <w:r>
              <w:rPr>
                <w:rFonts w:hint="default" w:ascii="Times New Roman" w:hAnsi="Times New Roman" w:eastAsia="宋体"/>
                <w:snapToGrid w:val="0"/>
                <w:color w:val="auto"/>
                <w:szCs w:val="21"/>
                <w:highlight w:val="none"/>
              </w:rPr>
              <w:t>—靠近开口处（或窗户）室内某倍频带的声压级或A声级，dB；</w:t>
            </w:r>
          </w:p>
          <w:p w14:paraId="5FF87186">
            <w:pPr>
              <w:keepNext w:val="0"/>
              <w:keepLines w:val="0"/>
              <w:widowControl/>
              <w:suppressLineNumbers w:val="0"/>
              <w:spacing w:before="0" w:beforeAutospacing="0" w:after="0" w:afterAutospacing="0"/>
              <w:ind w:left="0" w:right="0" w:firstLine="480"/>
              <w:jc w:val="left"/>
              <w:rPr>
                <w:rFonts w:hint="default" w:ascii="Times New Roman" w:hAnsi="Times New Roman" w:eastAsia="宋体"/>
                <w:snapToGrid w:val="0"/>
                <w:color w:val="auto"/>
                <w:szCs w:val="21"/>
                <w:highlight w:val="none"/>
              </w:rPr>
            </w:pPr>
            <w:r>
              <w:rPr>
                <w:rFonts w:hint="default" w:ascii="Times New Roman" w:hAnsi="Times New Roman" w:eastAsia="宋体"/>
                <w:snapToGrid w:val="0"/>
                <w:color w:val="auto"/>
                <w:szCs w:val="21"/>
                <w:highlight w:val="none"/>
              </w:rPr>
              <w:t>L</w:t>
            </w:r>
            <w:r>
              <w:rPr>
                <w:rFonts w:hint="default" w:ascii="Times New Roman" w:hAnsi="Times New Roman" w:eastAsia="宋体"/>
                <w:snapToGrid w:val="0"/>
                <w:color w:val="auto"/>
                <w:szCs w:val="21"/>
                <w:highlight w:val="none"/>
                <w:vertAlign w:val="subscript"/>
              </w:rPr>
              <w:t>w</w:t>
            </w:r>
            <w:r>
              <w:rPr>
                <w:rFonts w:hint="default" w:ascii="Times New Roman" w:hAnsi="Times New Roman" w:eastAsia="宋体"/>
                <w:snapToGrid w:val="0"/>
                <w:color w:val="auto"/>
                <w:szCs w:val="21"/>
                <w:highlight w:val="none"/>
              </w:rPr>
              <w:t>—点声源声功率级（A计权或倍频带）；</w:t>
            </w:r>
          </w:p>
          <w:p w14:paraId="592813CB">
            <w:pPr>
              <w:keepNext w:val="0"/>
              <w:keepLines w:val="0"/>
              <w:widowControl/>
              <w:suppressLineNumbers w:val="0"/>
              <w:spacing w:before="0" w:beforeAutospacing="0" w:after="0" w:afterAutospacing="0"/>
              <w:ind w:left="0" w:right="0" w:firstLine="480"/>
              <w:jc w:val="left"/>
              <w:rPr>
                <w:rFonts w:hint="default" w:ascii="Times New Roman" w:hAnsi="Times New Roman" w:eastAsia="宋体"/>
                <w:snapToGrid w:val="0"/>
                <w:color w:val="auto"/>
                <w:szCs w:val="21"/>
                <w:highlight w:val="none"/>
              </w:rPr>
            </w:pPr>
            <w:r>
              <w:rPr>
                <w:rFonts w:hint="default" w:ascii="Times New Roman" w:hAnsi="Times New Roman" w:eastAsia="宋体"/>
                <w:snapToGrid w:val="0"/>
                <w:color w:val="auto"/>
                <w:szCs w:val="21"/>
                <w:highlight w:val="none"/>
              </w:rPr>
              <w:t>Q—指向性因数，通常对无指向性声源，当声源放在房间中心时，Q=1，当放在一面墙的中心时，Q=2；当放在两面墙夹角处时，Q=4，当放在三面墙夹角处时，Q=8；</w:t>
            </w:r>
          </w:p>
          <w:p w14:paraId="718C4515">
            <w:pPr>
              <w:keepNext w:val="0"/>
              <w:keepLines w:val="0"/>
              <w:widowControl/>
              <w:suppressLineNumbers w:val="0"/>
              <w:spacing w:before="0" w:beforeAutospacing="0" w:after="0" w:afterAutospacing="0"/>
              <w:ind w:left="0" w:right="0" w:firstLine="480"/>
              <w:jc w:val="left"/>
              <w:rPr>
                <w:rFonts w:hint="default" w:ascii="Times New Roman" w:hAnsi="Times New Roman" w:eastAsia="宋体"/>
                <w:snapToGrid w:val="0"/>
                <w:color w:val="auto"/>
                <w:szCs w:val="21"/>
                <w:highlight w:val="none"/>
              </w:rPr>
            </w:pPr>
            <w:r>
              <w:rPr>
                <w:rFonts w:hint="default" w:ascii="Times New Roman" w:hAnsi="Times New Roman" w:eastAsia="宋体"/>
                <w:snapToGrid w:val="0"/>
                <w:color w:val="auto"/>
                <w:szCs w:val="21"/>
                <w:highlight w:val="none"/>
              </w:rPr>
              <w:t>R—房间常数，R=Sα/(1−α)，S为房间内表面面积，m</w:t>
            </w:r>
            <w:r>
              <w:rPr>
                <w:rFonts w:hint="default" w:ascii="Times New Roman" w:hAnsi="Times New Roman" w:eastAsia="宋体"/>
                <w:snapToGrid w:val="0"/>
                <w:color w:val="auto"/>
                <w:szCs w:val="21"/>
                <w:highlight w:val="none"/>
                <w:vertAlign w:val="superscript"/>
              </w:rPr>
              <w:t>2</w:t>
            </w:r>
            <w:r>
              <w:rPr>
                <w:rFonts w:hint="default" w:ascii="Times New Roman" w:hAnsi="Times New Roman" w:eastAsia="宋体"/>
                <w:snapToGrid w:val="0"/>
                <w:color w:val="auto"/>
                <w:szCs w:val="21"/>
                <w:highlight w:val="none"/>
              </w:rPr>
              <w:t>，α为平均吸声系数；</w:t>
            </w:r>
          </w:p>
          <w:p w14:paraId="2D433DE0">
            <w:pPr>
              <w:keepNext w:val="0"/>
              <w:keepLines w:val="0"/>
              <w:widowControl/>
              <w:suppressLineNumbers w:val="0"/>
              <w:spacing w:before="0" w:beforeAutospacing="0" w:after="0" w:afterAutospacing="0"/>
              <w:ind w:left="0" w:right="0" w:firstLine="480"/>
              <w:jc w:val="left"/>
              <w:rPr>
                <w:rFonts w:hint="default" w:ascii="Times New Roman" w:hAnsi="Times New Roman" w:eastAsia="宋体"/>
                <w:snapToGrid w:val="0"/>
                <w:color w:val="auto"/>
                <w:szCs w:val="21"/>
                <w:highlight w:val="none"/>
              </w:rPr>
            </w:pPr>
            <w:r>
              <w:rPr>
                <w:rFonts w:hint="default" w:ascii="Times New Roman" w:hAnsi="Times New Roman" w:eastAsia="宋体"/>
                <w:snapToGrid w:val="0"/>
                <w:color w:val="auto"/>
                <w:szCs w:val="21"/>
                <w:highlight w:val="none"/>
              </w:rPr>
              <w:t>r—声源到靠近围护结构某点处的距离，m。</w:t>
            </w:r>
          </w:p>
          <w:p w14:paraId="07A98EF9">
            <w:pPr>
              <w:keepNext w:val="0"/>
              <w:keepLines w:val="0"/>
              <w:widowControl/>
              <w:suppressLineNumbers w:val="0"/>
              <w:spacing w:before="0" w:beforeAutospacing="0" w:after="0" w:afterAutospacing="0"/>
              <w:ind w:left="0" w:right="0" w:firstLine="480"/>
              <w:jc w:val="left"/>
              <w:rPr>
                <w:rFonts w:hint="default" w:ascii="Times New Roman" w:hAnsi="Times New Roman" w:eastAsia="宋体"/>
                <w:snapToGrid w:val="0"/>
                <w:color w:val="auto"/>
                <w:szCs w:val="21"/>
                <w:highlight w:val="none"/>
              </w:rPr>
            </w:pPr>
            <w:r>
              <w:rPr>
                <w:rFonts w:hint="default" w:ascii="Times New Roman" w:hAnsi="Times New Roman" w:eastAsia="宋体"/>
                <w:snapToGrid w:val="0"/>
                <w:color w:val="auto"/>
                <w:szCs w:val="21"/>
                <w:highlight w:val="none"/>
              </w:rPr>
              <w:t>B.计算出所有室内声源在围护结构处产生的i倍频带叠加声压级。计算公式如下：</w:t>
            </w:r>
          </w:p>
          <w:p w14:paraId="0EDE9CB5">
            <w:pPr>
              <w:keepNext w:val="0"/>
              <w:keepLines w:val="0"/>
              <w:widowControl/>
              <w:suppressLineNumbers w:val="0"/>
              <w:spacing w:before="0" w:beforeAutospacing="0" w:after="0" w:afterAutospacing="0"/>
              <w:ind w:left="0" w:right="0" w:firstLine="480"/>
              <w:jc w:val="center"/>
              <w:rPr>
                <w:rFonts w:hint="default" w:ascii="Times New Roman" w:hAnsi="Times New Roman" w:eastAsia="宋体"/>
                <w:color w:val="auto"/>
                <w:highlight w:val="none"/>
              </w:rPr>
            </w:pPr>
            <w:r>
              <w:rPr>
                <w:rFonts w:hint="default" w:ascii="Times New Roman" w:hAnsi="Times New Roman" w:eastAsia="宋体"/>
                <w:color w:val="auto"/>
                <w:highlight w:val="none"/>
              </w:rPr>
              <w:drawing>
                <wp:inline distT="0" distB="0" distL="114300" distR="114300">
                  <wp:extent cx="1908175" cy="516890"/>
                  <wp:effectExtent l="0" t="0" r="15875" b="16510"/>
                  <wp:docPr id="2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4"/>
                          <pic:cNvPicPr>
                            <a:picLocks noChangeAspect="1"/>
                          </pic:cNvPicPr>
                        </pic:nvPicPr>
                        <pic:blipFill>
                          <a:blip r:embed="rId28"/>
                          <a:stretch>
                            <a:fillRect/>
                          </a:stretch>
                        </pic:blipFill>
                        <pic:spPr>
                          <a:xfrm>
                            <a:off x="0" y="0"/>
                            <a:ext cx="1908175" cy="516890"/>
                          </a:xfrm>
                          <a:prstGeom prst="rect">
                            <a:avLst/>
                          </a:prstGeom>
                          <a:noFill/>
                          <a:ln>
                            <a:noFill/>
                          </a:ln>
                        </pic:spPr>
                      </pic:pic>
                    </a:graphicData>
                  </a:graphic>
                </wp:inline>
              </w:drawing>
            </w:r>
          </w:p>
          <w:p w14:paraId="0D2E92B7">
            <w:pPr>
              <w:keepNext w:val="0"/>
              <w:keepLines w:val="0"/>
              <w:widowControl/>
              <w:suppressLineNumbers w:val="0"/>
              <w:spacing w:before="0" w:beforeAutospacing="0" w:after="0" w:afterAutospacing="0"/>
              <w:ind w:left="0" w:right="0" w:firstLine="480"/>
              <w:jc w:val="left"/>
              <w:rPr>
                <w:rFonts w:hint="default" w:ascii="Times New Roman" w:hAnsi="Times New Roman" w:eastAsia="宋体"/>
                <w:snapToGrid w:val="0"/>
                <w:color w:val="auto"/>
                <w:szCs w:val="21"/>
                <w:highlight w:val="none"/>
              </w:rPr>
            </w:pPr>
            <w:r>
              <w:rPr>
                <w:rFonts w:hint="default" w:ascii="Times New Roman" w:hAnsi="Times New Roman" w:eastAsia="宋体"/>
                <w:snapToGrid w:val="0"/>
                <w:color w:val="auto"/>
                <w:szCs w:val="21"/>
                <w:highlight w:val="none"/>
              </w:rPr>
              <w:t>式中：</w:t>
            </w:r>
          </w:p>
          <w:p w14:paraId="4EBF2A7B">
            <w:pPr>
              <w:keepNext w:val="0"/>
              <w:keepLines w:val="0"/>
              <w:widowControl/>
              <w:suppressLineNumbers w:val="0"/>
              <w:spacing w:before="0" w:beforeAutospacing="0" w:after="0" w:afterAutospacing="0"/>
              <w:ind w:left="0" w:right="0" w:firstLine="480"/>
              <w:jc w:val="left"/>
              <w:rPr>
                <w:rFonts w:hint="default" w:ascii="Times New Roman" w:hAnsi="Times New Roman" w:eastAsia="宋体"/>
                <w:snapToGrid w:val="0"/>
                <w:color w:val="auto"/>
                <w:szCs w:val="21"/>
                <w:highlight w:val="none"/>
              </w:rPr>
            </w:pPr>
            <w:r>
              <w:rPr>
                <w:rFonts w:hint="default" w:ascii="Times New Roman" w:hAnsi="Times New Roman" w:eastAsia="宋体"/>
                <w:snapToGrid w:val="0"/>
                <w:color w:val="auto"/>
                <w:szCs w:val="21"/>
                <w:highlight w:val="none"/>
              </w:rPr>
              <w:t>L</w:t>
            </w:r>
            <w:r>
              <w:rPr>
                <w:rFonts w:hint="default" w:ascii="Times New Roman" w:hAnsi="Times New Roman" w:eastAsia="宋体"/>
                <w:snapToGrid w:val="0"/>
                <w:color w:val="auto"/>
                <w:szCs w:val="21"/>
                <w:highlight w:val="none"/>
                <w:vertAlign w:val="subscript"/>
              </w:rPr>
              <w:t>pli</w:t>
            </w:r>
            <w:r>
              <w:rPr>
                <w:rFonts w:hint="default" w:ascii="Times New Roman" w:hAnsi="Times New Roman" w:eastAsia="宋体"/>
                <w:snapToGrid w:val="0"/>
                <w:color w:val="auto"/>
                <w:szCs w:val="21"/>
                <w:highlight w:val="none"/>
              </w:rPr>
              <w:t>(T)—靠近围护结构处室内N个声源i倍频带的叠加声压级，dB；</w:t>
            </w:r>
          </w:p>
          <w:p w14:paraId="16CD8CC6">
            <w:pPr>
              <w:keepNext w:val="0"/>
              <w:keepLines w:val="0"/>
              <w:widowControl/>
              <w:suppressLineNumbers w:val="0"/>
              <w:spacing w:before="0" w:beforeAutospacing="0" w:after="0" w:afterAutospacing="0"/>
              <w:ind w:left="0" w:right="0" w:firstLine="480"/>
              <w:jc w:val="left"/>
              <w:rPr>
                <w:rFonts w:hint="default" w:ascii="Times New Roman" w:hAnsi="Times New Roman" w:eastAsia="宋体"/>
                <w:snapToGrid w:val="0"/>
                <w:color w:val="auto"/>
                <w:szCs w:val="21"/>
                <w:highlight w:val="none"/>
              </w:rPr>
            </w:pPr>
            <w:r>
              <w:rPr>
                <w:rFonts w:hint="default" w:ascii="Times New Roman" w:hAnsi="Times New Roman" w:eastAsia="宋体"/>
                <w:snapToGrid w:val="0"/>
                <w:color w:val="auto"/>
                <w:szCs w:val="21"/>
                <w:highlight w:val="none"/>
              </w:rPr>
              <w:t>L</w:t>
            </w:r>
            <w:r>
              <w:rPr>
                <w:rFonts w:hint="default" w:ascii="Times New Roman" w:hAnsi="Times New Roman" w:eastAsia="宋体"/>
                <w:snapToGrid w:val="0"/>
                <w:color w:val="auto"/>
                <w:szCs w:val="21"/>
                <w:highlight w:val="none"/>
                <w:vertAlign w:val="subscript"/>
              </w:rPr>
              <w:t>plij</w:t>
            </w:r>
            <w:r>
              <w:rPr>
                <w:rFonts w:hint="default" w:ascii="Times New Roman" w:hAnsi="Times New Roman" w:eastAsia="宋体"/>
                <w:snapToGrid w:val="0"/>
                <w:color w:val="auto"/>
                <w:szCs w:val="21"/>
                <w:highlight w:val="none"/>
              </w:rPr>
              <w:t>—室内j声源i倍频带的声压级，dB；</w:t>
            </w:r>
          </w:p>
          <w:p w14:paraId="669E4478">
            <w:pPr>
              <w:keepNext w:val="0"/>
              <w:keepLines w:val="0"/>
              <w:widowControl/>
              <w:suppressLineNumbers w:val="0"/>
              <w:spacing w:before="0" w:beforeAutospacing="0" w:after="0" w:afterAutospacing="0"/>
              <w:ind w:left="0" w:right="0" w:firstLine="480"/>
              <w:jc w:val="left"/>
              <w:rPr>
                <w:rFonts w:hint="default" w:ascii="Times New Roman" w:hAnsi="Times New Roman" w:eastAsia="宋体"/>
                <w:snapToGrid w:val="0"/>
                <w:color w:val="auto"/>
                <w:szCs w:val="21"/>
                <w:highlight w:val="none"/>
              </w:rPr>
            </w:pPr>
            <w:r>
              <w:rPr>
                <w:rFonts w:hint="default" w:ascii="Times New Roman" w:hAnsi="Times New Roman" w:eastAsia="宋体"/>
                <w:snapToGrid w:val="0"/>
                <w:color w:val="auto"/>
                <w:szCs w:val="21"/>
                <w:highlight w:val="none"/>
              </w:rPr>
              <w:t>N—室内声源总数。</w:t>
            </w:r>
          </w:p>
          <w:p w14:paraId="60B5A6CE">
            <w:pPr>
              <w:keepNext w:val="0"/>
              <w:keepLines w:val="0"/>
              <w:widowControl/>
              <w:suppressLineNumbers w:val="0"/>
              <w:spacing w:before="0" w:beforeAutospacing="0" w:after="0" w:afterAutospacing="0"/>
              <w:ind w:left="0" w:right="0" w:firstLine="480"/>
              <w:jc w:val="left"/>
              <w:rPr>
                <w:rFonts w:hint="default" w:ascii="Times New Roman" w:hAnsi="Times New Roman" w:eastAsia="宋体"/>
                <w:snapToGrid w:val="0"/>
                <w:color w:val="auto"/>
                <w:szCs w:val="21"/>
                <w:highlight w:val="none"/>
              </w:rPr>
            </w:pPr>
            <w:r>
              <w:rPr>
                <w:rFonts w:hint="default" w:ascii="Times New Roman" w:hAnsi="Times New Roman" w:eastAsia="宋体"/>
                <w:snapToGrid w:val="0"/>
                <w:color w:val="auto"/>
                <w:szCs w:val="21"/>
                <w:highlight w:val="none"/>
              </w:rPr>
              <w:t>C.计算出靠近室外</w:t>
            </w:r>
            <w:r>
              <w:rPr>
                <w:rFonts w:hint="eastAsia" w:ascii="Times New Roman" w:hAnsi="Times New Roman" w:eastAsia="宋体"/>
                <w:snapToGrid w:val="0"/>
                <w:color w:val="auto"/>
                <w:szCs w:val="21"/>
                <w:highlight w:val="none"/>
              </w:rPr>
              <w:t>围</w:t>
            </w:r>
            <w:r>
              <w:rPr>
                <w:rFonts w:hint="default" w:ascii="Times New Roman" w:hAnsi="Times New Roman" w:eastAsia="宋体"/>
                <w:snapToGrid w:val="0"/>
                <w:color w:val="auto"/>
                <w:szCs w:val="21"/>
                <w:highlight w:val="none"/>
              </w:rPr>
              <w:t>护结构处的声压级。计算公式如下：</w:t>
            </w:r>
          </w:p>
          <w:p w14:paraId="33CD064D">
            <w:pPr>
              <w:keepNext w:val="0"/>
              <w:keepLines w:val="0"/>
              <w:widowControl/>
              <w:suppressLineNumbers w:val="0"/>
              <w:spacing w:before="0" w:beforeAutospacing="0" w:after="0" w:afterAutospacing="0"/>
              <w:ind w:left="0" w:right="0" w:firstLine="480"/>
              <w:jc w:val="center"/>
              <w:rPr>
                <w:rFonts w:hint="default" w:ascii="Times New Roman" w:hAnsi="Times New Roman" w:eastAsia="宋体"/>
                <w:color w:val="auto"/>
                <w:highlight w:val="none"/>
              </w:rPr>
            </w:pPr>
            <w:r>
              <w:rPr>
                <w:rFonts w:hint="default" w:ascii="Times New Roman" w:hAnsi="Times New Roman" w:eastAsia="宋体"/>
                <w:color w:val="auto"/>
                <w:highlight w:val="none"/>
              </w:rPr>
              <w:drawing>
                <wp:inline distT="0" distB="0" distL="114300" distR="114300">
                  <wp:extent cx="2457450" cy="397510"/>
                  <wp:effectExtent l="0" t="0" r="0" b="2540"/>
                  <wp:docPr id="2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5"/>
                          <pic:cNvPicPr>
                            <a:picLocks noChangeAspect="1"/>
                          </pic:cNvPicPr>
                        </pic:nvPicPr>
                        <pic:blipFill>
                          <a:blip r:embed="rId29"/>
                          <a:stretch>
                            <a:fillRect/>
                          </a:stretch>
                        </pic:blipFill>
                        <pic:spPr>
                          <a:xfrm>
                            <a:off x="0" y="0"/>
                            <a:ext cx="2457450" cy="397510"/>
                          </a:xfrm>
                          <a:prstGeom prst="rect">
                            <a:avLst/>
                          </a:prstGeom>
                          <a:noFill/>
                          <a:ln>
                            <a:noFill/>
                          </a:ln>
                        </pic:spPr>
                      </pic:pic>
                    </a:graphicData>
                  </a:graphic>
                </wp:inline>
              </w:drawing>
            </w:r>
          </w:p>
          <w:p w14:paraId="5B778D2A">
            <w:pPr>
              <w:keepNext w:val="0"/>
              <w:keepLines w:val="0"/>
              <w:widowControl/>
              <w:suppressLineNumbers w:val="0"/>
              <w:spacing w:before="0" w:beforeAutospacing="0" w:after="0" w:afterAutospacing="0"/>
              <w:ind w:left="0" w:right="0" w:firstLine="480"/>
              <w:jc w:val="left"/>
              <w:rPr>
                <w:rFonts w:hint="default" w:ascii="Times New Roman" w:hAnsi="Times New Roman" w:eastAsia="宋体"/>
                <w:snapToGrid w:val="0"/>
                <w:color w:val="auto"/>
                <w:szCs w:val="21"/>
                <w:highlight w:val="none"/>
              </w:rPr>
            </w:pPr>
            <w:r>
              <w:rPr>
                <w:rFonts w:hint="default" w:ascii="Times New Roman" w:hAnsi="Times New Roman" w:eastAsia="宋体"/>
                <w:snapToGrid w:val="0"/>
                <w:color w:val="auto"/>
                <w:szCs w:val="21"/>
                <w:highlight w:val="none"/>
              </w:rPr>
              <w:t>式中：</w:t>
            </w:r>
          </w:p>
          <w:p w14:paraId="146F7241">
            <w:pPr>
              <w:keepNext w:val="0"/>
              <w:keepLines w:val="0"/>
              <w:widowControl/>
              <w:suppressLineNumbers w:val="0"/>
              <w:spacing w:before="0" w:beforeAutospacing="0" w:after="0" w:afterAutospacing="0"/>
              <w:ind w:left="0" w:right="0" w:firstLine="480"/>
              <w:jc w:val="left"/>
              <w:rPr>
                <w:rFonts w:hint="default" w:ascii="Times New Roman" w:hAnsi="Times New Roman" w:eastAsia="宋体"/>
                <w:snapToGrid w:val="0"/>
                <w:color w:val="auto"/>
                <w:szCs w:val="21"/>
                <w:highlight w:val="none"/>
              </w:rPr>
            </w:pPr>
            <w:r>
              <w:rPr>
                <w:rFonts w:hint="default" w:ascii="Times New Roman" w:hAnsi="Times New Roman" w:eastAsia="宋体"/>
                <w:snapToGrid w:val="0"/>
                <w:color w:val="auto"/>
                <w:szCs w:val="21"/>
                <w:highlight w:val="none"/>
              </w:rPr>
              <w:t>L</w:t>
            </w:r>
            <w:r>
              <w:rPr>
                <w:rFonts w:hint="default" w:ascii="Times New Roman" w:hAnsi="Times New Roman" w:eastAsia="宋体"/>
                <w:snapToGrid w:val="0"/>
                <w:color w:val="auto"/>
                <w:szCs w:val="21"/>
                <w:highlight w:val="none"/>
                <w:vertAlign w:val="subscript"/>
              </w:rPr>
              <w:t>p2i</w:t>
            </w:r>
            <w:r>
              <w:rPr>
                <w:rFonts w:hint="default" w:ascii="Times New Roman" w:hAnsi="Times New Roman" w:eastAsia="宋体"/>
                <w:snapToGrid w:val="0"/>
                <w:color w:val="auto"/>
                <w:szCs w:val="21"/>
                <w:highlight w:val="none"/>
              </w:rPr>
              <w:t>(T)—靠近围护结构处室外N个声源i倍频带的叠加声压级，dB；</w:t>
            </w:r>
          </w:p>
          <w:p w14:paraId="127EF3F8">
            <w:pPr>
              <w:keepNext w:val="0"/>
              <w:keepLines w:val="0"/>
              <w:widowControl/>
              <w:suppressLineNumbers w:val="0"/>
              <w:spacing w:before="0" w:beforeAutospacing="0" w:after="0" w:afterAutospacing="0"/>
              <w:ind w:left="0" w:right="0" w:firstLine="480"/>
              <w:jc w:val="left"/>
              <w:rPr>
                <w:rFonts w:hint="default" w:ascii="Times New Roman" w:hAnsi="Times New Roman" w:eastAsia="宋体"/>
                <w:snapToGrid w:val="0"/>
                <w:color w:val="auto"/>
                <w:szCs w:val="21"/>
                <w:highlight w:val="none"/>
              </w:rPr>
            </w:pPr>
            <w:r>
              <w:rPr>
                <w:rFonts w:hint="default" w:ascii="Times New Roman" w:hAnsi="Times New Roman" w:eastAsia="宋体"/>
                <w:snapToGrid w:val="0"/>
                <w:color w:val="auto"/>
                <w:szCs w:val="21"/>
                <w:highlight w:val="none"/>
              </w:rPr>
              <w:t>L</w:t>
            </w:r>
            <w:r>
              <w:rPr>
                <w:rFonts w:hint="default" w:ascii="Times New Roman" w:hAnsi="Times New Roman" w:eastAsia="宋体"/>
                <w:snapToGrid w:val="0"/>
                <w:color w:val="auto"/>
                <w:szCs w:val="21"/>
                <w:highlight w:val="none"/>
                <w:vertAlign w:val="subscript"/>
              </w:rPr>
              <w:t>p1i</w:t>
            </w:r>
            <w:r>
              <w:rPr>
                <w:rFonts w:hint="default" w:ascii="Times New Roman" w:hAnsi="Times New Roman" w:eastAsia="宋体"/>
                <w:snapToGrid w:val="0"/>
                <w:color w:val="auto"/>
                <w:szCs w:val="21"/>
                <w:highlight w:val="none"/>
              </w:rPr>
              <w:t>(T)—靠近围护结构处室内N个声源i倍频带的叠加声压级，dB；</w:t>
            </w:r>
          </w:p>
          <w:p w14:paraId="2B622818">
            <w:pPr>
              <w:keepNext w:val="0"/>
              <w:keepLines w:val="0"/>
              <w:widowControl/>
              <w:suppressLineNumbers w:val="0"/>
              <w:spacing w:before="0" w:beforeAutospacing="0" w:after="0" w:afterAutospacing="0"/>
              <w:ind w:left="0" w:right="0" w:firstLine="480"/>
              <w:jc w:val="left"/>
              <w:rPr>
                <w:rFonts w:hint="default" w:ascii="Times New Roman" w:hAnsi="Times New Roman" w:eastAsia="宋体"/>
                <w:snapToGrid w:val="0"/>
                <w:color w:val="auto"/>
                <w:szCs w:val="21"/>
                <w:highlight w:val="none"/>
              </w:rPr>
            </w:pPr>
            <w:r>
              <w:rPr>
                <w:rFonts w:hint="default" w:ascii="Times New Roman" w:hAnsi="Times New Roman" w:eastAsia="宋体"/>
                <w:snapToGrid w:val="0"/>
                <w:color w:val="auto"/>
                <w:szCs w:val="21"/>
                <w:highlight w:val="none"/>
              </w:rPr>
              <w:t>TL</w:t>
            </w:r>
            <w:r>
              <w:rPr>
                <w:rFonts w:hint="default" w:ascii="Times New Roman" w:hAnsi="Times New Roman" w:eastAsia="宋体"/>
                <w:snapToGrid w:val="0"/>
                <w:color w:val="auto"/>
                <w:szCs w:val="21"/>
                <w:highlight w:val="none"/>
                <w:vertAlign w:val="subscript"/>
              </w:rPr>
              <w:t>i</w:t>
            </w:r>
            <w:r>
              <w:rPr>
                <w:rFonts w:hint="default" w:ascii="Times New Roman" w:hAnsi="Times New Roman" w:eastAsia="宋体"/>
                <w:snapToGrid w:val="0"/>
                <w:color w:val="auto"/>
                <w:szCs w:val="21"/>
                <w:highlight w:val="none"/>
              </w:rPr>
              <w:t>—围护结构i倍频带</w:t>
            </w:r>
            <w:r>
              <w:rPr>
                <w:rFonts w:hint="eastAsia" w:ascii="Times New Roman" w:hAnsi="Times New Roman" w:eastAsia="宋体"/>
                <w:snapToGrid w:val="0"/>
                <w:color w:val="auto"/>
                <w:szCs w:val="21"/>
                <w:highlight w:val="none"/>
              </w:rPr>
              <w:t>的</w:t>
            </w:r>
            <w:r>
              <w:rPr>
                <w:rFonts w:hint="default" w:ascii="Times New Roman" w:hAnsi="Times New Roman" w:eastAsia="宋体"/>
                <w:snapToGrid w:val="0"/>
                <w:color w:val="auto"/>
                <w:szCs w:val="21"/>
                <w:highlight w:val="none"/>
              </w:rPr>
              <w:t>隔声量，dB；</w:t>
            </w:r>
          </w:p>
          <w:p w14:paraId="6FA8E0A1">
            <w:pPr>
              <w:keepNext w:val="0"/>
              <w:keepLines w:val="0"/>
              <w:widowControl/>
              <w:suppressLineNumbers w:val="0"/>
              <w:spacing w:before="0" w:beforeAutospacing="0" w:after="0" w:afterAutospacing="0"/>
              <w:ind w:left="0" w:right="0" w:firstLine="480"/>
              <w:jc w:val="left"/>
              <w:rPr>
                <w:rFonts w:hint="default" w:ascii="Times New Roman" w:hAnsi="Times New Roman" w:eastAsia="宋体"/>
                <w:snapToGrid w:val="0"/>
                <w:color w:val="auto"/>
                <w:szCs w:val="21"/>
                <w:highlight w:val="none"/>
              </w:rPr>
            </w:pPr>
            <w:r>
              <w:rPr>
                <w:rFonts w:hint="default" w:ascii="Times New Roman" w:hAnsi="Times New Roman" w:eastAsia="宋体"/>
                <w:snapToGrid w:val="0"/>
                <w:color w:val="auto"/>
                <w:szCs w:val="21"/>
                <w:highlight w:val="none"/>
              </w:rPr>
              <w:t>D.将室外声源的声压级和透过面积换算成等效的室外声源，计算出中心位置位于透声面积（S）处的等效</w:t>
            </w:r>
            <w:r>
              <w:rPr>
                <w:rFonts w:hint="eastAsia" w:ascii="Times New Roman" w:hAnsi="Times New Roman" w:eastAsia="宋体"/>
                <w:snapToGrid w:val="0"/>
                <w:color w:val="auto"/>
                <w:szCs w:val="21"/>
                <w:highlight w:val="none"/>
              </w:rPr>
              <w:t>声</w:t>
            </w:r>
            <w:r>
              <w:rPr>
                <w:rFonts w:hint="default" w:ascii="Times New Roman" w:hAnsi="Times New Roman" w:eastAsia="宋体"/>
                <w:snapToGrid w:val="0"/>
                <w:color w:val="auto"/>
                <w:szCs w:val="21"/>
                <w:highlight w:val="none"/>
              </w:rPr>
              <w:t>源的倍频带声功率级。计算公式如下：</w:t>
            </w:r>
          </w:p>
          <w:p w14:paraId="3CBE7E5E">
            <w:pPr>
              <w:keepNext w:val="0"/>
              <w:keepLines w:val="0"/>
              <w:widowControl/>
              <w:suppressLineNumbers w:val="0"/>
              <w:spacing w:before="0" w:beforeAutospacing="0" w:after="0" w:afterAutospacing="0"/>
              <w:ind w:left="0" w:right="0" w:firstLine="480"/>
              <w:jc w:val="center"/>
              <w:rPr>
                <w:rFonts w:hint="default" w:ascii="Times New Roman" w:hAnsi="Times New Roman" w:eastAsia="宋体"/>
                <w:color w:val="auto"/>
                <w:highlight w:val="none"/>
              </w:rPr>
            </w:pPr>
            <w:r>
              <w:rPr>
                <w:rFonts w:hint="default" w:ascii="Times New Roman" w:hAnsi="Times New Roman" w:eastAsia="宋体"/>
                <w:color w:val="auto"/>
                <w:highlight w:val="none"/>
              </w:rPr>
              <w:drawing>
                <wp:inline distT="0" distB="0" distL="114300" distR="114300">
                  <wp:extent cx="1527810" cy="453390"/>
                  <wp:effectExtent l="0" t="0" r="15240" b="3810"/>
                  <wp:docPr id="2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6"/>
                          <pic:cNvPicPr>
                            <a:picLocks noChangeAspect="1"/>
                          </pic:cNvPicPr>
                        </pic:nvPicPr>
                        <pic:blipFill>
                          <a:blip r:embed="rId30"/>
                          <a:stretch>
                            <a:fillRect/>
                          </a:stretch>
                        </pic:blipFill>
                        <pic:spPr>
                          <a:xfrm>
                            <a:off x="0" y="0"/>
                            <a:ext cx="1527810" cy="453390"/>
                          </a:xfrm>
                          <a:prstGeom prst="rect">
                            <a:avLst/>
                          </a:prstGeom>
                          <a:noFill/>
                          <a:ln>
                            <a:noFill/>
                          </a:ln>
                        </pic:spPr>
                      </pic:pic>
                    </a:graphicData>
                  </a:graphic>
                </wp:inline>
              </w:drawing>
            </w:r>
          </w:p>
          <w:p w14:paraId="7302BBFB">
            <w:pPr>
              <w:keepNext w:val="0"/>
              <w:keepLines w:val="0"/>
              <w:widowControl/>
              <w:suppressLineNumbers w:val="0"/>
              <w:spacing w:before="0" w:beforeAutospacing="0" w:after="0" w:afterAutospacing="0"/>
              <w:ind w:left="0" w:right="0" w:firstLine="480"/>
              <w:jc w:val="left"/>
              <w:rPr>
                <w:rFonts w:hint="default" w:ascii="Times New Roman" w:hAnsi="Times New Roman" w:eastAsia="宋体"/>
                <w:snapToGrid w:val="0"/>
                <w:color w:val="auto"/>
                <w:szCs w:val="21"/>
                <w:highlight w:val="none"/>
              </w:rPr>
            </w:pPr>
            <w:r>
              <w:rPr>
                <w:rFonts w:hint="default" w:ascii="Times New Roman" w:hAnsi="Times New Roman" w:eastAsia="宋体"/>
                <w:snapToGrid w:val="0"/>
                <w:color w:val="auto"/>
                <w:szCs w:val="21"/>
                <w:highlight w:val="none"/>
              </w:rPr>
              <w:t>式中：</w:t>
            </w:r>
          </w:p>
          <w:p w14:paraId="4AF2723C">
            <w:pPr>
              <w:keepNext w:val="0"/>
              <w:keepLines w:val="0"/>
              <w:widowControl/>
              <w:suppressLineNumbers w:val="0"/>
              <w:spacing w:before="0" w:beforeAutospacing="0" w:after="0" w:afterAutospacing="0"/>
              <w:ind w:left="0" w:right="0" w:firstLine="480"/>
              <w:jc w:val="left"/>
              <w:rPr>
                <w:rFonts w:hint="default" w:ascii="Times New Roman" w:hAnsi="Times New Roman" w:eastAsia="宋体"/>
                <w:snapToGrid w:val="0"/>
                <w:color w:val="auto"/>
                <w:szCs w:val="21"/>
                <w:highlight w:val="none"/>
              </w:rPr>
            </w:pPr>
            <w:r>
              <w:rPr>
                <w:rFonts w:hint="default" w:ascii="Times New Roman" w:hAnsi="Times New Roman" w:eastAsia="宋体"/>
                <w:snapToGrid w:val="0"/>
                <w:color w:val="auto"/>
                <w:szCs w:val="21"/>
                <w:highlight w:val="none"/>
              </w:rPr>
              <w:t>L</w:t>
            </w:r>
            <w:r>
              <w:rPr>
                <w:rFonts w:hint="default" w:ascii="Times New Roman" w:hAnsi="Times New Roman" w:eastAsia="宋体"/>
                <w:snapToGrid w:val="0"/>
                <w:color w:val="auto"/>
                <w:szCs w:val="21"/>
                <w:highlight w:val="none"/>
                <w:vertAlign w:val="subscript"/>
              </w:rPr>
              <w:t>w</w:t>
            </w:r>
            <w:r>
              <w:rPr>
                <w:rFonts w:hint="default" w:ascii="Times New Roman" w:hAnsi="Times New Roman" w:eastAsia="宋体"/>
                <w:snapToGrid w:val="0"/>
                <w:color w:val="auto"/>
                <w:szCs w:val="21"/>
                <w:highlight w:val="none"/>
              </w:rPr>
              <w:t>—中心位置位于透声面积（S）处的等效声源的倍频带声功率级，dB；</w:t>
            </w:r>
          </w:p>
          <w:p w14:paraId="521550EC">
            <w:pPr>
              <w:keepNext w:val="0"/>
              <w:keepLines w:val="0"/>
              <w:widowControl/>
              <w:suppressLineNumbers w:val="0"/>
              <w:spacing w:before="0" w:beforeAutospacing="0" w:after="0" w:afterAutospacing="0"/>
              <w:ind w:left="0" w:right="0" w:firstLine="480"/>
              <w:jc w:val="left"/>
              <w:rPr>
                <w:rFonts w:hint="default" w:ascii="Times New Roman" w:hAnsi="Times New Roman" w:eastAsia="宋体"/>
                <w:snapToGrid w:val="0"/>
                <w:color w:val="auto"/>
                <w:szCs w:val="21"/>
                <w:highlight w:val="none"/>
              </w:rPr>
            </w:pPr>
            <w:r>
              <w:rPr>
                <w:rFonts w:hint="default" w:ascii="Times New Roman" w:hAnsi="Times New Roman" w:eastAsia="宋体"/>
                <w:snapToGrid w:val="0"/>
                <w:color w:val="auto"/>
                <w:szCs w:val="21"/>
                <w:highlight w:val="none"/>
              </w:rPr>
              <w:t>L</w:t>
            </w:r>
            <w:r>
              <w:rPr>
                <w:rFonts w:hint="default" w:ascii="Times New Roman" w:hAnsi="Times New Roman" w:eastAsia="宋体"/>
                <w:snapToGrid w:val="0"/>
                <w:color w:val="auto"/>
                <w:szCs w:val="21"/>
                <w:highlight w:val="none"/>
                <w:vertAlign w:val="subscript"/>
              </w:rPr>
              <w:t>p2</w:t>
            </w:r>
            <w:r>
              <w:rPr>
                <w:rFonts w:hint="default" w:ascii="Times New Roman" w:hAnsi="Times New Roman" w:eastAsia="宋体"/>
                <w:snapToGrid w:val="0"/>
                <w:color w:val="auto"/>
                <w:szCs w:val="21"/>
                <w:highlight w:val="none"/>
              </w:rPr>
              <w:t>（T）—靠近围护结构处室外声源的声压级，dB；</w:t>
            </w:r>
          </w:p>
          <w:p w14:paraId="16CE4182">
            <w:pPr>
              <w:keepNext w:val="0"/>
              <w:keepLines w:val="0"/>
              <w:widowControl/>
              <w:suppressLineNumbers w:val="0"/>
              <w:spacing w:before="0" w:beforeAutospacing="0" w:after="0" w:afterAutospacing="0"/>
              <w:ind w:left="0" w:right="0" w:firstLine="480"/>
              <w:jc w:val="left"/>
              <w:rPr>
                <w:rFonts w:hint="default" w:ascii="Times New Roman" w:hAnsi="Times New Roman" w:eastAsia="宋体"/>
                <w:snapToGrid w:val="0"/>
                <w:color w:val="auto"/>
                <w:szCs w:val="21"/>
                <w:highlight w:val="none"/>
              </w:rPr>
            </w:pPr>
            <w:r>
              <w:rPr>
                <w:rFonts w:hint="default" w:ascii="Times New Roman" w:hAnsi="Times New Roman" w:eastAsia="宋体"/>
                <w:snapToGrid w:val="0"/>
                <w:color w:val="auto"/>
                <w:szCs w:val="21"/>
                <w:highlight w:val="none"/>
              </w:rPr>
              <w:t>S—透声面积，m</w:t>
            </w:r>
            <w:r>
              <w:rPr>
                <w:rFonts w:hint="default" w:ascii="Times New Roman" w:hAnsi="Times New Roman" w:eastAsia="宋体"/>
                <w:snapToGrid w:val="0"/>
                <w:color w:val="auto"/>
                <w:szCs w:val="21"/>
                <w:highlight w:val="none"/>
                <w:vertAlign w:val="superscript"/>
              </w:rPr>
              <w:t>2</w:t>
            </w:r>
            <w:r>
              <w:rPr>
                <w:rFonts w:hint="default" w:ascii="Times New Roman" w:hAnsi="Times New Roman" w:eastAsia="宋体"/>
                <w:snapToGrid w:val="0"/>
                <w:color w:val="auto"/>
                <w:szCs w:val="21"/>
                <w:highlight w:val="none"/>
              </w:rPr>
              <w:t>；</w:t>
            </w:r>
          </w:p>
          <w:p w14:paraId="01B3CE8E">
            <w:pPr>
              <w:keepNext w:val="0"/>
              <w:keepLines w:val="0"/>
              <w:widowControl/>
              <w:suppressLineNumbers w:val="0"/>
              <w:spacing w:before="0" w:beforeAutospacing="0" w:after="0" w:afterAutospacing="0"/>
              <w:ind w:left="0" w:right="0" w:firstLine="480"/>
              <w:jc w:val="left"/>
              <w:rPr>
                <w:rFonts w:hint="default" w:ascii="Times New Roman" w:hAnsi="Times New Roman" w:eastAsia="宋体"/>
                <w:snapToGrid w:val="0"/>
                <w:color w:val="auto"/>
                <w:szCs w:val="21"/>
                <w:highlight w:val="none"/>
              </w:rPr>
            </w:pPr>
            <w:r>
              <w:rPr>
                <w:rFonts w:hint="default" w:ascii="Times New Roman" w:hAnsi="Times New Roman" w:eastAsia="宋体"/>
                <w:snapToGrid w:val="0"/>
                <w:color w:val="auto"/>
                <w:szCs w:val="21"/>
                <w:highlight w:val="none"/>
              </w:rPr>
              <w:t>然后按室外声源预测方法计算预测点处的A声级。</w:t>
            </w:r>
          </w:p>
          <w:p w14:paraId="5D0D32E8">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snapToGrid w:val="0"/>
                <w:color w:val="auto"/>
                <w:kern w:val="0"/>
                <w:szCs w:val="21"/>
                <w:highlight w:val="none"/>
              </w:rPr>
            </w:pPr>
            <w:r>
              <w:rPr>
                <w:rFonts w:hint="eastAsia" w:ascii="Times New Roman" w:hAnsi="Times New Roman" w:eastAsia="宋体" w:cs="宋体"/>
                <w:snapToGrid w:val="0"/>
                <w:color w:val="auto"/>
                <w:kern w:val="0"/>
                <w:szCs w:val="21"/>
                <w:highlight w:val="none"/>
              </w:rPr>
              <w:t>②</w:t>
            </w:r>
            <w:r>
              <w:rPr>
                <w:rFonts w:hint="default" w:ascii="Times New Roman" w:hAnsi="Times New Roman" w:eastAsia="宋体"/>
                <w:snapToGrid w:val="0"/>
                <w:color w:val="auto"/>
                <w:kern w:val="0"/>
                <w:szCs w:val="21"/>
                <w:highlight w:val="none"/>
              </w:rPr>
              <w:t>室外声源</w:t>
            </w:r>
          </w:p>
          <w:p w14:paraId="5B31F77B">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snapToGrid w:val="0"/>
                <w:color w:val="auto"/>
                <w:kern w:val="0"/>
                <w:szCs w:val="21"/>
                <w:highlight w:val="none"/>
              </w:rPr>
            </w:pPr>
            <w:r>
              <w:rPr>
                <w:rFonts w:hint="default" w:ascii="Times New Roman" w:hAnsi="Times New Roman" w:eastAsia="宋体"/>
                <w:snapToGrid w:val="0"/>
                <w:color w:val="auto"/>
                <w:kern w:val="0"/>
                <w:szCs w:val="21"/>
                <w:highlight w:val="none"/>
              </w:rPr>
              <w:t>室外声源在预测点产生的声级计算模型见附录A。项目各噪声源都按点声源处理，根据声长特点，其预测模式为：</w:t>
            </w:r>
          </w:p>
          <w:p w14:paraId="04FBF1D6">
            <w:pPr>
              <w:keepNext w:val="0"/>
              <w:keepLines w:val="0"/>
              <w:widowControl/>
              <w:suppressLineNumbers w:val="0"/>
              <w:adjustRightInd w:val="0"/>
              <w:snapToGrid w:val="0"/>
              <w:spacing w:before="0" w:beforeAutospacing="0" w:after="0" w:afterAutospacing="0" w:line="360" w:lineRule="auto"/>
              <w:ind w:left="0" w:right="0"/>
              <w:jc w:val="center"/>
              <w:rPr>
                <w:rFonts w:hint="default" w:ascii="Times New Roman" w:hAnsi="Times New Roman" w:eastAsia="宋体"/>
                <w:color w:val="auto"/>
                <w:highlight w:val="none"/>
              </w:rPr>
            </w:pPr>
            <w:r>
              <w:rPr>
                <w:rFonts w:hint="default" w:ascii="Times New Roman" w:hAnsi="Times New Roman" w:eastAsia="宋体"/>
                <w:color w:val="auto"/>
                <w:highlight w:val="none"/>
              </w:rPr>
              <w:drawing>
                <wp:inline distT="0" distB="0" distL="114300" distR="114300">
                  <wp:extent cx="3314700" cy="389890"/>
                  <wp:effectExtent l="0" t="0" r="0" b="10160"/>
                  <wp:docPr id="2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7"/>
                          <pic:cNvPicPr>
                            <a:picLocks noChangeAspect="1"/>
                          </pic:cNvPicPr>
                        </pic:nvPicPr>
                        <pic:blipFill>
                          <a:blip r:embed="rId31"/>
                          <a:stretch>
                            <a:fillRect/>
                          </a:stretch>
                        </pic:blipFill>
                        <pic:spPr>
                          <a:xfrm>
                            <a:off x="0" y="0"/>
                            <a:ext cx="3314700" cy="389890"/>
                          </a:xfrm>
                          <a:prstGeom prst="rect">
                            <a:avLst/>
                          </a:prstGeom>
                          <a:noFill/>
                          <a:ln>
                            <a:noFill/>
                          </a:ln>
                        </pic:spPr>
                      </pic:pic>
                    </a:graphicData>
                  </a:graphic>
                </wp:inline>
              </w:drawing>
            </w:r>
          </w:p>
          <w:p w14:paraId="47269A2A">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snapToGrid w:val="0"/>
                <w:color w:val="auto"/>
                <w:kern w:val="0"/>
                <w:szCs w:val="21"/>
                <w:highlight w:val="none"/>
              </w:rPr>
            </w:pPr>
            <w:r>
              <w:rPr>
                <w:rFonts w:hint="default" w:ascii="Times New Roman" w:hAnsi="Times New Roman" w:eastAsia="宋体"/>
                <w:snapToGrid w:val="0"/>
                <w:color w:val="auto"/>
                <w:kern w:val="0"/>
                <w:szCs w:val="21"/>
                <w:highlight w:val="none"/>
              </w:rPr>
              <w:t>式中：</w:t>
            </w:r>
          </w:p>
          <w:p w14:paraId="6F93DC0B">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snapToGrid w:val="0"/>
                <w:color w:val="auto"/>
                <w:kern w:val="0"/>
                <w:szCs w:val="21"/>
                <w:highlight w:val="none"/>
              </w:rPr>
            </w:pPr>
            <w:r>
              <w:rPr>
                <w:rFonts w:hint="default" w:ascii="Times New Roman" w:hAnsi="Times New Roman" w:eastAsia="宋体"/>
                <w:snapToGrid w:val="0"/>
                <w:color w:val="auto"/>
                <w:kern w:val="0"/>
                <w:szCs w:val="21"/>
                <w:highlight w:val="none"/>
              </w:rPr>
              <w:t>Lp(r)——预测点处声压级，dB；</w:t>
            </w:r>
          </w:p>
          <w:p w14:paraId="7F4C3877">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snapToGrid w:val="0"/>
                <w:color w:val="auto"/>
                <w:kern w:val="0"/>
                <w:szCs w:val="21"/>
                <w:highlight w:val="none"/>
              </w:rPr>
            </w:pPr>
            <w:r>
              <w:rPr>
                <w:rFonts w:hint="default" w:ascii="Times New Roman" w:hAnsi="Times New Roman" w:eastAsia="宋体"/>
                <w:snapToGrid w:val="0"/>
                <w:color w:val="auto"/>
                <w:kern w:val="0"/>
                <w:szCs w:val="21"/>
                <w:highlight w:val="none"/>
              </w:rPr>
              <w:t>Lp(r</w:t>
            </w:r>
            <w:r>
              <w:rPr>
                <w:rFonts w:hint="default" w:ascii="Times New Roman" w:hAnsi="Times New Roman" w:eastAsia="宋体"/>
                <w:snapToGrid w:val="0"/>
                <w:color w:val="auto"/>
                <w:kern w:val="0"/>
                <w:szCs w:val="21"/>
                <w:highlight w:val="none"/>
                <w:vertAlign w:val="subscript"/>
              </w:rPr>
              <w:t>0</w:t>
            </w:r>
            <w:r>
              <w:rPr>
                <w:rFonts w:hint="default" w:ascii="Times New Roman" w:hAnsi="Times New Roman" w:eastAsia="宋体"/>
                <w:snapToGrid w:val="0"/>
                <w:color w:val="auto"/>
                <w:kern w:val="0"/>
                <w:szCs w:val="21"/>
                <w:highlight w:val="none"/>
              </w:rPr>
              <w:t>)——参考位置r</w:t>
            </w:r>
            <w:r>
              <w:rPr>
                <w:rFonts w:hint="default" w:ascii="Times New Roman" w:hAnsi="Times New Roman" w:eastAsia="宋体"/>
                <w:snapToGrid w:val="0"/>
                <w:color w:val="auto"/>
                <w:kern w:val="0"/>
                <w:szCs w:val="21"/>
                <w:highlight w:val="none"/>
                <w:vertAlign w:val="subscript"/>
              </w:rPr>
              <w:t>0</w:t>
            </w:r>
            <w:r>
              <w:rPr>
                <w:rFonts w:hint="default" w:ascii="Times New Roman" w:hAnsi="Times New Roman" w:eastAsia="宋体"/>
                <w:snapToGrid w:val="0"/>
                <w:color w:val="auto"/>
                <w:kern w:val="0"/>
                <w:szCs w:val="21"/>
                <w:highlight w:val="none"/>
              </w:rPr>
              <w:t>处的声压级，dB；</w:t>
            </w:r>
          </w:p>
          <w:p w14:paraId="72764366">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snapToGrid w:val="0"/>
                <w:color w:val="auto"/>
                <w:kern w:val="0"/>
                <w:szCs w:val="21"/>
                <w:highlight w:val="none"/>
              </w:rPr>
            </w:pPr>
            <w:r>
              <w:rPr>
                <w:rFonts w:hint="default" w:ascii="Times New Roman" w:hAnsi="Times New Roman" w:eastAsia="宋体"/>
                <w:snapToGrid w:val="0"/>
                <w:color w:val="auto"/>
                <w:kern w:val="0"/>
                <w:szCs w:val="21"/>
                <w:highlight w:val="none"/>
              </w:rPr>
              <w:t>D</w:t>
            </w:r>
            <w:r>
              <w:rPr>
                <w:rFonts w:hint="default" w:ascii="Times New Roman" w:hAnsi="Times New Roman" w:eastAsia="宋体"/>
                <w:snapToGrid w:val="0"/>
                <w:color w:val="auto"/>
                <w:kern w:val="0"/>
                <w:szCs w:val="21"/>
                <w:highlight w:val="none"/>
                <w:vertAlign w:val="subscript"/>
              </w:rPr>
              <w:t>C</w:t>
            </w:r>
            <w:r>
              <w:rPr>
                <w:rFonts w:hint="default" w:ascii="Times New Roman" w:hAnsi="Times New Roman" w:eastAsia="宋体"/>
                <w:snapToGrid w:val="0"/>
                <w:color w:val="auto"/>
                <w:kern w:val="0"/>
                <w:szCs w:val="21"/>
                <w:highlight w:val="none"/>
              </w:rPr>
              <w:t>——指向性校正，它描述点声源的等效连续声压级与产生声功率级Lw的全向点声源在规定方向的声级的偏差程度，dB；</w:t>
            </w:r>
          </w:p>
          <w:p w14:paraId="53D09892">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snapToGrid w:val="0"/>
                <w:color w:val="auto"/>
                <w:kern w:val="0"/>
                <w:szCs w:val="21"/>
                <w:highlight w:val="none"/>
              </w:rPr>
            </w:pPr>
            <w:r>
              <w:rPr>
                <w:rFonts w:hint="default" w:ascii="Times New Roman" w:hAnsi="Times New Roman" w:eastAsia="宋体"/>
                <w:snapToGrid w:val="0"/>
                <w:color w:val="auto"/>
                <w:kern w:val="0"/>
                <w:szCs w:val="21"/>
                <w:highlight w:val="none"/>
              </w:rPr>
              <w:t>A</w:t>
            </w:r>
            <w:r>
              <w:rPr>
                <w:rFonts w:hint="default" w:ascii="Times New Roman" w:hAnsi="Times New Roman" w:eastAsia="宋体"/>
                <w:snapToGrid w:val="0"/>
                <w:color w:val="auto"/>
                <w:kern w:val="0"/>
                <w:szCs w:val="21"/>
                <w:highlight w:val="none"/>
                <w:vertAlign w:val="subscript"/>
              </w:rPr>
              <w:t>div</w:t>
            </w:r>
            <w:r>
              <w:rPr>
                <w:rFonts w:hint="default" w:ascii="Times New Roman" w:hAnsi="Times New Roman" w:eastAsia="宋体"/>
                <w:snapToGrid w:val="0"/>
                <w:color w:val="auto"/>
                <w:kern w:val="0"/>
                <w:szCs w:val="21"/>
                <w:highlight w:val="none"/>
              </w:rPr>
              <w:t>——几何发散引起的衰减，dB；</w:t>
            </w:r>
          </w:p>
          <w:p w14:paraId="31BE43BA">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snapToGrid w:val="0"/>
                <w:color w:val="auto"/>
                <w:kern w:val="0"/>
                <w:szCs w:val="21"/>
                <w:highlight w:val="none"/>
              </w:rPr>
            </w:pPr>
            <w:r>
              <w:rPr>
                <w:rFonts w:hint="default" w:ascii="Times New Roman" w:hAnsi="Times New Roman" w:eastAsia="宋体"/>
                <w:snapToGrid w:val="0"/>
                <w:color w:val="auto"/>
                <w:kern w:val="0"/>
                <w:szCs w:val="21"/>
                <w:highlight w:val="none"/>
              </w:rPr>
              <w:t>A</w:t>
            </w:r>
            <w:r>
              <w:rPr>
                <w:rFonts w:hint="default" w:ascii="Times New Roman" w:hAnsi="Times New Roman" w:eastAsia="宋体"/>
                <w:snapToGrid w:val="0"/>
                <w:color w:val="auto"/>
                <w:kern w:val="0"/>
                <w:szCs w:val="21"/>
                <w:highlight w:val="none"/>
                <w:vertAlign w:val="subscript"/>
              </w:rPr>
              <w:t>atm</w:t>
            </w:r>
            <w:r>
              <w:rPr>
                <w:rFonts w:hint="default" w:ascii="Times New Roman" w:hAnsi="Times New Roman" w:eastAsia="宋体"/>
                <w:snapToGrid w:val="0"/>
                <w:color w:val="auto"/>
                <w:kern w:val="0"/>
                <w:szCs w:val="21"/>
                <w:highlight w:val="none"/>
              </w:rPr>
              <w:t>——大气吸收引起的衰减，dB；</w:t>
            </w:r>
          </w:p>
          <w:p w14:paraId="360A687A">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snapToGrid w:val="0"/>
                <w:color w:val="auto"/>
                <w:kern w:val="0"/>
                <w:szCs w:val="21"/>
                <w:highlight w:val="none"/>
              </w:rPr>
            </w:pPr>
            <w:r>
              <w:rPr>
                <w:rFonts w:hint="default" w:ascii="Times New Roman" w:hAnsi="Times New Roman" w:eastAsia="宋体"/>
                <w:snapToGrid w:val="0"/>
                <w:color w:val="auto"/>
                <w:kern w:val="0"/>
                <w:szCs w:val="21"/>
                <w:highlight w:val="none"/>
              </w:rPr>
              <w:t>A</w:t>
            </w:r>
            <w:r>
              <w:rPr>
                <w:rFonts w:hint="default" w:ascii="Times New Roman" w:hAnsi="Times New Roman" w:eastAsia="宋体"/>
                <w:snapToGrid w:val="0"/>
                <w:color w:val="auto"/>
                <w:kern w:val="0"/>
                <w:szCs w:val="21"/>
                <w:highlight w:val="none"/>
                <w:vertAlign w:val="subscript"/>
              </w:rPr>
              <w:t>gr</w:t>
            </w:r>
            <w:r>
              <w:rPr>
                <w:rFonts w:hint="default" w:ascii="Times New Roman" w:hAnsi="Times New Roman" w:eastAsia="宋体"/>
                <w:snapToGrid w:val="0"/>
                <w:color w:val="auto"/>
                <w:kern w:val="0"/>
                <w:szCs w:val="21"/>
                <w:highlight w:val="none"/>
              </w:rPr>
              <w:t>——地面效应引起的衰减，dB；</w:t>
            </w:r>
          </w:p>
          <w:p w14:paraId="3E8C1558">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snapToGrid w:val="0"/>
                <w:color w:val="auto"/>
                <w:kern w:val="0"/>
                <w:szCs w:val="21"/>
                <w:highlight w:val="none"/>
              </w:rPr>
            </w:pPr>
            <w:r>
              <w:rPr>
                <w:rFonts w:hint="default" w:ascii="Times New Roman" w:hAnsi="Times New Roman" w:eastAsia="宋体"/>
                <w:snapToGrid w:val="0"/>
                <w:color w:val="auto"/>
                <w:kern w:val="0"/>
                <w:szCs w:val="21"/>
                <w:highlight w:val="none"/>
              </w:rPr>
              <w:t>A</w:t>
            </w:r>
            <w:r>
              <w:rPr>
                <w:rFonts w:hint="default" w:ascii="Times New Roman" w:hAnsi="Times New Roman" w:eastAsia="宋体"/>
                <w:snapToGrid w:val="0"/>
                <w:color w:val="auto"/>
                <w:kern w:val="0"/>
                <w:szCs w:val="21"/>
                <w:highlight w:val="none"/>
                <w:vertAlign w:val="subscript"/>
              </w:rPr>
              <w:t>bar</w:t>
            </w:r>
            <w:r>
              <w:rPr>
                <w:rFonts w:hint="default" w:ascii="Times New Roman" w:hAnsi="Times New Roman" w:eastAsia="宋体"/>
                <w:snapToGrid w:val="0"/>
                <w:color w:val="auto"/>
                <w:kern w:val="0"/>
                <w:szCs w:val="21"/>
                <w:highlight w:val="none"/>
              </w:rPr>
              <w:t>——障碍物屏蔽引起的衰减，dB；</w:t>
            </w:r>
          </w:p>
          <w:p w14:paraId="4C7A86D1">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snapToGrid w:val="0"/>
                <w:color w:val="auto"/>
                <w:kern w:val="0"/>
                <w:szCs w:val="21"/>
                <w:highlight w:val="none"/>
              </w:rPr>
            </w:pPr>
            <w:r>
              <w:rPr>
                <w:rFonts w:hint="default" w:ascii="Times New Roman" w:hAnsi="Times New Roman" w:eastAsia="宋体"/>
                <w:snapToGrid w:val="0"/>
                <w:color w:val="auto"/>
                <w:kern w:val="0"/>
                <w:szCs w:val="21"/>
                <w:highlight w:val="none"/>
              </w:rPr>
              <w:t>A</w:t>
            </w:r>
            <w:r>
              <w:rPr>
                <w:rFonts w:hint="default" w:ascii="Times New Roman" w:hAnsi="Times New Roman" w:eastAsia="宋体"/>
                <w:snapToGrid w:val="0"/>
                <w:color w:val="auto"/>
                <w:kern w:val="0"/>
                <w:szCs w:val="21"/>
                <w:highlight w:val="none"/>
                <w:vertAlign w:val="subscript"/>
              </w:rPr>
              <w:t>misc</w:t>
            </w:r>
            <w:r>
              <w:rPr>
                <w:rFonts w:hint="default" w:ascii="Times New Roman" w:hAnsi="Times New Roman" w:eastAsia="宋体"/>
                <w:snapToGrid w:val="0"/>
                <w:color w:val="auto"/>
                <w:kern w:val="0"/>
                <w:szCs w:val="21"/>
                <w:highlight w:val="none"/>
              </w:rPr>
              <w:t>——其他多方面效应引起的衰减，dB。</w:t>
            </w:r>
          </w:p>
          <w:p w14:paraId="2FC15BA2">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snapToGrid w:val="0"/>
                <w:color w:val="auto"/>
                <w:kern w:val="0"/>
                <w:szCs w:val="21"/>
                <w:highlight w:val="none"/>
              </w:rPr>
            </w:pPr>
            <w:r>
              <w:rPr>
                <w:rFonts w:hint="default" w:ascii="Times New Roman" w:hAnsi="Times New Roman" w:eastAsia="宋体"/>
                <w:snapToGrid w:val="0"/>
                <w:color w:val="auto"/>
                <w:kern w:val="0"/>
                <w:szCs w:val="21"/>
                <w:highlight w:val="none"/>
              </w:rPr>
              <w:t>项目中噪声源都按点声源处理，无指向性点声源几何发散衰减的基本公式是：</w:t>
            </w:r>
          </w:p>
          <w:p w14:paraId="3AB148E9">
            <w:pPr>
              <w:keepNext w:val="0"/>
              <w:keepLines w:val="0"/>
              <w:widowControl/>
              <w:suppressLineNumbers w:val="0"/>
              <w:adjustRightInd w:val="0"/>
              <w:snapToGrid w:val="0"/>
              <w:spacing w:before="0" w:beforeAutospacing="0" w:after="0" w:afterAutospacing="0" w:line="360" w:lineRule="auto"/>
              <w:ind w:left="0" w:right="0"/>
              <w:jc w:val="center"/>
              <w:rPr>
                <w:rFonts w:hint="default" w:ascii="Times New Roman" w:hAnsi="Times New Roman" w:eastAsia="宋体"/>
                <w:color w:val="auto"/>
                <w:highlight w:val="none"/>
              </w:rPr>
            </w:pPr>
            <w:r>
              <w:rPr>
                <w:rFonts w:hint="default" w:ascii="Times New Roman" w:hAnsi="Times New Roman" w:eastAsia="宋体"/>
                <w:color w:val="auto"/>
                <w:highlight w:val="none"/>
              </w:rPr>
              <w:drawing>
                <wp:inline distT="0" distB="0" distL="114300" distR="114300">
                  <wp:extent cx="2301240" cy="433705"/>
                  <wp:effectExtent l="0" t="0" r="3810" b="4445"/>
                  <wp:docPr id="2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8"/>
                          <pic:cNvPicPr>
                            <a:picLocks noChangeAspect="1"/>
                          </pic:cNvPicPr>
                        </pic:nvPicPr>
                        <pic:blipFill>
                          <a:blip r:embed="rId32"/>
                          <a:stretch>
                            <a:fillRect/>
                          </a:stretch>
                        </pic:blipFill>
                        <pic:spPr>
                          <a:xfrm>
                            <a:off x="0" y="0"/>
                            <a:ext cx="2301240" cy="433705"/>
                          </a:xfrm>
                          <a:prstGeom prst="rect">
                            <a:avLst/>
                          </a:prstGeom>
                          <a:noFill/>
                          <a:ln>
                            <a:noFill/>
                          </a:ln>
                        </pic:spPr>
                      </pic:pic>
                    </a:graphicData>
                  </a:graphic>
                </wp:inline>
              </w:drawing>
            </w:r>
          </w:p>
          <w:p w14:paraId="6FA2AF49">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snapToGrid w:val="0"/>
                <w:color w:val="auto"/>
                <w:kern w:val="0"/>
                <w:szCs w:val="21"/>
                <w:highlight w:val="none"/>
              </w:rPr>
            </w:pPr>
            <w:r>
              <w:rPr>
                <w:rFonts w:hint="default" w:ascii="Times New Roman" w:hAnsi="Times New Roman" w:eastAsia="宋体"/>
                <w:snapToGrid w:val="0"/>
                <w:color w:val="auto"/>
                <w:kern w:val="0"/>
                <w:szCs w:val="21"/>
                <w:highlight w:val="none"/>
              </w:rPr>
              <w:t>式中：</w:t>
            </w:r>
          </w:p>
          <w:p w14:paraId="4F6473D3">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snapToGrid w:val="0"/>
                <w:color w:val="auto"/>
                <w:kern w:val="0"/>
                <w:szCs w:val="21"/>
                <w:highlight w:val="none"/>
              </w:rPr>
            </w:pPr>
            <w:r>
              <w:rPr>
                <w:rFonts w:hint="default" w:ascii="Times New Roman" w:hAnsi="Times New Roman" w:eastAsia="宋体"/>
                <w:snapToGrid w:val="0"/>
                <w:color w:val="auto"/>
                <w:kern w:val="0"/>
                <w:szCs w:val="21"/>
                <w:highlight w:val="none"/>
              </w:rPr>
              <w:t>L</w:t>
            </w:r>
            <w:r>
              <w:rPr>
                <w:rFonts w:hint="default" w:ascii="Times New Roman" w:hAnsi="Times New Roman" w:eastAsia="宋体"/>
                <w:snapToGrid w:val="0"/>
                <w:color w:val="auto"/>
                <w:kern w:val="0"/>
                <w:szCs w:val="21"/>
                <w:highlight w:val="none"/>
                <w:vertAlign w:val="subscript"/>
              </w:rPr>
              <w:t>p</w:t>
            </w:r>
            <w:r>
              <w:rPr>
                <w:rFonts w:hint="default" w:ascii="Times New Roman" w:hAnsi="Times New Roman" w:eastAsia="宋体"/>
                <w:snapToGrid w:val="0"/>
                <w:color w:val="auto"/>
                <w:kern w:val="0"/>
                <w:szCs w:val="21"/>
                <w:highlight w:val="none"/>
              </w:rPr>
              <w:t>(r)——预测点处声压级，dB；</w:t>
            </w:r>
          </w:p>
          <w:p w14:paraId="07AD9A31">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snapToGrid w:val="0"/>
                <w:color w:val="auto"/>
                <w:kern w:val="0"/>
                <w:szCs w:val="21"/>
                <w:highlight w:val="none"/>
              </w:rPr>
            </w:pPr>
            <w:r>
              <w:rPr>
                <w:rFonts w:hint="default" w:ascii="Times New Roman" w:hAnsi="Times New Roman" w:eastAsia="宋体"/>
                <w:snapToGrid w:val="0"/>
                <w:color w:val="auto"/>
                <w:kern w:val="0"/>
                <w:szCs w:val="21"/>
                <w:highlight w:val="none"/>
              </w:rPr>
              <w:t>L</w:t>
            </w:r>
            <w:r>
              <w:rPr>
                <w:rFonts w:hint="default" w:ascii="Times New Roman" w:hAnsi="Times New Roman" w:eastAsia="宋体"/>
                <w:snapToGrid w:val="0"/>
                <w:color w:val="auto"/>
                <w:kern w:val="0"/>
                <w:szCs w:val="21"/>
                <w:highlight w:val="none"/>
                <w:vertAlign w:val="subscript"/>
              </w:rPr>
              <w:t>p</w:t>
            </w:r>
            <w:r>
              <w:rPr>
                <w:rFonts w:hint="default" w:ascii="Times New Roman" w:hAnsi="Times New Roman" w:eastAsia="宋体"/>
                <w:snapToGrid w:val="0"/>
                <w:color w:val="auto"/>
                <w:kern w:val="0"/>
                <w:szCs w:val="21"/>
                <w:highlight w:val="none"/>
              </w:rPr>
              <w:t>(r</w:t>
            </w:r>
            <w:r>
              <w:rPr>
                <w:rFonts w:hint="default" w:ascii="Times New Roman" w:hAnsi="Times New Roman" w:eastAsia="宋体"/>
                <w:snapToGrid w:val="0"/>
                <w:color w:val="auto"/>
                <w:kern w:val="0"/>
                <w:szCs w:val="21"/>
                <w:highlight w:val="none"/>
                <w:vertAlign w:val="subscript"/>
              </w:rPr>
              <w:t>0</w:t>
            </w:r>
            <w:r>
              <w:rPr>
                <w:rFonts w:hint="default" w:ascii="Times New Roman" w:hAnsi="Times New Roman" w:eastAsia="宋体"/>
                <w:snapToGrid w:val="0"/>
                <w:color w:val="auto"/>
                <w:kern w:val="0"/>
                <w:szCs w:val="21"/>
                <w:highlight w:val="none"/>
              </w:rPr>
              <w:t>)——参考位置r</w:t>
            </w:r>
            <w:r>
              <w:rPr>
                <w:rFonts w:hint="default" w:ascii="Times New Roman" w:hAnsi="Times New Roman" w:eastAsia="宋体"/>
                <w:snapToGrid w:val="0"/>
                <w:color w:val="auto"/>
                <w:kern w:val="0"/>
                <w:szCs w:val="21"/>
                <w:highlight w:val="none"/>
                <w:vertAlign w:val="subscript"/>
              </w:rPr>
              <w:t>0</w:t>
            </w:r>
            <w:r>
              <w:rPr>
                <w:rFonts w:hint="default" w:ascii="Times New Roman" w:hAnsi="Times New Roman" w:eastAsia="宋体"/>
                <w:snapToGrid w:val="0"/>
                <w:color w:val="auto"/>
                <w:kern w:val="0"/>
                <w:szCs w:val="21"/>
                <w:highlight w:val="none"/>
              </w:rPr>
              <w:t>处的声压级，dB；</w:t>
            </w:r>
          </w:p>
          <w:p w14:paraId="32CC38EF">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snapToGrid w:val="0"/>
                <w:color w:val="auto"/>
                <w:kern w:val="0"/>
                <w:szCs w:val="21"/>
                <w:highlight w:val="none"/>
              </w:rPr>
            </w:pPr>
            <w:r>
              <w:rPr>
                <w:rFonts w:hint="default" w:ascii="Times New Roman" w:hAnsi="Times New Roman" w:eastAsia="宋体"/>
                <w:snapToGrid w:val="0"/>
                <w:color w:val="auto"/>
                <w:kern w:val="0"/>
                <w:szCs w:val="21"/>
                <w:highlight w:val="none"/>
              </w:rPr>
              <w:t>r——预测点距声源的距离；</w:t>
            </w:r>
          </w:p>
          <w:p w14:paraId="64C3BC47">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snapToGrid w:val="0"/>
                <w:color w:val="auto"/>
                <w:kern w:val="0"/>
                <w:szCs w:val="21"/>
                <w:highlight w:val="none"/>
              </w:rPr>
            </w:pPr>
            <w:r>
              <w:rPr>
                <w:rFonts w:hint="default" w:ascii="Times New Roman" w:hAnsi="Times New Roman" w:eastAsia="宋体"/>
                <w:snapToGrid w:val="0"/>
                <w:color w:val="auto"/>
                <w:kern w:val="0"/>
                <w:szCs w:val="21"/>
                <w:highlight w:val="none"/>
              </w:rPr>
              <w:t>r</w:t>
            </w:r>
            <w:r>
              <w:rPr>
                <w:rFonts w:hint="default" w:ascii="Times New Roman" w:hAnsi="Times New Roman" w:eastAsia="宋体"/>
                <w:snapToGrid w:val="0"/>
                <w:color w:val="auto"/>
                <w:kern w:val="0"/>
                <w:szCs w:val="21"/>
                <w:highlight w:val="none"/>
                <w:vertAlign w:val="subscript"/>
              </w:rPr>
              <w:t>0</w:t>
            </w:r>
            <w:r>
              <w:rPr>
                <w:rFonts w:hint="default" w:ascii="Times New Roman" w:hAnsi="Times New Roman" w:eastAsia="宋体"/>
                <w:snapToGrid w:val="0"/>
                <w:color w:val="auto"/>
                <w:kern w:val="0"/>
                <w:szCs w:val="21"/>
                <w:highlight w:val="none"/>
              </w:rPr>
              <w:t>——参考位置距声源的距离。</w:t>
            </w:r>
          </w:p>
          <w:p w14:paraId="2A6D2953">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snapToGrid w:val="0"/>
                <w:color w:val="auto"/>
                <w:kern w:val="0"/>
                <w:szCs w:val="21"/>
                <w:highlight w:val="none"/>
              </w:rPr>
            </w:pPr>
            <w:r>
              <w:rPr>
                <w:rFonts w:hint="eastAsia" w:ascii="Times New Roman" w:hAnsi="Times New Roman" w:eastAsia="宋体" w:cs="宋体"/>
                <w:snapToGrid w:val="0"/>
                <w:color w:val="auto"/>
                <w:kern w:val="0"/>
                <w:szCs w:val="21"/>
                <w:highlight w:val="none"/>
              </w:rPr>
              <w:t>③</w:t>
            </w:r>
            <w:r>
              <w:rPr>
                <w:rFonts w:hint="default" w:ascii="Times New Roman" w:hAnsi="Times New Roman" w:eastAsia="宋体"/>
                <w:snapToGrid w:val="0"/>
                <w:color w:val="auto"/>
                <w:kern w:val="0"/>
                <w:szCs w:val="21"/>
                <w:highlight w:val="none"/>
              </w:rPr>
              <w:t>噪声贡献值计算公式</w:t>
            </w:r>
          </w:p>
          <w:p w14:paraId="51C512D8">
            <w:pPr>
              <w:keepNext w:val="0"/>
              <w:keepLines w:val="0"/>
              <w:widowControl/>
              <w:suppressLineNumbers w:val="0"/>
              <w:adjustRightInd w:val="0"/>
              <w:snapToGrid w:val="0"/>
              <w:spacing w:before="0" w:beforeAutospacing="0" w:after="0" w:afterAutospacing="0" w:line="360" w:lineRule="auto"/>
              <w:ind w:left="0" w:right="0"/>
              <w:jc w:val="center"/>
              <w:rPr>
                <w:rFonts w:hint="default" w:ascii="Times New Roman" w:hAnsi="Times New Roman" w:eastAsia="宋体"/>
                <w:color w:val="auto"/>
                <w:highlight w:val="none"/>
              </w:rPr>
            </w:pPr>
            <w:r>
              <w:rPr>
                <w:rFonts w:hint="default" w:ascii="Times New Roman" w:hAnsi="Times New Roman" w:eastAsia="宋体"/>
                <w:color w:val="auto"/>
                <w:highlight w:val="none"/>
              </w:rPr>
              <w:drawing>
                <wp:inline distT="0" distB="0" distL="114300" distR="114300">
                  <wp:extent cx="2305685" cy="572770"/>
                  <wp:effectExtent l="0" t="0" r="18415" b="17780"/>
                  <wp:docPr id="3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9"/>
                          <pic:cNvPicPr>
                            <a:picLocks noChangeAspect="1"/>
                          </pic:cNvPicPr>
                        </pic:nvPicPr>
                        <pic:blipFill>
                          <a:blip r:embed="rId33"/>
                          <a:stretch>
                            <a:fillRect/>
                          </a:stretch>
                        </pic:blipFill>
                        <pic:spPr>
                          <a:xfrm>
                            <a:off x="0" y="0"/>
                            <a:ext cx="2305685" cy="572770"/>
                          </a:xfrm>
                          <a:prstGeom prst="rect">
                            <a:avLst/>
                          </a:prstGeom>
                          <a:noFill/>
                          <a:ln>
                            <a:noFill/>
                          </a:ln>
                        </pic:spPr>
                      </pic:pic>
                    </a:graphicData>
                  </a:graphic>
                </wp:inline>
              </w:drawing>
            </w:r>
          </w:p>
          <w:p w14:paraId="63088CD5">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snapToGrid w:val="0"/>
                <w:color w:val="auto"/>
                <w:kern w:val="0"/>
                <w:szCs w:val="21"/>
                <w:highlight w:val="none"/>
              </w:rPr>
            </w:pPr>
            <w:r>
              <w:rPr>
                <w:rFonts w:hint="default" w:ascii="Times New Roman" w:hAnsi="Times New Roman" w:eastAsia="宋体"/>
                <w:snapToGrid w:val="0"/>
                <w:color w:val="auto"/>
                <w:kern w:val="0"/>
                <w:szCs w:val="21"/>
                <w:highlight w:val="none"/>
              </w:rPr>
              <w:t>式中：</w:t>
            </w:r>
          </w:p>
          <w:p w14:paraId="38614A36">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snapToGrid w:val="0"/>
                <w:color w:val="auto"/>
                <w:kern w:val="0"/>
                <w:szCs w:val="21"/>
                <w:highlight w:val="none"/>
              </w:rPr>
            </w:pPr>
            <w:r>
              <w:rPr>
                <w:rFonts w:hint="default" w:ascii="Times New Roman" w:hAnsi="Times New Roman" w:eastAsia="宋体"/>
                <w:snapToGrid w:val="0"/>
                <w:color w:val="auto"/>
                <w:kern w:val="0"/>
                <w:szCs w:val="21"/>
                <w:highlight w:val="none"/>
              </w:rPr>
              <w:t>L</w:t>
            </w:r>
            <w:r>
              <w:rPr>
                <w:rFonts w:hint="default" w:ascii="Times New Roman" w:hAnsi="Times New Roman" w:eastAsia="宋体"/>
                <w:snapToGrid w:val="0"/>
                <w:color w:val="auto"/>
                <w:kern w:val="0"/>
                <w:szCs w:val="21"/>
                <w:highlight w:val="none"/>
                <w:vertAlign w:val="subscript"/>
              </w:rPr>
              <w:t>eqg</w:t>
            </w:r>
            <w:r>
              <w:rPr>
                <w:rFonts w:hint="default" w:ascii="Times New Roman" w:hAnsi="Times New Roman" w:eastAsia="宋体"/>
                <w:snapToGrid w:val="0"/>
                <w:color w:val="auto"/>
                <w:kern w:val="0"/>
                <w:szCs w:val="21"/>
                <w:highlight w:val="none"/>
              </w:rPr>
              <w:t>——建设项目声源在预测点产生的噪声贡献值，dB；</w:t>
            </w:r>
          </w:p>
          <w:p w14:paraId="448FDB6D">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snapToGrid w:val="0"/>
                <w:color w:val="auto"/>
                <w:kern w:val="0"/>
                <w:szCs w:val="21"/>
                <w:highlight w:val="none"/>
              </w:rPr>
            </w:pPr>
            <w:r>
              <w:rPr>
                <w:rFonts w:hint="default" w:ascii="Times New Roman" w:hAnsi="Times New Roman" w:eastAsia="宋体"/>
                <w:snapToGrid w:val="0"/>
                <w:color w:val="auto"/>
                <w:kern w:val="0"/>
                <w:szCs w:val="21"/>
                <w:highlight w:val="none"/>
              </w:rPr>
              <w:t>T——用于计算等效声级的时间，s；</w:t>
            </w:r>
          </w:p>
          <w:p w14:paraId="37ED0A8B">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snapToGrid w:val="0"/>
                <w:color w:val="auto"/>
                <w:kern w:val="0"/>
                <w:szCs w:val="21"/>
                <w:highlight w:val="none"/>
              </w:rPr>
            </w:pPr>
            <w:r>
              <w:rPr>
                <w:rFonts w:hint="default" w:ascii="Times New Roman" w:hAnsi="Times New Roman" w:eastAsia="宋体"/>
                <w:snapToGrid w:val="0"/>
                <w:color w:val="auto"/>
                <w:kern w:val="0"/>
                <w:szCs w:val="21"/>
                <w:highlight w:val="none"/>
              </w:rPr>
              <w:t>N——室外声源个数；</w:t>
            </w:r>
          </w:p>
          <w:p w14:paraId="75D6D7D7">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snapToGrid w:val="0"/>
                <w:color w:val="auto"/>
                <w:kern w:val="0"/>
                <w:szCs w:val="21"/>
                <w:highlight w:val="none"/>
              </w:rPr>
            </w:pPr>
            <w:r>
              <w:rPr>
                <w:rFonts w:hint="default" w:ascii="Times New Roman" w:hAnsi="Times New Roman" w:eastAsia="宋体"/>
                <w:snapToGrid w:val="0"/>
                <w:color w:val="auto"/>
                <w:kern w:val="0"/>
                <w:szCs w:val="21"/>
                <w:highlight w:val="none"/>
              </w:rPr>
              <w:t>t</w:t>
            </w:r>
            <w:r>
              <w:rPr>
                <w:rFonts w:hint="default" w:ascii="Times New Roman" w:hAnsi="Times New Roman" w:eastAsia="宋体"/>
                <w:snapToGrid w:val="0"/>
                <w:color w:val="auto"/>
                <w:kern w:val="0"/>
                <w:szCs w:val="21"/>
                <w:highlight w:val="none"/>
                <w:vertAlign w:val="subscript"/>
              </w:rPr>
              <w:t>i</w:t>
            </w:r>
            <w:r>
              <w:rPr>
                <w:rFonts w:hint="default" w:ascii="Times New Roman" w:hAnsi="Times New Roman" w:eastAsia="宋体"/>
                <w:snapToGrid w:val="0"/>
                <w:color w:val="auto"/>
                <w:kern w:val="0"/>
                <w:szCs w:val="21"/>
                <w:highlight w:val="none"/>
              </w:rPr>
              <w:t>——在T时间内i声源工作时间，s；</w:t>
            </w:r>
          </w:p>
          <w:p w14:paraId="1CD6A9B7">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snapToGrid w:val="0"/>
                <w:color w:val="auto"/>
                <w:kern w:val="0"/>
                <w:szCs w:val="21"/>
                <w:highlight w:val="none"/>
              </w:rPr>
            </w:pPr>
            <w:r>
              <w:rPr>
                <w:rFonts w:hint="default" w:ascii="Times New Roman" w:hAnsi="Times New Roman" w:eastAsia="宋体"/>
                <w:snapToGrid w:val="0"/>
                <w:color w:val="auto"/>
                <w:kern w:val="0"/>
                <w:szCs w:val="21"/>
                <w:highlight w:val="none"/>
              </w:rPr>
              <w:t>M——等效室外声源个</w:t>
            </w:r>
          </w:p>
          <w:p w14:paraId="50DE0BBE">
            <w:pPr>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snapToGrid w:val="0"/>
                <w:color w:val="auto"/>
                <w:kern w:val="0"/>
                <w:szCs w:val="21"/>
                <w:highlight w:val="none"/>
              </w:rPr>
              <w:t>t</w:t>
            </w:r>
            <w:r>
              <w:rPr>
                <w:rFonts w:hint="default" w:ascii="Times New Roman" w:hAnsi="Times New Roman" w:eastAsia="宋体"/>
                <w:snapToGrid w:val="0"/>
                <w:color w:val="auto"/>
                <w:kern w:val="0"/>
                <w:szCs w:val="21"/>
                <w:highlight w:val="none"/>
                <w:vertAlign w:val="subscript"/>
              </w:rPr>
              <w:t>j</w:t>
            </w:r>
            <w:r>
              <w:rPr>
                <w:rFonts w:hint="default" w:ascii="Times New Roman" w:hAnsi="Times New Roman" w:eastAsia="宋体"/>
                <w:snapToGrid w:val="0"/>
                <w:color w:val="auto"/>
                <w:kern w:val="0"/>
                <w:szCs w:val="21"/>
                <w:highlight w:val="none"/>
              </w:rPr>
              <w:t>——在T时间内j声源工作时间，s</w:t>
            </w:r>
            <w:r>
              <w:rPr>
                <w:rFonts w:hint="eastAsia" w:ascii="Times New Roman" w:hAnsi="Times New Roman" w:eastAsia="宋体"/>
                <w:color w:val="auto"/>
                <w:highlight w:val="none"/>
              </w:rPr>
              <w:t>。</w:t>
            </w:r>
          </w:p>
          <w:p w14:paraId="6A07C525">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rPr>
            </w:pPr>
            <w:r>
              <w:rPr>
                <w:rFonts w:hint="eastAsia" w:ascii="Times New Roman" w:hAnsi="Times New Roman" w:eastAsia="宋体"/>
                <w:color w:val="auto"/>
                <w:highlight w:val="none"/>
              </w:rPr>
              <w:t>2）噪声预测结果及评价</w:t>
            </w:r>
          </w:p>
          <w:p w14:paraId="4723190D">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rPr>
            </w:pPr>
            <w:r>
              <w:rPr>
                <w:rFonts w:hint="eastAsia" w:ascii="Times New Roman" w:hAnsi="Times New Roman" w:eastAsia="宋体"/>
                <w:color w:val="auto"/>
                <w:highlight w:val="none"/>
              </w:rPr>
              <w:t>经预测，本项目高噪声设备在厂界环境噪声</w:t>
            </w:r>
            <w:r>
              <w:rPr>
                <w:rFonts w:hint="eastAsia" w:ascii="Times New Roman" w:hAnsi="Times New Roman" w:eastAsia="宋体"/>
                <w:color w:val="auto"/>
                <w:highlight w:val="none"/>
                <w:lang w:val="en-US" w:eastAsia="zh-CN"/>
              </w:rPr>
              <w:t>影响</w:t>
            </w:r>
            <w:r>
              <w:rPr>
                <w:rFonts w:hint="eastAsia" w:ascii="Times New Roman" w:hAnsi="Times New Roman" w:eastAsia="宋体"/>
                <w:color w:val="auto"/>
                <w:highlight w:val="none"/>
              </w:rPr>
              <w:t>见下表：</w:t>
            </w:r>
          </w:p>
          <w:p w14:paraId="2884D4D3">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ascii="Times New Roman" w:hAnsi="Times New Roman" w:eastAsia="宋体"/>
                <w:color w:val="auto"/>
                <w:highlight w:val="none"/>
              </w:rPr>
              <w:t>表4-1</w:t>
            </w:r>
            <w:r>
              <w:rPr>
                <w:rFonts w:hint="eastAsia"/>
                <w:color w:val="auto"/>
                <w:highlight w:val="none"/>
                <w:lang w:val="en-US" w:eastAsia="zh-CN"/>
              </w:rPr>
              <w:t>6</w:t>
            </w:r>
            <w:r>
              <w:rPr>
                <w:rFonts w:ascii="Times New Roman" w:hAnsi="Times New Roman" w:eastAsia="宋体"/>
                <w:color w:val="auto"/>
                <w:highlight w:val="none"/>
              </w:rPr>
              <w:t>厂界噪声昼间预测结果</w:t>
            </w:r>
            <w:r>
              <w:rPr>
                <w:rFonts w:ascii="Times New Roman" w:hAnsi="Times New Roman" w:eastAsia="宋体"/>
                <w:color w:val="auto"/>
                <w:sz w:val="21"/>
                <w:szCs w:val="21"/>
                <w:highlight w:val="none"/>
              </w:rPr>
              <w:t>单位：dB(A)</w:t>
            </w:r>
          </w:p>
          <w:tbl>
            <w:tblPr>
              <w:tblStyle w:val="16"/>
              <w:tblW w:w="5000" w:type="pct"/>
              <w:jc w:val="center"/>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shd w:val="clear" w:color="auto" w:fill="auto"/>
              <w:tblLayout w:type="fixed"/>
              <w:tblCellMar>
                <w:top w:w="0" w:type="dxa"/>
                <w:left w:w="28" w:type="dxa"/>
                <w:bottom w:w="0" w:type="dxa"/>
                <w:right w:w="28" w:type="dxa"/>
              </w:tblCellMar>
            </w:tblPr>
            <w:tblGrid>
              <w:gridCol w:w="583"/>
              <w:gridCol w:w="1380"/>
              <w:gridCol w:w="914"/>
              <w:gridCol w:w="880"/>
              <w:gridCol w:w="1157"/>
              <w:gridCol w:w="880"/>
              <w:gridCol w:w="1203"/>
              <w:gridCol w:w="825"/>
            </w:tblGrid>
            <w:tr w14:paraId="49EDEC9A">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shd w:val="clear" w:color="auto" w:fill="auto"/>
                <w:tblCellMar>
                  <w:top w:w="0" w:type="dxa"/>
                  <w:left w:w="28" w:type="dxa"/>
                  <w:bottom w:w="0" w:type="dxa"/>
                  <w:right w:w="28" w:type="dxa"/>
                </w:tblCellMar>
              </w:tblPrEx>
              <w:trPr>
                <w:trHeight w:val="340" w:hRule="atLeast"/>
                <w:jc w:val="center"/>
              </w:trPr>
              <w:tc>
                <w:tcPr>
                  <w:tcW w:w="373" w:type="pct"/>
                  <w:vMerge w:val="restart"/>
                  <w:tcBorders>
                    <w:tl2br w:val="nil"/>
                    <w:tr2bl w:val="nil"/>
                  </w:tcBorders>
                  <w:shd w:val="clear" w:color="auto" w:fill="auto"/>
                  <w:vAlign w:val="center"/>
                </w:tcPr>
                <w:p w14:paraId="1CEDC1CE">
                  <w:pPr>
                    <w:pStyle w:val="21"/>
                    <w:keepNext w:val="0"/>
                    <w:keepLines w:val="0"/>
                    <w:suppressLineNumbers w:val="0"/>
                    <w:spacing w:before="0" w:beforeAutospacing="0" w:after="0" w:afterAutospacing="0"/>
                    <w:ind w:left="0" w:right="0"/>
                    <w:rPr>
                      <w:rFonts w:hint="eastAsia" w:ascii="Times New Roman" w:hAnsi="Times New Roman" w:eastAsia="宋体"/>
                      <w:b/>
                      <w:bCs/>
                      <w:color w:val="auto"/>
                      <w:highlight w:val="none"/>
                    </w:rPr>
                  </w:pPr>
                  <w:r>
                    <w:rPr>
                      <w:rFonts w:hint="default" w:ascii="Times New Roman" w:hAnsi="Times New Roman" w:eastAsia="宋体"/>
                      <w:b/>
                      <w:bCs/>
                      <w:color w:val="auto"/>
                      <w:highlight w:val="none"/>
                      <w:lang w:val="en-US" w:eastAsia="zh-CN"/>
                    </w:rPr>
                    <w:t>序号</w:t>
                  </w:r>
                </w:p>
              </w:tc>
              <w:tc>
                <w:tcPr>
                  <w:tcW w:w="882" w:type="pct"/>
                  <w:vMerge w:val="restart"/>
                  <w:tcBorders>
                    <w:tl2br w:val="nil"/>
                    <w:tr2bl w:val="nil"/>
                  </w:tcBorders>
                  <w:shd w:val="clear" w:color="auto" w:fill="auto"/>
                  <w:vAlign w:val="center"/>
                </w:tcPr>
                <w:p w14:paraId="0336CD2D">
                  <w:pPr>
                    <w:pStyle w:val="21"/>
                    <w:keepNext w:val="0"/>
                    <w:keepLines w:val="0"/>
                    <w:suppressLineNumbers w:val="0"/>
                    <w:spacing w:before="0" w:beforeAutospacing="0" w:after="0" w:afterAutospacing="0"/>
                    <w:ind w:left="0" w:right="0"/>
                    <w:rPr>
                      <w:rFonts w:hint="eastAsia" w:ascii="Times New Roman" w:hAnsi="Times New Roman" w:eastAsia="宋体"/>
                      <w:b/>
                      <w:bCs/>
                      <w:color w:val="auto"/>
                      <w:highlight w:val="none"/>
                    </w:rPr>
                  </w:pPr>
                  <w:r>
                    <w:rPr>
                      <w:rFonts w:hint="eastAsia"/>
                      <w:b/>
                      <w:bCs/>
                      <w:color w:val="auto"/>
                      <w:highlight w:val="none"/>
                      <w:lang w:val="en-US" w:eastAsia="zh-CN"/>
                    </w:rPr>
                    <w:t>关心点</w:t>
                  </w:r>
                  <w:r>
                    <w:rPr>
                      <w:rFonts w:hint="default" w:ascii="Times New Roman" w:hAnsi="Times New Roman" w:eastAsia="宋体"/>
                      <w:b/>
                      <w:bCs/>
                      <w:color w:val="auto"/>
                      <w:highlight w:val="none"/>
                      <w:lang w:val="en-US" w:eastAsia="zh-CN"/>
                    </w:rPr>
                    <w:t>名称</w:t>
                  </w:r>
                </w:p>
              </w:tc>
              <w:tc>
                <w:tcPr>
                  <w:tcW w:w="1146" w:type="pct"/>
                  <w:gridSpan w:val="2"/>
                  <w:tcBorders>
                    <w:tl2br w:val="nil"/>
                    <w:tr2bl w:val="nil"/>
                  </w:tcBorders>
                  <w:shd w:val="clear" w:color="auto" w:fill="auto"/>
                  <w:vAlign w:val="center"/>
                </w:tcPr>
                <w:p w14:paraId="64776257">
                  <w:pPr>
                    <w:pStyle w:val="21"/>
                    <w:keepNext w:val="0"/>
                    <w:keepLines w:val="0"/>
                    <w:suppressLineNumbers w:val="0"/>
                    <w:spacing w:before="0" w:beforeAutospacing="0" w:after="0" w:afterAutospacing="0"/>
                    <w:ind w:left="0" w:right="0"/>
                    <w:rPr>
                      <w:rFonts w:hint="eastAsia" w:ascii="Times New Roman" w:hAnsi="Times New Roman" w:eastAsia="宋体"/>
                      <w:b/>
                      <w:bCs/>
                      <w:color w:val="auto"/>
                      <w:highlight w:val="none"/>
                    </w:rPr>
                  </w:pPr>
                  <w:r>
                    <w:rPr>
                      <w:rFonts w:hint="default" w:ascii="Times New Roman" w:hAnsi="Times New Roman" w:eastAsia="宋体"/>
                      <w:b/>
                      <w:bCs/>
                      <w:color w:val="auto"/>
                      <w:highlight w:val="none"/>
                      <w:lang w:val="en-US" w:eastAsia="zh-CN"/>
                    </w:rPr>
                    <w:t>噪声贡献值</w:t>
                  </w:r>
                </w:p>
              </w:tc>
              <w:tc>
                <w:tcPr>
                  <w:tcW w:w="1301" w:type="pct"/>
                  <w:gridSpan w:val="2"/>
                  <w:tcBorders>
                    <w:tl2br w:val="nil"/>
                    <w:tr2bl w:val="nil"/>
                  </w:tcBorders>
                  <w:shd w:val="clear" w:color="auto" w:fill="auto"/>
                  <w:vAlign w:val="center"/>
                </w:tcPr>
                <w:p w14:paraId="472B5F90">
                  <w:pPr>
                    <w:pStyle w:val="21"/>
                    <w:keepNext w:val="0"/>
                    <w:keepLines w:val="0"/>
                    <w:suppressLineNumbers w:val="0"/>
                    <w:spacing w:before="0" w:beforeAutospacing="0" w:after="0" w:afterAutospacing="0"/>
                    <w:ind w:left="0" w:right="0"/>
                    <w:rPr>
                      <w:rFonts w:hint="eastAsia" w:ascii="Times New Roman" w:hAnsi="Times New Roman" w:eastAsia="宋体"/>
                      <w:b/>
                      <w:bCs/>
                      <w:color w:val="auto"/>
                      <w:highlight w:val="none"/>
                    </w:rPr>
                  </w:pPr>
                  <w:r>
                    <w:rPr>
                      <w:rFonts w:hint="default" w:ascii="Times New Roman" w:hAnsi="Times New Roman" w:eastAsia="宋体"/>
                      <w:b/>
                      <w:bCs/>
                      <w:color w:val="auto"/>
                      <w:highlight w:val="none"/>
                      <w:lang w:val="en-US" w:eastAsia="zh-CN"/>
                    </w:rPr>
                    <w:t>噪声标准值</w:t>
                  </w:r>
                </w:p>
              </w:tc>
              <w:tc>
                <w:tcPr>
                  <w:tcW w:w="1296" w:type="pct"/>
                  <w:gridSpan w:val="2"/>
                  <w:tcBorders>
                    <w:tl2br w:val="nil"/>
                    <w:tr2bl w:val="nil"/>
                  </w:tcBorders>
                  <w:shd w:val="clear" w:color="auto" w:fill="auto"/>
                  <w:vAlign w:val="center"/>
                </w:tcPr>
                <w:p w14:paraId="069AA7E6">
                  <w:pPr>
                    <w:pStyle w:val="21"/>
                    <w:keepNext w:val="0"/>
                    <w:keepLines w:val="0"/>
                    <w:suppressLineNumbers w:val="0"/>
                    <w:spacing w:before="0" w:beforeAutospacing="0" w:after="0" w:afterAutospacing="0"/>
                    <w:ind w:left="0" w:right="0"/>
                    <w:rPr>
                      <w:rFonts w:hint="eastAsia" w:ascii="Times New Roman" w:hAnsi="Times New Roman" w:eastAsia="宋体"/>
                      <w:b/>
                      <w:bCs/>
                      <w:color w:val="auto"/>
                      <w:highlight w:val="none"/>
                    </w:rPr>
                  </w:pPr>
                  <w:r>
                    <w:rPr>
                      <w:rFonts w:hint="default" w:ascii="Times New Roman" w:hAnsi="Times New Roman" w:eastAsia="宋体"/>
                      <w:b/>
                      <w:bCs/>
                      <w:color w:val="auto"/>
                      <w:highlight w:val="none"/>
                      <w:lang w:val="en-US" w:eastAsia="zh-CN"/>
                    </w:rPr>
                    <w:t>达标情况</w:t>
                  </w:r>
                </w:p>
              </w:tc>
            </w:tr>
            <w:tr w14:paraId="040D5759">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shd w:val="clear" w:color="auto" w:fill="auto"/>
                <w:tblCellMar>
                  <w:top w:w="0" w:type="dxa"/>
                  <w:left w:w="28" w:type="dxa"/>
                  <w:bottom w:w="0" w:type="dxa"/>
                  <w:right w:w="28" w:type="dxa"/>
                </w:tblCellMar>
              </w:tblPrEx>
              <w:trPr>
                <w:trHeight w:val="340" w:hRule="atLeast"/>
                <w:jc w:val="center"/>
              </w:trPr>
              <w:tc>
                <w:tcPr>
                  <w:tcW w:w="373" w:type="pct"/>
                  <w:vMerge w:val="continue"/>
                  <w:tcBorders>
                    <w:tl2br w:val="nil"/>
                    <w:tr2bl w:val="nil"/>
                  </w:tcBorders>
                  <w:shd w:val="clear" w:color="auto" w:fill="auto"/>
                  <w:vAlign w:val="center"/>
                </w:tcPr>
                <w:p w14:paraId="58C9C5F6">
                  <w:pPr>
                    <w:pStyle w:val="21"/>
                    <w:keepNext w:val="0"/>
                    <w:keepLines w:val="0"/>
                    <w:suppressLineNumbers w:val="0"/>
                    <w:spacing w:before="0" w:beforeAutospacing="0" w:after="0" w:afterAutospacing="0"/>
                    <w:ind w:left="0" w:right="0"/>
                    <w:rPr>
                      <w:rFonts w:hint="eastAsia" w:ascii="Times New Roman" w:hAnsi="Times New Roman" w:eastAsia="宋体"/>
                      <w:b/>
                      <w:bCs/>
                      <w:color w:val="auto"/>
                      <w:highlight w:val="none"/>
                    </w:rPr>
                  </w:pPr>
                </w:p>
              </w:tc>
              <w:tc>
                <w:tcPr>
                  <w:tcW w:w="882" w:type="pct"/>
                  <w:vMerge w:val="continue"/>
                  <w:tcBorders>
                    <w:tl2br w:val="nil"/>
                    <w:tr2bl w:val="nil"/>
                  </w:tcBorders>
                  <w:shd w:val="clear" w:color="auto" w:fill="auto"/>
                  <w:vAlign w:val="center"/>
                </w:tcPr>
                <w:p w14:paraId="7AF4EDEB">
                  <w:pPr>
                    <w:pStyle w:val="21"/>
                    <w:keepNext w:val="0"/>
                    <w:keepLines w:val="0"/>
                    <w:suppressLineNumbers w:val="0"/>
                    <w:spacing w:before="0" w:beforeAutospacing="0" w:after="0" w:afterAutospacing="0"/>
                    <w:ind w:left="0" w:right="0"/>
                    <w:rPr>
                      <w:rFonts w:hint="eastAsia" w:ascii="Times New Roman" w:hAnsi="Times New Roman" w:eastAsia="宋体"/>
                      <w:b/>
                      <w:bCs/>
                      <w:color w:val="auto"/>
                      <w:highlight w:val="none"/>
                    </w:rPr>
                  </w:pPr>
                </w:p>
              </w:tc>
              <w:tc>
                <w:tcPr>
                  <w:tcW w:w="584" w:type="pct"/>
                  <w:tcBorders>
                    <w:tl2br w:val="nil"/>
                    <w:tr2bl w:val="nil"/>
                  </w:tcBorders>
                  <w:shd w:val="clear" w:color="auto" w:fill="auto"/>
                  <w:vAlign w:val="center"/>
                </w:tcPr>
                <w:p w14:paraId="11CEA0D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b/>
                      <w:bCs/>
                      <w:color w:val="auto"/>
                      <w:sz w:val="21"/>
                      <w:szCs w:val="24"/>
                      <w:highlight w:val="none"/>
                      <w:lang w:val="zh-CN" w:eastAsia="zh-CN" w:bidi="zh-CN"/>
                    </w:rPr>
                  </w:pPr>
                  <w:r>
                    <w:rPr>
                      <w:rFonts w:hint="default" w:ascii="Times New Roman" w:hAnsi="Times New Roman" w:eastAsia="宋体"/>
                      <w:b/>
                      <w:bCs/>
                      <w:color w:val="auto"/>
                      <w:highlight w:val="none"/>
                      <w:lang w:val="en-US" w:eastAsia="zh-CN"/>
                    </w:rPr>
                    <w:t>昼间</w:t>
                  </w:r>
                </w:p>
              </w:tc>
              <w:tc>
                <w:tcPr>
                  <w:tcW w:w="562" w:type="pct"/>
                  <w:tcBorders>
                    <w:tl2br w:val="nil"/>
                    <w:tr2bl w:val="nil"/>
                  </w:tcBorders>
                  <w:shd w:val="clear" w:color="auto" w:fill="auto"/>
                  <w:vAlign w:val="center"/>
                </w:tcPr>
                <w:p w14:paraId="34E0F710">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b/>
                      <w:bCs/>
                      <w:color w:val="auto"/>
                      <w:sz w:val="21"/>
                      <w:szCs w:val="24"/>
                      <w:highlight w:val="none"/>
                      <w:lang w:val="en-US" w:eastAsia="zh-CN" w:bidi="zh-CN"/>
                    </w:rPr>
                  </w:pPr>
                  <w:r>
                    <w:rPr>
                      <w:rFonts w:hint="eastAsia"/>
                      <w:b/>
                      <w:bCs/>
                      <w:color w:val="auto"/>
                      <w:highlight w:val="none"/>
                      <w:lang w:val="en-US" w:eastAsia="zh-CN"/>
                    </w:rPr>
                    <w:t>夜间</w:t>
                  </w:r>
                </w:p>
              </w:tc>
              <w:tc>
                <w:tcPr>
                  <w:tcW w:w="739" w:type="pct"/>
                  <w:tcBorders>
                    <w:tl2br w:val="nil"/>
                    <w:tr2bl w:val="nil"/>
                  </w:tcBorders>
                  <w:shd w:val="clear" w:color="auto" w:fill="auto"/>
                  <w:vAlign w:val="center"/>
                </w:tcPr>
                <w:p w14:paraId="03D6F9CE">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b/>
                      <w:bCs/>
                      <w:color w:val="auto"/>
                      <w:sz w:val="21"/>
                      <w:szCs w:val="24"/>
                      <w:highlight w:val="none"/>
                      <w:lang w:val="zh-CN" w:eastAsia="zh-CN" w:bidi="zh-CN"/>
                    </w:rPr>
                  </w:pPr>
                  <w:r>
                    <w:rPr>
                      <w:rFonts w:hint="default" w:ascii="Times New Roman" w:hAnsi="Times New Roman" w:eastAsia="宋体"/>
                      <w:b/>
                      <w:bCs/>
                      <w:color w:val="auto"/>
                      <w:highlight w:val="none"/>
                      <w:lang w:val="en-US" w:eastAsia="zh-CN"/>
                    </w:rPr>
                    <w:t>昼间</w:t>
                  </w:r>
                </w:p>
              </w:tc>
              <w:tc>
                <w:tcPr>
                  <w:tcW w:w="561" w:type="pct"/>
                  <w:tcBorders>
                    <w:tl2br w:val="nil"/>
                    <w:tr2bl w:val="nil"/>
                  </w:tcBorders>
                  <w:shd w:val="clear" w:color="auto" w:fill="auto"/>
                  <w:vAlign w:val="center"/>
                </w:tcPr>
                <w:p w14:paraId="2ED8E6FC">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b/>
                      <w:bCs/>
                      <w:color w:val="auto"/>
                      <w:sz w:val="21"/>
                      <w:szCs w:val="24"/>
                      <w:highlight w:val="none"/>
                      <w:lang w:val="en-US" w:eastAsia="zh-CN" w:bidi="zh-CN"/>
                    </w:rPr>
                  </w:pPr>
                  <w:r>
                    <w:rPr>
                      <w:rFonts w:hint="eastAsia"/>
                      <w:b/>
                      <w:bCs/>
                      <w:color w:val="auto"/>
                      <w:highlight w:val="none"/>
                      <w:lang w:val="en-US" w:eastAsia="zh-CN"/>
                    </w:rPr>
                    <w:t>夜间</w:t>
                  </w:r>
                </w:p>
              </w:tc>
              <w:tc>
                <w:tcPr>
                  <w:tcW w:w="769" w:type="pct"/>
                  <w:tcBorders>
                    <w:tl2br w:val="nil"/>
                    <w:tr2bl w:val="nil"/>
                  </w:tcBorders>
                  <w:shd w:val="clear" w:color="auto" w:fill="auto"/>
                  <w:vAlign w:val="center"/>
                </w:tcPr>
                <w:p w14:paraId="6544F9C6">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b/>
                      <w:bCs/>
                      <w:color w:val="auto"/>
                      <w:sz w:val="21"/>
                      <w:szCs w:val="24"/>
                      <w:highlight w:val="none"/>
                      <w:lang w:val="zh-CN" w:eastAsia="zh-CN" w:bidi="zh-CN"/>
                    </w:rPr>
                  </w:pPr>
                  <w:r>
                    <w:rPr>
                      <w:rFonts w:hint="default" w:ascii="Times New Roman" w:hAnsi="Times New Roman" w:eastAsia="宋体"/>
                      <w:b/>
                      <w:bCs/>
                      <w:color w:val="auto"/>
                      <w:highlight w:val="none"/>
                      <w:lang w:val="en-US" w:eastAsia="zh-CN"/>
                    </w:rPr>
                    <w:t>昼间</w:t>
                  </w:r>
                </w:p>
              </w:tc>
              <w:tc>
                <w:tcPr>
                  <w:tcW w:w="526" w:type="pct"/>
                  <w:tcBorders>
                    <w:tl2br w:val="nil"/>
                    <w:tr2bl w:val="nil"/>
                  </w:tcBorders>
                  <w:shd w:val="clear" w:color="auto" w:fill="auto"/>
                  <w:vAlign w:val="center"/>
                </w:tcPr>
                <w:p w14:paraId="687E38DA">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b/>
                      <w:bCs/>
                      <w:color w:val="auto"/>
                      <w:sz w:val="21"/>
                      <w:szCs w:val="24"/>
                      <w:highlight w:val="none"/>
                      <w:lang w:val="en-US" w:eastAsia="zh-CN" w:bidi="zh-CN"/>
                    </w:rPr>
                  </w:pPr>
                  <w:r>
                    <w:rPr>
                      <w:rFonts w:hint="eastAsia"/>
                      <w:b/>
                      <w:bCs/>
                      <w:color w:val="auto"/>
                      <w:highlight w:val="none"/>
                      <w:lang w:val="en-US" w:eastAsia="zh-CN"/>
                    </w:rPr>
                    <w:t>夜间</w:t>
                  </w:r>
                </w:p>
              </w:tc>
            </w:tr>
            <w:tr w14:paraId="56D90EEC">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shd w:val="clear" w:color="auto" w:fill="auto"/>
                <w:tblCellMar>
                  <w:top w:w="0" w:type="dxa"/>
                  <w:left w:w="28" w:type="dxa"/>
                  <w:bottom w:w="0" w:type="dxa"/>
                  <w:right w:w="28" w:type="dxa"/>
                </w:tblCellMar>
              </w:tblPrEx>
              <w:trPr>
                <w:trHeight w:val="340" w:hRule="atLeast"/>
                <w:jc w:val="center"/>
              </w:trPr>
              <w:tc>
                <w:tcPr>
                  <w:tcW w:w="373" w:type="pct"/>
                  <w:tcBorders>
                    <w:tl2br w:val="nil"/>
                    <w:tr2bl w:val="nil"/>
                  </w:tcBorders>
                  <w:shd w:val="clear" w:color="auto" w:fill="auto"/>
                  <w:vAlign w:val="center"/>
                </w:tcPr>
                <w:p w14:paraId="480552D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eastAsia="zh-CN"/>
                    </w:rPr>
                    <w:t>1</w:t>
                  </w:r>
                </w:p>
              </w:tc>
              <w:tc>
                <w:tcPr>
                  <w:tcW w:w="882" w:type="pct"/>
                  <w:tcBorders>
                    <w:tl2br w:val="nil"/>
                    <w:tr2bl w:val="nil"/>
                  </w:tcBorders>
                  <w:shd w:val="clear" w:color="auto" w:fill="auto"/>
                  <w:vAlign w:val="center"/>
                </w:tcPr>
                <w:p w14:paraId="155EA105">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rPr>
                  </w:pPr>
                  <w:r>
                    <w:rPr>
                      <w:rFonts w:hint="default" w:ascii="Times New Roman" w:hAnsi="Times New Roman" w:eastAsia="宋体"/>
                      <w:color w:val="auto"/>
                      <w:highlight w:val="none"/>
                      <w:lang w:val="en-US" w:eastAsia="zh-CN"/>
                    </w:rPr>
                    <w:t>东厂界</w:t>
                  </w:r>
                </w:p>
              </w:tc>
              <w:tc>
                <w:tcPr>
                  <w:tcW w:w="584" w:type="pct"/>
                  <w:tcBorders>
                    <w:tl2br w:val="nil"/>
                    <w:tr2bl w:val="nil"/>
                  </w:tcBorders>
                  <w:shd w:val="clear" w:color="auto" w:fill="auto"/>
                  <w:vAlign w:val="center"/>
                </w:tcPr>
                <w:p w14:paraId="147FCB10">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39.4</w:t>
                  </w:r>
                </w:p>
              </w:tc>
              <w:tc>
                <w:tcPr>
                  <w:tcW w:w="562" w:type="pct"/>
                  <w:tcBorders>
                    <w:tl2br w:val="nil"/>
                    <w:tr2bl w:val="nil"/>
                  </w:tcBorders>
                  <w:shd w:val="clear" w:color="auto" w:fill="auto"/>
                  <w:vAlign w:val="center"/>
                </w:tcPr>
                <w:p w14:paraId="54D1DC57">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39.4</w:t>
                  </w:r>
                </w:p>
              </w:tc>
              <w:tc>
                <w:tcPr>
                  <w:tcW w:w="739" w:type="pct"/>
                  <w:tcBorders>
                    <w:tl2br w:val="nil"/>
                    <w:tr2bl w:val="nil"/>
                  </w:tcBorders>
                  <w:shd w:val="clear" w:color="auto" w:fill="auto"/>
                  <w:vAlign w:val="center"/>
                </w:tcPr>
                <w:p w14:paraId="6B133F4D">
                  <w:pPr>
                    <w:pStyle w:val="21"/>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65</w:t>
                  </w:r>
                </w:p>
              </w:tc>
              <w:tc>
                <w:tcPr>
                  <w:tcW w:w="561" w:type="pct"/>
                  <w:tcBorders>
                    <w:tl2br w:val="nil"/>
                    <w:tr2bl w:val="nil"/>
                  </w:tcBorders>
                  <w:shd w:val="clear" w:color="auto" w:fill="auto"/>
                  <w:vAlign w:val="center"/>
                </w:tcPr>
                <w:p w14:paraId="1ABA2C5C">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55</w:t>
                  </w:r>
                </w:p>
              </w:tc>
              <w:tc>
                <w:tcPr>
                  <w:tcW w:w="769" w:type="pct"/>
                  <w:tcBorders>
                    <w:tl2br w:val="nil"/>
                    <w:tr2bl w:val="nil"/>
                  </w:tcBorders>
                  <w:shd w:val="clear" w:color="auto" w:fill="auto"/>
                  <w:vAlign w:val="center"/>
                </w:tcPr>
                <w:p w14:paraId="1594E051">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rPr>
                  </w:pPr>
                  <w:r>
                    <w:rPr>
                      <w:rFonts w:hint="default" w:ascii="Times New Roman" w:hAnsi="Times New Roman" w:eastAsia="宋体"/>
                      <w:color w:val="auto"/>
                      <w:highlight w:val="none"/>
                      <w:lang w:val="en-US" w:eastAsia="zh-CN"/>
                    </w:rPr>
                    <w:t>达标</w:t>
                  </w:r>
                </w:p>
              </w:tc>
              <w:tc>
                <w:tcPr>
                  <w:tcW w:w="526" w:type="pct"/>
                  <w:tcBorders>
                    <w:tl2br w:val="nil"/>
                    <w:tr2bl w:val="nil"/>
                  </w:tcBorders>
                  <w:shd w:val="clear" w:color="auto" w:fill="auto"/>
                  <w:vAlign w:val="center"/>
                </w:tcPr>
                <w:p w14:paraId="69720139">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lang w:val="en-US" w:eastAsia="zh-CN"/>
                    </w:rPr>
                    <w:t>达标</w:t>
                  </w:r>
                </w:p>
              </w:tc>
            </w:tr>
            <w:tr w14:paraId="0BB677F1">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shd w:val="clear" w:color="auto" w:fill="auto"/>
                <w:tblCellMar>
                  <w:top w:w="0" w:type="dxa"/>
                  <w:left w:w="28" w:type="dxa"/>
                  <w:bottom w:w="0" w:type="dxa"/>
                  <w:right w:w="28" w:type="dxa"/>
                </w:tblCellMar>
              </w:tblPrEx>
              <w:trPr>
                <w:trHeight w:val="340" w:hRule="atLeast"/>
                <w:jc w:val="center"/>
              </w:trPr>
              <w:tc>
                <w:tcPr>
                  <w:tcW w:w="373" w:type="pct"/>
                  <w:tcBorders>
                    <w:tl2br w:val="nil"/>
                    <w:tr2bl w:val="nil"/>
                  </w:tcBorders>
                  <w:shd w:val="clear" w:color="auto" w:fill="auto"/>
                  <w:vAlign w:val="center"/>
                </w:tcPr>
                <w:p w14:paraId="55F23E6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eastAsia="zh-CN"/>
                    </w:rPr>
                    <w:t>2</w:t>
                  </w:r>
                </w:p>
              </w:tc>
              <w:tc>
                <w:tcPr>
                  <w:tcW w:w="882" w:type="pct"/>
                  <w:tcBorders>
                    <w:tl2br w:val="nil"/>
                    <w:tr2bl w:val="nil"/>
                  </w:tcBorders>
                  <w:shd w:val="clear" w:color="auto" w:fill="auto"/>
                  <w:vAlign w:val="center"/>
                </w:tcPr>
                <w:p w14:paraId="39E1BD01">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rPr>
                  </w:pPr>
                  <w:r>
                    <w:rPr>
                      <w:rFonts w:hint="default" w:ascii="Times New Roman" w:hAnsi="Times New Roman" w:eastAsia="宋体"/>
                      <w:color w:val="auto"/>
                      <w:highlight w:val="none"/>
                      <w:lang w:val="en-US" w:eastAsia="zh-CN"/>
                    </w:rPr>
                    <w:t>南厂界</w:t>
                  </w:r>
                </w:p>
              </w:tc>
              <w:tc>
                <w:tcPr>
                  <w:tcW w:w="584" w:type="pct"/>
                  <w:tcBorders>
                    <w:tl2br w:val="nil"/>
                    <w:tr2bl w:val="nil"/>
                  </w:tcBorders>
                  <w:shd w:val="clear" w:color="auto" w:fill="auto"/>
                  <w:vAlign w:val="center"/>
                </w:tcPr>
                <w:p w14:paraId="2F86B5FF">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42.7</w:t>
                  </w:r>
                </w:p>
              </w:tc>
              <w:tc>
                <w:tcPr>
                  <w:tcW w:w="562" w:type="pct"/>
                  <w:tcBorders>
                    <w:tl2br w:val="nil"/>
                    <w:tr2bl w:val="nil"/>
                  </w:tcBorders>
                  <w:shd w:val="clear" w:color="auto" w:fill="auto"/>
                  <w:vAlign w:val="center"/>
                </w:tcPr>
                <w:p w14:paraId="5FB94BDA">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42.7</w:t>
                  </w:r>
                </w:p>
              </w:tc>
              <w:tc>
                <w:tcPr>
                  <w:tcW w:w="739" w:type="pct"/>
                  <w:tcBorders>
                    <w:tl2br w:val="nil"/>
                    <w:tr2bl w:val="nil"/>
                  </w:tcBorders>
                  <w:shd w:val="clear" w:color="auto" w:fill="auto"/>
                  <w:vAlign w:val="center"/>
                </w:tcPr>
                <w:p w14:paraId="6489C615">
                  <w:pPr>
                    <w:pStyle w:val="21"/>
                    <w:keepNext w:val="0"/>
                    <w:keepLines w:val="0"/>
                    <w:suppressLineNumbers w:val="0"/>
                    <w:bidi w:val="0"/>
                    <w:spacing w:before="0" w:beforeAutospacing="0" w:after="0" w:afterAutospacing="0"/>
                    <w:ind w:left="0" w:right="0"/>
                    <w:rPr>
                      <w:rFonts w:hint="default"/>
                      <w:color w:val="auto"/>
                      <w:lang w:val="zh-CN" w:eastAsia="zh-CN"/>
                    </w:rPr>
                  </w:pPr>
                  <w:r>
                    <w:rPr>
                      <w:rFonts w:hint="default"/>
                      <w:color w:val="auto"/>
                      <w:lang w:val="en-US" w:eastAsia="zh-CN"/>
                    </w:rPr>
                    <w:t>65</w:t>
                  </w:r>
                </w:p>
              </w:tc>
              <w:tc>
                <w:tcPr>
                  <w:tcW w:w="561" w:type="pct"/>
                  <w:tcBorders>
                    <w:tl2br w:val="nil"/>
                    <w:tr2bl w:val="nil"/>
                  </w:tcBorders>
                  <w:shd w:val="clear" w:color="auto" w:fill="auto"/>
                  <w:vAlign w:val="center"/>
                </w:tcPr>
                <w:p w14:paraId="20EC3BC0">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55</w:t>
                  </w:r>
                </w:p>
              </w:tc>
              <w:tc>
                <w:tcPr>
                  <w:tcW w:w="769" w:type="pct"/>
                  <w:tcBorders>
                    <w:tl2br w:val="nil"/>
                    <w:tr2bl w:val="nil"/>
                  </w:tcBorders>
                  <w:shd w:val="clear" w:color="auto" w:fill="auto"/>
                  <w:vAlign w:val="center"/>
                </w:tcPr>
                <w:p w14:paraId="2C288A2A">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rPr>
                  </w:pPr>
                  <w:r>
                    <w:rPr>
                      <w:rFonts w:hint="default" w:ascii="Times New Roman" w:hAnsi="Times New Roman" w:eastAsia="宋体"/>
                      <w:color w:val="auto"/>
                      <w:highlight w:val="none"/>
                      <w:lang w:val="en-US" w:eastAsia="zh-CN"/>
                    </w:rPr>
                    <w:t>达标</w:t>
                  </w:r>
                </w:p>
              </w:tc>
              <w:tc>
                <w:tcPr>
                  <w:tcW w:w="526" w:type="pct"/>
                  <w:tcBorders>
                    <w:tl2br w:val="nil"/>
                    <w:tr2bl w:val="nil"/>
                  </w:tcBorders>
                  <w:shd w:val="clear" w:color="auto" w:fill="auto"/>
                  <w:vAlign w:val="center"/>
                </w:tcPr>
                <w:p w14:paraId="1CB76975">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lang w:val="en-US" w:eastAsia="zh-CN"/>
                    </w:rPr>
                    <w:t>达标</w:t>
                  </w:r>
                </w:p>
              </w:tc>
            </w:tr>
            <w:tr w14:paraId="41632CAD">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shd w:val="clear" w:color="auto" w:fill="auto"/>
                <w:tblCellMar>
                  <w:top w:w="0" w:type="dxa"/>
                  <w:left w:w="28" w:type="dxa"/>
                  <w:bottom w:w="0" w:type="dxa"/>
                  <w:right w:w="28" w:type="dxa"/>
                </w:tblCellMar>
              </w:tblPrEx>
              <w:trPr>
                <w:trHeight w:val="340" w:hRule="atLeast"/>
                <w:jc w:val="center"/>
              </w:trPr>
              <w:tc>
                <w:tcPr>
                  <w:tcW w:w="373" w:type="pct"/>
                  <w:tcBorders>
                    <w:tl2br w:val="nil"/>
                    <w:tr2bl w:val="nil"/>
                  </w:tcBorders>
                  <w:shd w:val="clear" w:color="auto" w:fill="auto"/>
                  <w:vAlign w:val="center"/>
                </w:tcPr>
                <w:p w14:paraId="5AFB207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eastAsia="zh-CN"/>
                    </w:rPr>
                    <w:t>3</w:t>
                  </w:r>
                </w:p>
              </w:tc>
              <w:tc>
                <w:tcPr>
                  <w:tcW w:w="882" w:type="pct"/>
                  <w:tcBorders>
                    <w:tl2br w:val="nil"/>
                    <w:tr2bl w:val="nil"/>
                  </w:tcBorders>
                  <w:shd w:val="clear" w:color="auto" w:fill="auto"/>
                  <w:vAlign w:val="center"/>
                </w:tcPr>
                <w:p w14:paraId="4F12E9F1">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rPr>
                  </w:pPr>
                  <w:r>
                    <w:rPr>
                      <w:rFonts w:hint="default" w:ascii="Times New Roman" w:hAnsi="Times New Roman" w:eastAsia="宋体"/>
                      <w:color w:val="auto"/>
                      <w:highlight w:val="none"/>
                      <w:lang w:val="en-US" w:eastAsia="zh-CN"/>
                    </w:rPr>
                    <w:t>西厂界</w:t>
                  </w:r>
                </w:p>
              </w:tc>
              <w:tc>
                <w:tcPr>
                  <w:tcW w:w="584" w:type="pct"/>
                  <w:tcBorders>
                    <w:tl2br w:val="nil"/>
                    <w:tr2bl w:val="nil"/>
                  </w:tcBorders>
                  <w:shd w:val="clear" w:color="auto" w:fill="auto"/>
                  <w:vAlign w:val="center"/>
                </w:tcPr>
                <w:p w14:paraId="51087046">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48.1</w:t>
                  </w:r>
                </w:p>
              </w:tc>
              <w:tc>
                <w:tcPr>
                  <w:tcW w:w="562" w:type="pct"/>
                  <w:tcBorders>
                    <w:tl2br w:val="nil"/>
                    <w:tr2bl w:val="nil"/>
                  </w:tcBorders>
                  <w:shd w:val="clear" w:color="auto" w:fill="auto"/>
                  <w:vAlign w:val="center"/>
                </w:tcPr>
                <w:p w14:paraId="686CEF1A">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48.1</w:t>
                  </w:r>
                </w:p>
              </w:tc>
              <w:tc>
                <w:tcPr>
                  <w:tcW w:w="739" w:type="pct"/>
                  <w:tcBorders>
                    <w:tl2br w:val="nil"/>
                    <w:tr2bl w:val="nil"/>
                  </w:tcBorders>
                  <w:shd w:val="clear" w:color="auto" w:fill="auto"/>
                  <w:vAlign w:val="center"/>
                </w:tcPr>
                <w:p w14:paraId="314F14C4">
                  <w:pPr>
                    <w:pStyle w:val="21"/>
                    <w:keepNext w:val="0"/>
                    <w:keepLines w:val="0"/>
                    <w:suppressLineNumbers w:val="0"/>
                    <w:bidi w:val="0"/>
                    <w:spacing w:before="0" w:beforeAutospacing="0" w:after="0" w:afterAutospacing="0"/>
                    <w:ind w:left="0" w:right="0"/>
                    <w:rPr>
                      <w:rFonts w:hint="default"/>
                      <w:color w:val="auto"/>
                      <w:lang w:val="zh-CN" w:eastAsia="zh-CN"/>
                    </w:rPr>
                  </w:pPr>
                  <w:r>
                    <w:rPr>
                      <w:rFonts w:hint="default"/>
                      <w:color w:val="auto"/>
                      <w:lang w:val="en-US" w:eastAsia="zh-CN"/>
                    </w:rPr>
                    <w:t>65</w:t>
                  </w:r>
                </w:p>
              </w:tc>
              <w:tc>
                <w:tcPr>
                  <w:tcW w:w="561" w:type="pct"/>
                  <w:tcBorders>
                    <w:tl2br w:val="nil"/>
                    <w:tr2bl w:val="nil"/>
                  </w:tcBorders>
                  <w:shd w:val="clear" w:color="auto" w:fill="auto"/>
                  <w:vAlign w:val="center"/>
                </w:tcPr>
                <w:p w14:paraId="0067CE4B">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55</w:t>
                  </w:r>
                </w:p>
              </w:tc>
              <w:tc>
                <w:tcPr>
                  <w:tcW w:w="769" w:type="pct"/>
                  <w:tcBorders>
                    <w:tl2br w:val="nil"/>
                    <w:tr2bl w:val="nil"/>
                  </w:tcBorders>
                  <w:shd w:val="clear" w:color="auto" w:fill="auto"/>
                  <w:vAlign w:val="center"/>
                </w:tcPr>
                <w:p w14:paraId="33A8AC6B">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rPr>
                  </w:pPr>
                  <w:r>
                    <w:rPr>
                      <w:rFonts w:hint="default" w:ascii="Times New Roman" w:hAnsi="Times New Roman" w:eastAsia="宋体"/>
                      <w:color w:val="auto"/>
                      <w:highlight w:val="none"/>
                      <w:lang w:val="en-US" w:eastAsia="zh-CN"/>
                    </w:rPr>
                    <w:t>达标</w:t>
                  </w:r>
                </w:p>
              </w:tc>
              <w:tc>
                <w:tcPr>
                  <w:tcW w:w="526" w:type="pct"/>
                  <w:tcBorders>
                    <w:tl2br w:val="nil"/>
                    <w:tr2bl w:val="nil"/>
                  </w:tcBorders>
                  <w:shd w:val="clear" w:color="auto" w:fill="auto"/>
                  <w:vAlign w:val="center"/>
                </w:tcPr>
                <w:p w14:paraId="15B21765">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lang w:val="en-US" w:eastAsia="zh-CN"/>
                    </w:rPr>
                    <w:t>达标</w:t>
                  </w:r>
                </w:p>
              </w:tc>
            </w:tr>
            <w:tr w14:paraId="40C5026E">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shd w:val="clear" w:color="auto" w:fill="auto"/>
                <w:tblCellMar>
                  <w:top w:w="0" w:type="dxa"/>
                  <w:left w:w="28" w:type="dxa"/>
                  <w:bottom w:w="0" w:type="dxa"/>
                  <w:right w:w="28" w:type="dxa"/>
                </w:tblCellMar>
              </w:tblPrEx>
              <w:trPr>
                <w:trHeight w:val="340" w:hRule="atLeast"/>
                <w:jc w:val="center"/>
              </w:trPr>
              <w:tc>
                <w:tcPr>
                  <w:tcW w:w="373" w:type="pct"/>
                  <w:tcBorders>
                    <w:tl2br w:val="nil"/>
                    <w:tr2bl w:val="nil"/>
                  </w:tcBorders>
                  <w:shd w:val="clear" w:color="auto" w:fill="auto"/>
                  <w:vAlign w:val="center"/>
                </w:tcPr>
                <w:p w14:paraId="2F1A17C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eastAsia="zh-CN"/>
                    </w:rPr>
                    <w:t>4</w:t>
                  </w:r>
                </w:p>
              </w:tc>
              <w:tc>
                <w:tcPr>
                  <w:tcW w:w="882" w:type="pct"/>
                  <w:tcBorders>
                    <w:tl2br w:val="nil"/>
                    <w:tr2bl w:val="nil"/>
                  </w:tcBorders>
                  <w:shd w:val="clear" w:color="auto" w:fill="auto"/>
                  <w:vAlign w:val="center"/>
                </w:tcPr>
                <w:p w14:paraId="282CBECA">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rPr>
                  </w:pPr>
                  <w:r>
                    <w:rPr>
                      <w:rFonts w:hint="default" w:ascii="Times New Roman" w:hAnsi="Times New Roman" w:eastAsia="宋体"/>
                      <w:color w:val="auto"/>
                      <w:highlight w:val="none"/>
                      <w:lang w:val="en-US" w:eastAsia="zh-CN"/>
                    </w:rPr>
                    <w:t>北厂界</w:t>
                  </w:r>
                </w:p>
              </w:tc>
              <w:tc>
                <w:tcPr>
                  <w:tcW w:w="584" w:type="pct"/>
                  <w:tcBorders>
                    <w:tl2br w:val="nil"/>
                    <w:tr2bl w:val="nil"/>
                  </w:tcBorders>
                  <w:shd w:val="clear" w:color="auto" w:fill="auto"/>
                  <w:vAlign w:val="center"/>
                </w:tcPr>
                <w:p w14:paraId="50AB92BF">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26.3</w:t>
                  </w:r>
                </w:p>
              </w:tc>
              <w:tc>
                <w:tcPr>
                  <w:tcW w:w="562" w:type="pct"/>
                  <w:tcBorders>
                    <w:tl2br w:val="nil"/>
                    <w:tr2bl w:val="nil"/>
                  </w:tcBorders>
                  <w:shd w:val="clear" w:color="auto" w:fill="auto"/>
                  <w:vAlign w:val="center"/>
                </w:tcPr>
                <w:p w14:paraId="61AB9DCF">
                  <w:pPr>
                    <w:pStyle w:val="21"/>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26.3</w:t>
                  </w:r>
                </w:p>
              </w:tc>
              <w:tc>
                <w:tcPr>
                  <w:tcW w:w="739" w:type="pct"/>
                  <w:tcBorders>
                    <w:tl2br w:val="nil"/>
                    <w:tr2bl w:val="nil"/>
                  </w:tcBorders>
                  <w:shd w:val="clear" w:color="auto" w:fill="auto"/>
                  <w:vAlign w:val="center"/>
                </w:tcPr>
                <w:p w14:paraId="433870A0">
                  <w:pPr>
                    <w:pStyle w:val="21"/>
                    <w:keepNext w:val="0"/>
                    <w:keepLines w:val="0"/>
                    <w:suppressLineNumbers w:val="0"/>
                    <w:bidi w:val="0"/>
                    <w:spacing w:before="0" w:beforeAutospacing="0" w:after="0" w:afterAutospacing="0"/>
                    <w:ind w:left="0" w:right="0"/>
                    <w:rPr>
                      <w:rFonts w:hint="default"/>
                      <w:color w:val="auto"/>
                      <w:lang w:val="zh-CN" w:eastAsia="zh-CN"/>
                    </w:rPr>
                  </w:pPr>
                  <w:r>
                    <w:rPr>
                      <w:rFonts w:hint="default"/>
                      <w:color w:val="auto"/>
                      <w:lang w:val="en-US" w:eastAsia="zh-CN"/>
                    </w:rPr>
                    <w:t>65</w:t>
                  </w:r>
                </w:p>
              </w:tc>
              <w:tc>
                <w:tcPr>
                  <w:tcW w:w="561" w:type="pct"/>
                  <w:tcBorders>
                    <w:tl2br w:val="nil"/>
                    <w:tr2bl w:val="nil"/>
                  </w:tcBorders>
                  <w:shd w:val="clear" w:color="auto" w:fill="auto"/>
                  <w:vAlign w:val="center"/>
                </w:tcPr>
                <w:p w14:paraId="198EEA08">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55</w:t>
                  </w:r>
                </w:p>
              </w:tc>
              <w:tc>
                <w:tcPr>
                  <w:tcW w:w="769" w:type="pct"/>
                  <w:tcBorders>
                    <w:tl2br w:val="nil"/>
                    <w:tr2bl w:val="nil"/>
                  </w:tcBorders>
                  <w:shd w:val="clear" w:color="auto" w:fill="auto"/>
                  <w:vAlign w:val="center"/>
                </w:tcPr>
                <w:p w14:paraId="41520F3A">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rPr>
                  </w:pPr>
                  <w:r>
                    <w:rPr>
                      <w:rFonts w:hint="default" w:ascii="Times New Roman" w:hAnsi="Times New Roman" w:eastAsia="宋体"/>
                      <w:color w:val="auto"/>
                      <w:highlight w:val="none"/>
                      <w:lang w:val="en-US" w:eastAsia="zh-CN"/>
                    </w:rPr>
                    <w:t>达标</w:t>
                  </w:r>
                </w:p>
              </w:tc>
              <w:tc>
                <w:tcPr>
                  <w:tcW w:w="526" w:type="pct"/>
                  <w:tcBorders>
                    <w:tl2br w:val="nil"/>
                    <w:tr2bl w:val="nil"/>
                  </w:tcBorders>
                  <w:shd w:val="clear" w:color="auto" w:fill="auto"/>
                  <w:vAlign w:val="center"/>
                </w:tcPr>
                <w:p w14:paraId="52EC47AD">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lang w:val="en-US" w:eastAsia="zh-CN"/>
                    </w:rPr>
                    <w:t>达标</w:t>
                  </w:r>
                </w:p>
              </w:tc>
            </w:tr>
          </w:tbl>
          <w:p w14:paraId="3E6EC6AF">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综上所述，</w:t>
            </w:r>
            <w:r>
              <w:rPr>
                <w:rFonts w:hint="eastAsia"/>
                <w:color w:val="auto"/>
                <w:lang w:val="en-US" w:eastAsia="zh-CN"/>
              </w:rPr>
              <w:t>本项目建成后</w:t>
            </w:r>
            <w:r>
              <w:rPr>
                <w:rFonts w:hint="default"/>
                <w:color w:val="auto"/>
                <w:lang w:val="en-US"/>
              </w:rPr>
              <w:t>厂界</w:t>
            </w:r>
            <w:r>
              <w:rPr>
                <w:rFonts w:hint="eastAsia"/>
                <w:color w:val="auto"/>
                <w:lang w:val="en-US" w:eastAsia="zh-CN"/>
              </w:rPr>
              <w:t>环境</w:t>
            </w:r>
            <w:r>
              <w:rPr>
                <w:rFonts w:hint="default"/>
                <w:color w:val="auto"/>
                <w:lang w:val="en-US"/>
              </w:rPr>
              <w:t>噪声满足《工业企业厂界环境噪声排放标准》（GB12348-2008）</w:t>
            </w:r>
            <w:r>
              <w:rPr>
                <w:rFonts w:hint="eastAsia"/>
                <w:color w:val="auto"/>
                <w:lang w:val="en-US" w:eastAsia="zh-CN"/>
              </w:rPr>
              <w:t>3</w:t>
            </w:r>
            <w:r>
              <w:rPr>
                <w:rFonts w:hint="default"/>
                <w:color w:val="auto"/>
                <w:lang w:val="en-US"/>
              </w:rPr>
              <w:t>类标准要求，即昼间≤6</w:t>
            </w:r>
            <w:r>
              <w:rPr>
                <w:rFonts w:hint="eastAsia"/>
                <w:color w:val="auto"/>
                <w:lang w:val="en-US" w:eastAsia="zh-CN"/>
              </w:rPr>
              <w:t>5</w:t>
            </w:r>
            <w:r>
              <w:rPr>
                <w:rFonts w:hint="default"/>
                <w:color w:val="auto"/>
                <w:lang w:val="en-US"/>
              </w:rPr>
              <w:t>dB(A)</w:t>
            </w:r>
            <w:r>
              <w:rPr>
                <w:rFonts w:hint="eastAsia"/>
                <w:color w:val="auto"/>
                <w:lang w:val="en-US" w:eastAsia="zh-CN"/>
              </w:rPr>
              <w:t>、夜间</w:t>
            </w:r>
            <w:r>
              <w:rPr>
                <w:rFonts w:hint="default"/>
                <w:color w:val="auto"/>
                <w:lang w:val="en-US"/>
              </w:rPr>
              <w:t>≤</w:t>
            </w:r>
            <w:r>
              <w:rPr>
                <w:rFonts w:hint="eastAsia"/>
                <w:color w:val="auto"/>
                <w:lang w:val="en-US" w:eastAsia="zh-CN"/>
              </w:rPr>
              <w:t>55</w:t>
            </w:r>
            <w:r>
              <w:rPr>
                <w:rFonts w:hint="default"/>
                <w:color w:val="auto"/>
                <w:lang w:val="en-US"/>
              </w:rPr>
              <w:t>dB(A)。因此在采取降噪措施后，项目产生的噪声对周边环境影响较小。</w:t>
            </w:r>
          </w:p>
          <w:p w14:paraId="3AC8F786">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（4）噪声监测计划</w:t>
            </w:r>
          </w:p>
          <w:p w14:paraId="4ACCA240">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本项目建成后，建设单位应</w:t>
            </w:r>
            <w:r>
              <w:rPr>
                <w:rFonts w:hint="default"/>
                <w:color w:val="auto"/>
                <w:lang w:val="en-US"/>
              </w:rPr>
              <w:t>根据《排污单位自行监测技术指南总则》（HJ819-2017），定期对厂界进行噪声监测，每季度开展一次。</w:t>
            </w:r>
          </w:p>
          <w:p w14:paraId="27795189">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表4-</w:t>
            </w:r>
            <w:r>
              <w:rPr>
                <w:rFonts w:ascii="Times New Roman" w:hAnsi="Times New Roman" w:eastAsia="宋体"/>
                <w:color w:val="auto"/>
                <w:highlight w:val="none"/>
              </w:rPr>
              <w:t>1</w:t>
            </w:r>
            <w:r>
              <w:rPr>
                <w:rFonts w:hint="eastAsia"/>
                <w:color w:val="auto"/>
                <w:highlight w:val="none"/>
                <w:lang w:val="en-US" w:eastAsia="zh-CN"/>
              </w:rPr>
              <w:t>7</w:t>
            </w:r>
            <w:r>
              <w:rPr>
                <w:rFonts w:hint="default" w:ascii="Times New Roman" w:hAnsi="Times New Roman" w:eastAsia="宋体"/>
                <w:color w:val="auto"/>
                <w:highlight w:val="none"/>
              </w:rPr>
              <w:t>噪声监测计划表</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145"/>
              <w:gridCol w:w="1223"/>
              <w:gridCol w:w="1874"/>
              <w:gridCol w:w="3580"/>
            </w:tblGrid>
            <w:tr w14:paraId="1D0E41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04" w:type="dxa"/>
                  <w:tcBorders>
                    <w:tl2br w:val="nil"/>
                    <w:tr2bl w:val="nil"/>
                  </w:tcBorders>
                  <w:shd w:val="clear" w:color="auto" w:fill="auto"/>
                  <w:vAlign w:val="center"/>
                </w:tcPr>
                <w:p w14:paraId="7439B7E7">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监测位置</w:t>
                  </w:r>
                </w:p>
              </w:tc>
              <w:tc>
                <w:tcPr>
                  <w:tcW w:w="1286" w:type="dxa"/>
                  <w:tcBorders>
                    <w:tl2br w:val="nil"/>
                    <w:tr2bl w:val="nil"/>
                  </w:tcBorders>
                  <w:shd w:val="clear" w:color="auto" w:fill="auto"/>
                  <w:vAlign w:val="center"/>
                </w:tcPr>
                <w:p w14:paraId="65510F87">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监测项目</w:t>
                  </w:r>
                </w:p>
              </w:tc>
              <w:tc>
                <w:tcPr>
                  <w:tcW w:w="1973" w:type="dxa"/>
                  <w:tcBorders>
                    <w:tl2br w:val="nil"/>
                    <w:tr2bl w:val="nil"/>
                  </w:tcBorders>
                  <w:shd w:val="clear" w:color="auto" w:fill="auto"/>
                  <w:vAlign w:val="center"/>
                </w:tcPr>
                <w:p w14:paraId="71CD9C8F">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监测频次</w:t>
                  </w:r>
                </w:p>
              </w:tc>
              <w:tc>
                <w:tcPr>
                  <w:tcW w:w="3769" w:type="dxa"/>
                  <w:tcBorders>
                    <w:tl2br w:val="nil"/>
                    <w:tr2bl w:val="nil"/>
                  </w:tcBorders>
                  <w:shd w:val="clear" w:color="auto" w:fill="auto"/>
                  <w:vAlign w:val="center"/>
                </w:tcPr>
                <w:p w14:paraId="77FC1714">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执行标准</w:t>
                  </w:r>
                </w:p>
              </w:tc>
            </w:tr>
            <w:tr w14:paraId="440EDC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04" w:type="dxa"/>
                  <w:tcBorders>
                    <w:tl2br w:val="nil"/>
                    <w:tr2bl w:val="nil"/>
                  </w:tcBorders>
                  <w:shd w:val="clear" w:color="auto" w:fill="auto"/>
                  <w:vAlign w:val="center"/>
                </w:tcPr>
                <w:p w14:paraId="46EBAAC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厂界四周外</w:t>
                  </w:r>
                  <w:r>
                    <w:rPr>
                      <w:rFonts w:hint="default" w:ascii="Times New Roman" w:hAnsi="Times New Roman" w:eastAsia="宋体"/>
                      <w:color w:val="auto"/>
                      <w:highlight w:val="none"/>
                      <w:lang w:val="en-US"/>
                    </w:rPr>
                    <w:t>1m</w:t>
                  </w:r>
                </w:p>
              </w:tc>
              <w:tc>
                <w:tcPr>
                  <w:tcW w:w="1286" w:type="dxa"/>
                  <w:tcBorders>
                    <w:tl2br w:val="nil"/>
                    <w:tr2bl w:val="nil"/>
                  </w:tcBorders>
                  <w:shd w:val="clear" w:color="auto" w:fill="auto"/>
                  <w:vAlign w:val="center"/>
                </w:tcPr>
                <w:p w14:paraId="5A0411B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等效</w:t>
                  </w:r>
                  <w:r>
                    <w:rPr>
                      <w:rFonts w:hint="default" w:ascii="Times New Roman" w:hAnsi="Times New Roman" w:eastAsia="宋体"/>
                      <w:color w:val="auto"/>
                      <w:highlight w:val="none"/>
                      <w:lang w:val="en-US"/>
                    </w:rPr>
                    <w:t>A</w:t>
                  </w:r>
                  <w:r>
                    <w:rPr>
                      <w:rFonts w:hint="eastAsia" w:ascii="Times New Roman" w:hAnsi="Times New Roman" w:eastAsia="宋体"/>
                      <w:color w:val="auto"/>
                      <w:highlight w:val="none"/>
                      <w:lang w:val="en-US"/>
                    </w:rPr>
                    <w:t>声级</w:t>
                  </w:r>
                </w:p>
              </w:tc>
              <w:tc>
                <w:tcPr>
                  <w:tcW w:w="1973" w:type="dxa"/>
                  <w:tcBorders>
                    <w:tl2br w:val="nil"/>
                    <w:tr2bl w:val="nil"/>
                  </w:tcBorders>
                  <w:shd w:val="clear" w:color="auto" w:fill="auto"/>
                  <w:vAlign w:val="center"/>
                </w:tcPr>
                <w:p w14:paraId="6927E5B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每季度监测</w:t>
                  </w:r>
                  <w:r>
                    <w:rPr>
                      <w:rFonts w:hint="default" w:ascii="Times New Roman" w:hAnsi="Times New Roman" w:eastAsia="宋体"/>
                      <w:color w:val="auto"/>
                      <w:highlight w:val="none"/>
                      <w:lang w:val="en-US"/>
                    </w:rPr>
                    <w:t>1</w:t>
                  </w:r>
                  <w:r>
                    <w:rPr>
                      <w:rFonts w:hint="eastAsia" w:ascii="Times New Roman" w:hAnsi="Times New Roman" w:eastAsia="宋体"/>
                      <w:color w:val="auto"/>
                      <w:highlight w:val="none"/>
                      <w:lang w:val="en-US"/>
                    </w:rPr>
                    <w:t>次，昼</w:t>
                  </w:r>
                  <w:r>
                    <w:rPr>
                      <w:rFonts w:hint="eastAsia" w:ascii="Times New Roman" w:hAnsi="Times New Roman" w:eastAsia="宋体"/>
                      <w:color w:val="auto"/>
                      <w:highlight w:val="none"/>
                      <w:lang w:val="en-US" w:eastAsia="zh-CN"/>
                    </w:rPr>
                    <w:t>夜各</w:t>
                  </w:r>
                  <w:r>
                    <w:rPr>
                      <w:rFonts w:hint="eastAsia" w:ascii="Times New Roman" w:hAnsi="Times New Roman" w:eastAsia="宋体"/>
                      <w:color w:val="auto"/>
                      <w:highlight w:val="none"/>
                      <w:lang w:val="en-US"/>
                    </w:rPr>
                    <w:t>监测</w:t>
                  </w:r>
                  <w:r>
                    <w:rPr>
                      <w:rFonts w:hint="default" w:ascii="Times New Roman" w:hAnsi="Times New Roman" w:eastAsia="宋体"/>
                      <w:color w:val="auto"/>
                      <w:highlight w:val="none"/>
                      <w:lang w:val="en-US"/>
                    </w:rPr>
                    <w:t>1</w:t>
                  </w:r>
                  <w:r>
                    <w:rPr>
                      <w:rFonts w:hint="eastAsia" w:ascii="Times New Roman" w:hAnsi="Times New Roman" w:eastAsia="宋体"/>
                      <w:color w:val="auto"/>
                      <w:highlight w:val="none"/>
                      <w:lang w:val="en-US"/>
                    </w:rPr>
                    <w:t>次</w:t>
                  </w:r>
                </w:p>
              </w:tc>
              <w:tc>
                <w:tcPr>
                  <w:tcW w:w="3769" w:type="dxa"/>
                  <w:tcBorders>
                    <w:tl2br w:val="nil"/>
                    <w:tr2bl w:val="nil"/>
                  </w:tcBorders>
                  <w:shd w:val="clear" w:color="auto" w:fill="auto"/>
                  <w:vAlign w:val="center"/>
                </w:tcPr>
                <w:p w14:paraId="3AA416E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《工业企业厂界环境噪声排放标准》（</w:t>
                  </w:r>
                  <w:r>
                    <w:rPr>
                      <w:rFonts w:hint="default" w:ascii="Times New Roman" w:hAnsi="Times New Roman" w:eastAsia="宋体"/>
                      <w:color w:val="auto"/>
                      <w:highlight w:val="none"/>
                      <w:lang w:val="en-US"/>
                    </w:rPr>
                    <w:t>GB12348-2008</w:t>
                  </w:r>
                  <w:r>
                    <w:rPr>
                      <w:rFonts w:hint="eastAsia" w:ascii="Times New Roman" w:hAnsi="Times New Roman" w:eastAsia="宋体"/>
                      <w:color w:val="auto"/>
                      <w:highlight w:val="none"/>
                      <w:lang w:val="en-US"/>
                    </w:rPr>
                    <w:t>）中的</w:t>
                  </w:r>
                  <w:r>
                    <w:rPr>
                      <w:rFonts w:hint="eastAsia"/>
                      <w:color w:val="auto"/>
                      <w:highlight w:val="none"/>
                      <w:lang w:val="en-US" w:eastAsia="zh-CN"/>
                    </w:rPr>
                    <w:t>3</w:t>
                  </w:r>
                  <w:r>
                    <w:rPr>
                      <w:rFonts w:hint="eastAsia" w:ascii="Times New Roman" w:hAnsi="Times New Roman" w:eastAsia="宋体"/>
                      <w:color w:val="auto"/>
                      <w:highlight w:val="none"/>
                      <w:lang w:val="en-US"/>
                    </w:rPr>
                    <w:t>类标准</w:t>
                  </w:r>
                </w:p>
              </w:tc>
            </w:tr>
          </w:tbl>
          <w:p w14:paraId="093D6CFA">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4、固体废物</w:t>
            </w:r>
          </w:p>
          <w:p w14:paraId="148A6B3F">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（1）固体废物源强分析</w:t>
            </w:r>
          </w:p>
          <w:p w14:paraId="1D40FAC0">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本项目产生的固废包括</w:t>
            </w:r>
            <w:r>
              <w:rPr>
                <w:rFonts w:hint="eastAsia"/>
                <w:color w:val="auto"/>
                <w:lang w:val="en-US" w:eastAsia="zh-CN"/>
              </w:rPr>
              <w:t>炭虑过程产生的废活性炭（制纯水），两级反渗透过程产生的废反渗透膜，臭氧制备过程产生的废滤芯、废分子筛，注塑、吹制成瓶过程产生的废塑料，紫外消毒过程产生的废紫外灯管，装箱过程产生的废纸箱、废塑料膜，原料包装过程产生的废包装袋、废机油桶、废化学品包装桶，设备维护过程产生的废机油，废气处理过程产生的废活性炭、废水处理过程产生的污泥、空压机运行过程中产生的含油废液、员工生活过程产生的生活垃圾、食堂垃圾</w:t>
            </w:r>
            <w:r>
              <w:rPr>
                <w:rFonts w:hint="eastAsia"/>
                <w:color w:val="auto"/>
                <w:lang w:val="en-US"/>
              </w:rPr>
              <w:t>等</w:t>
            </w:r>
            <w:r>
              <w:rPr>
                <w:rFonts w:hint="default"/>
                <w:color w:val="auto"/>
                <w:lang w:val="en-US"/>
              </w:rPr>
              <w:t>。</w:t>
            </w:r>
          </w:p>
          <w:p w14:paraId="06B00F27">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1）</w:t>
            </w:r>
            <w:r>
              <w:rPr>
                <w:rFonts w:hint="default"/>
                <w:color w:val="auto"/>
                <w:lang w:val="en-US"/>
              </w:rPr>
              <w:t>废活性炭（制纯水）</w:t>
            </w:r>
          </w:p>
          <w:p w14:paraId="3A2108A9">
            <w:pPr>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根据建设单位提供资料，本项目炭滤设施装填量为3t，每三个月更换一次，每年更换活性炭约12t，产生</w:t>
            </w:r>
            <w:r>
              <w:rPr>
                <w:rFonts w:hint="default"/>
                <w:color w:val="auto"/>
                <w:lang w:val="en-US"/>
              </w:rPr>
              <w:t>废活性炭（制纯水）</w:t>
            </w:r>
            <w:r>
              <w:rPr>
                <w:rFonts w:hint="eastAsia"/>
                <w:color w:val="auto"/>
                <w:lang w:val="en-US" w:eastAsia="zh-CN"/>
              </w:rPr>
              <w:t>约12t/a，属于一般工业固废，收集后外售综合利用。</w:t>
            </w:r>
          </w:p>
          <w:p w14:paraId="58B0DE2E">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2）</w:t>
            </w:r>
            <w:r>
              <w:rPr>
                <w:rFonts w:hint="default"/>
                <w:color w:val="auto"/>
                <w:lang w:val="en-US"/>
              </w:rPr>
              <w:t>废反渗透膜</w:t>
            </w:r>
          </w:p>
          <w:p w14:paraId="2CE11183">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根据建设单位提供资料，本项目反渗透设施每年更换</w:t>
            </w:r>
            <w:r>
              <w:rPr>
                <w:rFonts w:hint="default"/>
                <w:color w:val="auto"/>
                <w:lang w:val="en-US"/>
              </w:rPr>
              <w:t>废反渗透膜</w:t>
            </w:r>
            <w:r>
              <w:rPr>
                <w:rFonts w:hint="eastAsia"/>
                <w:color w:val="auto"/>
                <w:lang w:val="en-US" w:eastAsia="zh-CN"/>
              </w:rPr>
              <w:t>190根，产生</w:t>
            </w:r>
            <w:r>
              <w:rPr>
                <w:rFonts w:hint="default"/>
                <w:color w:val="auto"/>
                <w:lang w:val="en-US"/>
              </w:rPr>
              <w:t>废反渗透膜</w:t>
            </w:r>
            <w:r>
              <w:rPr>
                <w:rFonts w:hint="eastAsia"/>
                <w:color w:val="auto"/>
                <w:lang w:val="en-US" w:eastAsia="zh-CN"/>
              </w:rPr>
              <w:t>约1t/a，属于一般工业固废，收集后外售综合利用。</w:t>
            </w:r>
          </w:p>
          <w:p w14:paraId="6FE24551">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3）</w:t>
            </w:r>
            <w:r>
              <w:rPr>
                <w:rFonts w:hint="default"/>
                <w:color w:val="auto"/>
                <w:lang w:val="en-US"/>
              </w:rPr>
              <w:t>废滤芯</w:t>
            </w:r>
          </w:p>
          <w:p w14:paraId="00FA50CF">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根据建设单位提供资料，本项目纯氧制备设施每年更换净化滤芯12组，产生</w:t>
            </w:r>
            <w:r>
              <w:rPr>
                <w:rFonts w:hint="default"/>
                <w:color w:val="auto"/>
                <w:lang w:val="en-US"/>
              </w:rPr>
              <w:t>废滤芯</w:t>
            </w:r>
            <w:r>
              <w:rPr>
                <w:rFonts w:hint="eastAsia"/>
                <w:color w:val="auto"/>
                <w:lang w:val="en-US" w:eastAsia="zh-CN"/>
              </w:rPr>
              <w:t>约1t/a，属于一般工业固废，收集后外售综合利用。</w:t>
            </w:r>
          </w:p>
          <w:p w14:paraId="12D84E2D">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4）</w:t>
            </w:r>
            <w:r>
              <w:rPr>
                <w:rFonts w:hint="default"/>
                <w:color w:val="auto"/>
                <w:lang w:val="en-US"/>
              </w:rPr>
              <w:t>废分子筛</w:t>
            </w:r>
          </w:p>
          <w:p w14:paraId="290BE642">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根据建设单位提供资料，本项目纯氧制备设施每年更换碳</w:t>
            </w:r>
            <w:r>
              <w:rPr>
                <w:rFonts w:hint="default"/>
                <w:color w:val="auto"/>
                <w:lang w:val="en-US"/>
              </w:rPr>
              <w:t>分子筛</w:t>
            </w:r>
            <w:r>
              <w:rPr>
                <w:rFonts w:hint="eastAsia"/>
                <w:color w:val="auto"/>
                <w:lang w:val="en-US" w:eastAsia="zh-CN"/>
              </w:rPr>
              <w:t>2组，产生</w:t>
            </w:r>
            <w:r>
              <w:rPr>
                <w:rFonts w:hint="default"/>
                <w:color w:val="auto"/>
                <w:lang w:val="en-US"/>
              </w:rPr>
              <w:t>废滤芯</w:t>
            </w:r>
            <w:r>
              <w:rPr>
                <w:rFonts w:hint="eastAsia"/>
                <w:color w:val="auto"/>
                <w:lang w:val="en-US" w:eastAsia="zh-CN"/>
              </w:rPr>
              <w:t>约0.5t/a，属于一般工业固废，收集后外售综合利用。</w:t>
            </w:r>
          </w:p>
          <w:p w14:paraId="4D688A7B">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5）</w:t>
            </w:r>
            <w:r>
              <w:rPr>
                <w:rFonts w:hint="default"/>
                <w:color w:val="auto"/>
                <w:lang w:val="en-US"/>
              </w:rPr>
              <w:t>废塑料</w:t>
            </w:r>
          </w:p>
          <w:p w14:paraId="5AA0DF90">
            <w:pPr>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根据建设单位提供资料，本项目注塑和吹瓶过程中产生的废塑料约占原料用量的1%，本项目使用PET塑料4500t/a，产生废塑料约45t/a，外售综合利用。</w:t>
            </w:r>
          </w:p>
          <w:p w14:paraId="1859C801">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6）</w:t>
            </w:r>
            <w:r>
              <w:rPr>
                <w:rFonts w:hint="default"/>
                <w:color w:val="auto"/>
                <w:lang w:val="en-US"/>
              </w:rPr>
              <w:t>废紫外灯管</w:t>
            </w:r>
          </w:p>
          <w:p w14:paraId="6D62F4EA">
            <w:pPr>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根据建设单位提供资料，本项目每年更换紫外灯管约10根，产生废</w:t>
            </w:r>
            <w:r>
              <w:rPr>
                <w:rFonts w:hint="default"/>
                <w:color w:val="auto"/>
                <w:lang w:val="en-US"/>
              </w:rPr>
              <w:t>紫外灯管</w:t>
            </w:r>
            <w:r>
              <w:rPr>
                <w:rFonts w:hint="eastAsia"/>
                <w:color w:val="auto"/>
                <w:lang w:val="en-US" w:eastAsia="zh-CN"/>
              </w:rPr>
              <w:t>约0.005t/a，属于危险废物，委托有资质单位处置。</w:t>
            </w:r>
          </w:p>
          <w:p w14:paraId="40ACD40B">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7）</w:t>
            </w:r>
            <w:r>
              <w:rPr>
                <w:rFonts w:hint="default"/>
                <w:color w:val="auto"/>
                <w:lang w:val="en-US"/>
              </w:rPr>
              <w:t>废纸箱</w:t>
            </w:r>
          </w:p>
          <w:p w14:paraId="6BDC9289">
            <w:pPr>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根据建设单位提供资料，本项目</w:t>
            </w:r>
            <w:r>
              <w:rPr>
                <w:rFonts w:hint="default"/>
                <w:color w:val="auto"/>
                <w:lang w:val="en-US"/>
              </w:rPr>
              <w:t>废纸箱</w:t>
            </w:r>
            <w:r>
              <w:rPr>
                <w:rFonts w:hint="eastAsia"/>
                <w:color w:val="auto"/>
                <w:lang w:val="en-US" w:eastAsia="zh-CN"/>
              </w:rPr>
              <w:t>产生量约占包装纸箱用量的1%，项目使用包装纸箱约7300t/a，产生</w:t>
            </w:r>
            <w:r>
              <w:rPr>
                <w:rFonts w:hint="default"/>
                <w:color w:val="auto"/>
                <w:lang w:val="en-US"/>
              </w:rPr>
              <w:t>废纸箱</w:t>
            </w:r>
            <w:r>
              <w:rPr>
                <w:rFonts w:hint="eastAsia"/>
                <w:color w:val="auto"/>
                <w:lang w:val="en-US" w:eastAsia="zh-CN"/>
              </w:rPr>
              <w:t>约73t/a，属于一般工业固废，收集后外售综合利用。</w:t>
            </w:r>
          </w:p>
          <w:p w14:paraId="079C90A2">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8）</w:t>
            </w:r>
            <w:r>
              <w:rPr>
                <w:rFonts w:hint="default"/>
                <w:color w:val="auto"/>
                <w:lang w:val="en-US"/>
              </w:rPr>
              <w:t>废塑料膜</w:t>
            </w:r>
          </w:p>
          <w:p w14:paraId="3D2C19FA">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根据建设单位提供资料，本项目</w:t>
            </w:r>
            <w:r>
              <w:rPr>
                <w:rFonts w:hint="default"/>
                <w:color w:val="auto"/>
                <w:lang w:val="en-US"/>
              </w:rPr>
              <w:t>废塑料膜</w:t>
            </w:r>
            <w:r>
              <w:rPr>
                <w:rFonts w:hint="eastAsia"/>
                <w:color w:val="auto"/>
                <w:lang w:val="en-US" w:eastAsia="zh-CN"/>
              </w:rPr>
              <w:t>产生量约占</w:t>
            </w:r>
            <w:r>
              <w:rPr>
                <w:rFonts w:hint="default"/>
                <w:color w:val="auto"/>
              </w:rPr>
              <w:t>PP、PE共挤膜</w:t>
            </w:r>
            <w:r>
              <w:rPr>
                <w:rFonts w:hint="eastAsia"/>
                <w:color w:val="auto"/>
                <w:lang w:val="en-US" w:eastAsia="zh-CN"/>
              </w:rPr>
              <w:t>用量的1%，项目使用</w:t>
            </w:r>
            <w:r>
              <w:rPr>
                <w:rFonts w:hint="default"/>
                <w:color w:val="auto"/>
              </w:rPr>
              <w:t>PP、PE共挤膜</w:t>
            </w:r>
            <w:r>
              <w:rPr>
                <w:rFonts w:hint="eastAsia"/>
                <w:color w:val="auto"/>
                <w:lang w:val="en-US" w:eastAsia="zh-CN"/>
              </w:rPr>
              <w:t>约40t/a，产生</w:t>
            </w:r>
            <w:r>
              <w:rPr>
                <w:rFonts w:hint="default"/>
                <w:color w:val="auto"/>
                <w:lang w:val="en-US"/>
              </w:rPr>
              <w:t>废塑料膜</w:t>
            </w:r>
            <w:r>
              <w:rPr>
                <w:rFonts w:hint="eastAsia"/>
                <w:color w:val="auto"/>
                <w:lang w:val="en-US" w:eastAsia="zh-CN"/>
              </w:rPr>
              <w:t>约0.4t/a，属于一般工业固废，收集后外售综合利用。</w:t>
            </w:r>
          </w:p>
          <w:p w14:paraId="077FD153">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9）</w:t>
            </w:r>
            <w:r>
              <w:rPr>
                <w:rFonts w:hint="default"/>
                <w:color w:val="auto"/>
                <w:lang w:val="en-US"/>
              </w:rPr>
              <w:t>废包装袋</w:t>
            </w:r>
          </w:p>
          <w:p w14:paraId="35AA829A">
            <w:pPr>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本项目原料活性炭采用袋装，产生</w:t>
            </w:r>
            <w:r>
              <w:rPr>
                <w:rFonts w:hint="default"/>
                <w:color w:val="auto"/>
                <w:lang w:val="en-US"/>
              </w:rPr>
              <w:t>废包装袋</w:t>
            </w:r>
            <w:r>
              <w:rPr>
                <w:rFonts w:hint="eastAsia"/>
                <w:color w:val="auto"/>
                <w:lang w:val="en-US" w:eastAsia="zh-CN"/>
              </w:rPr>
              <w:t>约0.5t/a，属于一般工业固废，收集后外售综合利用。</w:t>
            </w:r>
          </w:p>
          <w:p w14:paraId="18E33F74">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10）</w:t>
            </w:r>
            <w:r>
              <w:rPr>
                <w:rFonts w:hint="default"/>
                <w:color w:val="auto"/>
                <w:lang w:val="en-US"/>
              </w:rPr>
              <w:t>废机油桶</w:t>
            </w:r>
          </w:p>
          <w:p w14:paraId="1C8B822D">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本项目使用机油约11.4t/a，产生</w:t>
            </w:r>
            <w:r>
              <w:rPr>
                <w:rFonts w:hint="default"/>
                <w:color w:val="auto"/>
                <w:lang w:val="en-US"/>
              </w:rPr>
              <w:t>废机油桶</w:t>
            </w:r>
            <w:r>
              <w:rPr>
                <w:rFonts w:hint="eastAsia"/>
                <w:color w:val="auto"/>
                <w:lang w:val="en-US" w:eastAsia="zh-CN"/>
              </w:rPr>
              <w:t>约456个/a，约0.3t/a，属于危险废物，委托有资质单位处置。</w:t>
            </w:r>
          </w:p>
          <w:p w14:paraId="3ABA5CD0">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11）</w:t>
            </w:r>
            <w:r>
              <w:rPr>
                <w:rFonts w:hint="default"/>
                <w:color w:val="auto"/>
                <w:lang w:val="en-US"/>
              </w:rPr>
              <w:t>废化学品包装桶</w:t>
            </w:r>
          </w:p>
          <w:p w14:paraId="32537C8F">
            <w:pPr>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本项目使用硝酸、</w:t>
            </w:r>
            <w:r>
              <w:rPr>
                <w:rFonts w:hint="default"/>
                <w:color w:val="auto"/>
              </w:rPr>
              <w:t>氢氧化钠</w:t>
            </w:r>
            <w:r>
              <w:rPr>
                <w:rFonts w:hint="eastAsia"/>
                <w:color w:val="auto"/>
                <w:lang w:val="en-US" w:eastAsia="zh-CN"/>
              </w:rPr>
              <w:t>等化学品采用桶装，产生废</w:t>
            </w:r>
            <w:r>
              <w:rPr>
                <w:rFonts w:hint="default"/>
                <w:color w:val="auto"/>
                <w:lang w:val="en-US"/>
              </w:rPr>
              <w:t>化学品包装桶</w:t>
            </w:r>
            <w:r>
              <w:rPr>
                <w:rFonts w:hint="eastAsia"/>
                <w:color w:val="auto"/>
                <w:lang w:val="en-US" w:eastAsia="zh-CN"/>
              </w:rPr>
              <w:t>约0.05t/a，属于危险废物，委托有资质单位处置。</w:t>
            </w:r>
          </w:p>
          <w:p w14:paraId="77CCB05D">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12）</w:t>
            </w:r>
            <w:r>
              <w:rPr>
                <w:rFonts w:hint="default"/>
                <w:color w:val="auto"/>
                <w:lang w:val="en-US"/>
              </w:rPr>
              <w:t>废机油</w:t>
            </w:r>
          </w:p>
          <w:p w14:paraId="12E46F8F">
            <w:pPr>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本项目使用机油约11.4t/a，产生</w:t>
            </w:r>
            <w:r>
              <w:rPr>
                <w:rFonts w:hint="default"/>
                <w:color w:val="auto"/>
                <w:lang w:val="en-US"/>
              </w:rPr>
              <w:t>废机油</w:t>
            </w:r>
            <w:r>
              <w:rPr>
                <w:rFonts w:hint="eastAsia"/>
                <w:color w:val="auto"/>
                <w:lang w:val="en-US" w:eastAsia="zh-CN"/>
              </w:rPr>
              <w:t>约11.4t/a，属于危险废物，委托有资质单位处置。</w:t>
            </w:r>
          </w:p>
          <w:p w14:paraId="465D7FB0">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13）</w:t>
            </w:r>
            <w:r>
              <w:rPr>
                <w:rFonts w:hint="default"/>
                <w:color w:val="auto"/>
                <w:lang w:val="en-US"/>
              </w:rPr>
              <w:t>废活性炭</w:t>
            </w:r>
          </w:p>
          <w:p w14:paraId="3F6E9ED4">
            <w:pPr>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本项目废气处理设施</w:t>
            </w:r>
            <w:r>
              <w:rPr>
                <w:rFonts w:hint="eastAsia"/>
                <w:color w:val="auto"/>
                <w:lang w:val="en-US"/>
              </w:rPr>
              <w:t>活性炭一次装填量</w:t>
            </w:r>
            <w:r>
              <w:rPr>
                <w:rFonts w:hint="eastAsia"/>
                <w:color w:val="auto"/>
                <w:lang w:val="en-US" w:eastAsia="zh-CN"/>
              </w:rPr>
              <w:t>为4t，每年更换6次，吸附挥发性有机物约2.312t/a，产生废活性炭约26.3t/a，属于危险废物，委托有资质单位处置。</w:t>
            </w:r>
          </w:p>
          <w:p w14:paraId="460B2162">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14）</w:t>
            </w:r>
            <w:r>
              <w:rPr>
                <w:rFonts w:hint="default"/>
                <w:color w:val="auto"/>
                <w:lang w:val="en-US"/>
              </w:rPr>
              <w:t>污泥</w:t>
            </w:r>
          </w:p>
          <w:p w14:paraId="514CBA8C">
            <w:pPr>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参考《城市排水工程规划规范》，按处理万立方米污水产含水率80%的污泥6t～9t估算（按9t计算），本项目</w:t>
            </w:r>
            <w:r>
              <w:rPr>
                <w:rFonts w:hint="eastAsia"/>
                <w:color w:val="auto"/>
                <w:lang w:val="en-US" w:eastAsia="zh-CN"/>
              </w:rPr>
              <w:t>排入南京娃哈哈饮料有限公司废水站污水量约为28886t/a</w:t>
            </w:r>
            <w:r>
              <w:rPr>
                <w:rFonts w:hint="default"/>
                <w:color w:val="auto"/>
                <w:lang w:val="en-US"/>
              </w:rPr>
              <w:t>，则污泥产生量约为</w:t>
            </w:r>
            <w:r>
              <w:rPr>
                <w:rFonts w:hint="eastAsia"/>
                <w:color w:val="auto"/>
                <w:lang w:val="en-US" w:eastAsia="zh-CN"/>
              </w:rPr>
              <w:t>26</w:t>
            </w:r>
            <w:r>
              <w:rPr>
                <w:rFonts w:hint="default"/>
                <w:color w:val="auto"/>
                <w:lang w:val="en-US"/>
              </w:rPr>
              <w:t>t/a</w:t>
            </w:r>
            <w:r>
              <w:rPr>
                <w:rFonts w:hint="eastAsia"/>
                <w:color w:val="auto"/>
                <w:lang w:val="en-US" w:eastAsia="zh-CN"/>
              </w:rPr>
              <w:t>，本项目从事饮料生产，产生的废水不含重金属等有毒有害物质，产生的污泥属于一般工业固废，由南京娃哈哈饮料有限公司负责收集并委托专业处置单位处置。</w:t>
            </w:r>
          </w:p>
          <w:p w14:paraId="6968FC89">
            <w:pPr>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15）含油废液</w:t>
            </w:r>
          </w:p>
          <w:p w14:paraId="0AF8ED7A">
            <w:pPr>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根据建设单位提供资料，本项目空压机运行产生含油废液约1t/a，属于危险废物，委托有资质单位处置。</w:t>
            </w:r>
          </w:p>
          <w:p w14:paraId="52BC2AD0">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16）</w:t>
            </w:r>
            <w:r>
              <w:rPr>
                <w:rFonts w:hint="default"/>
                <w:color w:val="auto"/>
                <w:lang w:val="en-US"/>
              </w:rPr>
              <w:t>生活垃圾</w:t>
            </w:r>
          </w:p>
          <w:p w14:paraId="4232D986">
            <w:pPr>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本项目新增员工40人，生活垃圾按0.5kg/（人·天）计算，年工作300天，则产生生活垃圾约6t/a，环卫清运处理。</w:t>
            </w:r>
          </w:p>
          <w:p w14:paraId="4777270D">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17）</w:t>
            </w:r>
            <w:r>
              <w:rPr>
                <w:rFonts w:hint="default"/>
                <w:color w:val="auto"/>
                <w:lang w:val="en-US"/>
              </w:rPr>
              <w:t>食堂垃圾</w:t>
            </w:r>
          </w:p>
          <w:p w14:paraId="48EFC273">
            <w:pPr>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食堂备菜和就餐过程中产生厨余垃圾，按0.2kg/（人·天）计算，年工作300天，则产生生活垃圾约2.4t/a，环卫清运处理。</w:t>
            </w:r>
          </w:p>
          <w:p w14:paraId="22758205">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（2）固体废物鉴别</w:t>
            </w:r>
          </w:p>
          <w:p w14:paraId="1109B41D">
            <w:pPr>
              <w:keepNext w:val="0"/>
              <w:keepLines w:val="0"/>
              <w:suppressLineNumbers w:val="0"/>
              <w:bidi w:val="0"/>
              <w:spacing w:before="0" w:beforeAutospacing="0" w:after="0" w:afterAutospacing="0"/>
              <w:ind w:left="0" w:right="0"/>
              <w:rPr>
                <w:rFonts w:hint="eastAsia"/>
                <w:color w:val="auto"/>
                <w:lang w:val="en-US"/>
              </w:rPr>
            </w:pPr>
            <w:r>
              <w:rPr>
                <w:rFonts w:hint="eastAsia"/>
                <w:color w:val="auto"/>
                <w:lang w:val="en-US"/>
              </w:rPr>
              <w:t>根据《固体废物鉴别标准通则》（GB34330-2017）</w:t>
            </w:r>
            <w:r>
              <w:rPr>
                <w:rFonts w:hint="eastAsia"/>
                <w:color w:val="auto"/>
                <w:lang w:val="en-US" w:eastAsia="zh-CN"/>
              </w:rPr>
              <w:t>进行辨识</w:t>
            </w:r>
            <w:r>
              <w:rPr>
                <w:rFonts w:hint="eastAsia"/>
                <w:color w:val="auto"/>
                <w:lang w:val="en-US"/>
              </w:rPr>
              <w:t>，本项目固体</w:t>
            </w:r>
            <w:r>
              <w:rPr>
                <w:rFonts w:hint="eastAsia"/>
                <w:color w:val="auto"/>
                <w:lang w:val="en-US" w:eastAsia="zh-CN"/>
              </w:rPr>
              <w:t>废弃</w:t>
            </w:r>
            <w:r>
              <w:rPr>
                <w:rFonts w:hint="eastAsia"/>
                <w:color w:val="auto"/>
                <w:lang w:val="en-US"/>
              </w:rPr>
              <w:t>物鉴别情况见下表：</w:t>
            </w:r>
          </w:p>
          <w:p w14:paraId="3C4F7C26">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ascii="Times New Roman" w:hAnsi="Times New Roman" w:eastAsia="宋体"/>
                <w:color w:val="auto"/>
                <w:highlight w:val="none"/>
              </w:rPr>
              <w:t>表4-1</w:t>
            </w:r>
            <w:r>
              <w:rPr>
                <w:rFonts w:hint="eastAsia"/>
                <w:color w:val="auto"/>
                <w:highlight w:val="none"/>
                <w:lang w:val="en-US" w:eastAsia="zh-CN"/>
              </w:rPr>
              <w:t>8</w:t>
            </w:r>
            <w:r>
              <w:rPr>
                <w:rFonts w:ascii="Times New Roman" w:hAnsi="Times New Roman" w:eastAsia="宋体"/>
                <w:color w:val="auto"/>
                <w:highlight w:val="none"/>
              </w:rPr>
              <w:t>本项目固体废物属性判定结果</w:t>
            </w:r>
          </w:p>
          <w:tbl>
            <w:tblPr>
              <w:tblStyle w:val="16"/>
              <w:tblW w:w="781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71"/>
              <w:gridCol w:w="1177"/>
              <w:gridCol w:w="982"/>
              <w:gridCol w:w="500"/>
              <w:gridCol w:w="1174"/>
              <w:gridCol w:w="884"/>
              <w:gridCol w:w="1860"/>
              <w:gridCol w:w="871"/>
            </w:tblGrid>
            <w:tr w14:paraId="1B5729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vMerge w:val="restart"/>
                  <w:tcBorders>
                    <w:tl2br w:val="nil"/>
                    <w:tr2bl w:val="nil"/>
                  </w:tcBorders>
                  <w:shd w:val="clear" w:color="auto" w:fill="auto"/>
                  <w:vAlign w:val="center"/>
                </w:tcPr>
                <w:p w14:paraId="505A9FCF">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序号</w:t>
                  </w:r>
                </w:p>
              </w:tc>
              <w:tc>
                <w:tcPr>
                  <w:tcW w:w="1177" w:type="dxa"/>
                  <w:vMerge w:val="restart"/>
                  <w:tcBorders>
                    <w:tl2br w:val="nil"/>
                    <w:tr2bl w:val="nil"/>
                  </w:tcBorders>
                  <w:shd w:val="clear" w:color="auto" w:fill="auto"/>
                  <w:vAlign w:val="center"/>
                </w:tcPr>
                <w:p w14:paraId="3FB1B884">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固废名称</w:t>
                  </w:r>
                </w:p>
              </w:tc>
              <w:tc>
                <w:tcPr>
                  <w:tcW w:w="982" w:type="dxa"/>
                  <w:vMerge w:val="restart"/>
                  <w:tcBorders>
                    <w:tl2br w:val="nil"/>
                    <w:tr2bl w:val="nil"/>
                  </w:tcBorders>
                  <w:shd w:val="clear" w:color="auto" w:fill="auto"/>
                  <w:vAlign w:val="center"/>
                </w:tcPr>
                <w:p w14:paraId="20008482">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产生工序</w:t>
                  </w:r>
                </w:p>
              </w:tc>
              <w:tc>
                <w:tcPr>
                  <w:tcW w:w="500" w:type="dxa"/>
                  <w:vMerge w:val="restart"/>
                  <w:tcBorders>
                    <w:tl2br w:val="nil"/>
                    <w:tr2bl w:val="nil"/>
                  </w:tcBorders>
                  <w:shd w:val="clear" w:color="auto" w:fill="auto"/>
                  <w:vAlign w:val="center"/>
                </w:tcPr>
                <w:p w14:paraId="4EE83FEC">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形态</w:t>
                  </w:r>
                </w:p>
              </w:tc>
              <w:tc>
                <w:tcPr>
                  <w:tcW w:w="1174" w:type="dxa"/>
                  <w:vMerge w:val="restart"/>
                  <w:tcBorders>
                    <w:tl2br w:val="nil"/>
                    <w:tr2bl w:val="nil"/>
                  </w:tcBorders>
                  <w:shd w:val="clear" w:color="auto" w:fill="auto"/>
                  <w:vAlign w:val="center"/>
                </w:tcPr>
                <w:p w14:paraId="3EE932A0">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主要成分</w:t>
                  </w:r>
                </w:p>
              </w:tc>
              <w:tc>
                <w:tcPr>
                  <w:tcW w:w="884" w:type="dxa"/>
                  <w:vMerge w:val="restart"/>
                  <w:tcBorders>
                    <w:tl2br w:val="nil"/>
                    <w:tr2bl w:val="nil"/>
                  </w:tcBorders>
                  <w:shd w:val="clear" w:color="auto" w:fill="auto"/>
                  <w:vAlign w:val="center"/>
                </w:tcPr>
                <w:p w14:paraId="13480190">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预测产生量（</w:t>
                  </w:r>
                  <w:r>
                    <w:rPr>
                      <w:rFonts w:hint="default" w:ascii="Times New Roman" w:hAnsi="Times New Roman" w:eastAsia="宋体"/>
                      <w:b/>
                      <w:bCs/>
                      <w:color w:val="auto"/>
                      <w:highlight w:val="none"/>
                      <w:lang w:val="en-US"/>
                    </w:rPr>
                    <w:t>t/a</w:t>
                  </w:r>
                  <w:r>
                    <w:rPr>
                      <w:rFonts w:hint="eastAsia" w:ascii="Times New Roman" w:hAnsi="Times New Roman" w:eastAsia="宋体"/>
                      <w:b/>
                      <w:bCs/>
                      <w:color w:val="auto"/>
                      <w:highlight w:val="none"/>
                      <w:lang w:val="en-US"/>
                    </w:rPr>
                    <w:t>）</w:t>
                  </w:r>
                </w:p>
              </w:tc>
              <w:tc>
                <w:tcPr>
                  <w:tcW w:w="2731" w:type="dxa"/>
                  <w:gridSpan w:val="2"/>
                  <w:tcBorders>
                    <w:tl2br w:val="nil"/>
                    <w:tr2bl w:val="nil"/>
                  </w:tcBorders>
                  <w:shd w:val="clear" w:color="auto" w:fill="auto"/>
                  <w:vAlign w:val="center"/>
                </w:tcPr>
                <w:p w14:paraId="4C70B832">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种类判断</w:t>
                  </w:r>
                  <w:r>
                    <w:rPr>
                      <w:rFonts w:hint="default" w:ascii="Times New Roman" w:hAnsi="Times New Roman" w:eastAsia="宋体"/>
                      <w:b/>
                      <w:bCs/>
                      <w:color w:val="auto"/>
                      <w:highlight w:val="none"/>
                      <w:lang w:val="en-US"/>
                    </w:rPr>
                    <w:t>*</w:t>
                  </w:r>
                </w:p>
              </w:tc>
            </w:tr>
            <w:tr w14:paraId="544186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vMerge w:val="continue"/>
                  <w:tcBorders>
                    <w:tl2br w:val="nil"/>
                    <w:tr2bl w:val="nil"/>
                  </w:tcBorders>
                  <w:shd w:val="clear" w:color="auto" w:fill="auto"/>
                  <w:vAlign w:val="center"/>
                </w:tcPr>
                <w:p w14:paraId="79E23327">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p>
              </w:tc>
              <w:tc>
                <w:tcPr>
                  <w:tcW w:w="1177" w:type="dxa"/>
                  <w:vMerge w:val="continue"/>
                  <w:tcBorders>
                    <w:tl2br w:val="nil"/>
                    <w:tr2bl w:val="nil"/>
                  </w:tcBorders>
                  <w:shd w:val="clear" w:color="auto" w:fill="auto"/>
                  <w:vAlign w:val="center"/>
                </w:tcPr>
                <w:p w14:paraId="75D1680F">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p>
              </w:tc>
              <w:tc>
                <w:tcPr>
                  <w:tcW w:w="982" w:type="dxa"/>
                  <w:vMerge w:val="continue"/>
                  <w:tcBorders>
                    <w:tl2br w:val="nil"/>
                    <w:tr2bl w:val="nil"/>
                  </w:tcBorders>
                  <w:shd w:val="clear" w:color="auto" w:fill="auto"/>
                  <w:vAlign w:val="center"/>
                </w:tcPr>
                <w:p w14:paraId="7D920241">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p>
              </w:tc>
              <w:tc>
                <w:tcPr>
                  <w:tcW w:w="500" w:type="dxa"/>
                  <w:vMerge w:val="continue"/>
                  <w:tcBorders>
                    <w:tl2br w:val="nil"/>
                    <w:tr2bl w:val="nil"/>
                  </w:tcBorders>
                  <w:shd w:val="clear" w:color="auto" w:fill="auto"/>
                  <w:vAlign w:val="center"/>
                </w:tcPr>
                <w:p w14:paraId="656D6CB9">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p>
              </w:tc>
              <w:tc>
                <w:tcPr>
                  <w:tcW w:w="1174" w:type="dxa"/>
                  <w:vMerge w:val="continue"/>
                  <w:tcBorders>
                    <w:tl2br w:val="nil"/>
                    <w:tr2bl w:val="nil"/>
                  </w:tcBorders>
                  <w:shd w:val="clear" w:color="auto" w:fill="auto"/>
                  <w:vAlign w:val="center"/>
                </w:tcPr>
                <w:p w14:paraId="31F0F1D0">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p>
              </w:tc>
              <w:tc>
                <w:tcPr>
                  <w:tcW w:w="884" w:type="dxa"/>
                  <w:vMerge w:val="continue"/>
                  <w:tcBorders>
                    <w:tl2br w:val="nil"/>
                    <w:tr2bl w:val="nil"/>
                  </w:tcBorders>
                  <w:shd w:val="clear" w:color="auto" w:fill="auto"/>
                  <w:vAlign w:val="center"/>
                </w:tcPr>
                <w:p w14:paraId="03799507">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p>
              </w:tc>
              <w:tc>
                <w:tcPr>
                  <w:tcW w:w="1860" w:type="dxa"/>
                  <w:tcBorders>
                    <w:tl2br w:val="nil"/>
                    <w:tr2bl w:val="nil"/>
                  </w:tcBorders>
                  <w:shd w:val="clear" w:color="auto" w:fill="auto"/>
                  <w:vAlign w:val="center"/>
                </w:tcPr>
                <w:p w14:paraId="6A56E690">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是否属于固体废物</w:t>
                  </w:r>
                </w:p>
              </w:tc>
              <w:tc>
                <w:tcPr>
                  <w:tcW w:w="871" w:type="dxa"/>
                  <w:tcBorders>
                    <w:tl2br w:val="nil"/>
                    <w:tr2bl w:val="nil"/>
                  </w:tcBorders>
                  <w:shd w:val="clear" w:color="auto" w:fill="auto"/>
                  <w:vAlign w:val="center"/>
                </w:tcPr>
                <w:p w14:paraId="22D804EC">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判定依据</w:t>
                  </w:r>
                </w:p>
              </w:tc>
            </w:tr>
            <w:tr w14:paraId="71B32C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tcBorders>
                    <w:tl2br w:val="nil"/>
                    <w:tr2bl w:val="nil"/>
                  </w:tcBorders>
                  <w:shd w:val="clear" w:color="auto" w:fill="auto"/>
                  <w:vAlign w:val="center"/>
                </w:tcPr>
                <w:p w14:paraId="70D9B7B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val="en-US"/>
                    </w:rPr>
                    <w:t>1</w:t>
                  </w:r>
                </w:p>
              </w:tc>
              <w:tc>
                <w:tcPr>
                  <w:tcW w:w="1177" w:type="dxa"/>
                  <w:tcBorders>
                    <w:tl2br w:val="nil"/>
                    <w:tr2bl w:val="nil"/>
                  </w:tcBorders>
                  <w:shd w:val="clear" w:color="auto" w:fill="auto"/>
                  <w:vAlign w:val="center"/>
                </w:tcPr>
                <w:p w14:paraId="6B694815">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废活性炭（制纯水）</w:t>
                  </w:r>
                </w:p>
              </w:tc>
              <w:tc>
                <w:tcPr>
                  <w:tcW w:w="982" w:type="dxa"/>
                  <w:tcBorders>
                    <w:tl2br w:val="nil"/>
                    <w:tr2bl w:val="nil"/>
                  </w:tcBorders>
                  <w:shd w:val="clear" w:color="auto" w:fill="auto"/>
                  <w:vAlign w:val="center"/>
                </w:tcPr>
                <w:p w14:paraId="40FF49C9">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炭虑</w:t>
                  </w:r>
                </w:p>
              </w:tc>
              <w:tc>
                <w:tcPr>
                  <w:tcW w:w="500" w:type="dxa"/>
                  <w:tcBorders>
                    <w:tl2br w:val="nil"/>
                    <w:tr2bl w:val="nil"/>
                  </w:tcBorders>
                  <w:shd w:val="clear" w:color="auto" w:fill="auto"/>
                  <w:vAlign w:val="center"/>
                </w:tcPr>
                <w:p w14:paraId="1CBE7D1D">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1174" w:type="dxa"/>
                  <w:tcBorders>
                    <w:tl2br w:val="nil"/>
                    <w:tr2bl w:val="nil"/>
                  </w:tcBorders>
                  <w:shd w:val="clear" w:color="auto" w:fill="auto"/>
                  <w:vAlign w:val="center"/>
                </w:tcPr>
                <w:p w14:paraId="52D273E3">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活性炭</w:t>
                  </w:r>
                </w:p>
              </w:tc>
              <w:tc>
                <w:tcPr>
                  <w:tcW w:w="884" w:type="dxa"/>
                  <w:tcBorders>
                    <w:tl2br w:val="nil"/>
                    <w:tr2bl w:val="nil"/>
                  </w:tcBorders>
                  <w:shd w:val="clear" w:color="auto" w:fill="auto"/>
                  <w:vAlign w:val="center"/>
                </w:tcPr>
                <w:p w14:paraId="6EB4A7B3">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12</w:t>
                  </w:r>
                </w:p>
              </w:tc>
              <w:tc>
                <w:tcPr>
                  <w:tcW w:w="1860" w:type="dxa"/>
                  <w:tcBorders>
                    <w:tl2br w:val="nil"/>
                    <w:tr2bl w:val="nil"/>
                  </w:tcBorders>
                  <w:shd w:val="clear" w:color="auto" w:fill="auto"/>
                  <w:vAlign w:val="center"/>
                </w:tcPr>
                <w:p w14:paraId="23926ED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是</w:t>
                  </w:r>
                </w:p>
              </w:tc>
              <w:tc>
                <w:tcPr>
                  <w:tcW w:w="871" w:type="dxa"/>
                  <w:vMerge w:val="restart"/>
                  <w:tcBorders>
                    <w:tl2br w:val="nil"/>
                    <w:tr2bl w:val="nil"/>
                  </w:tcBorders>
                  <w:shd w:val="clear" w:color="auto" w:fill="auto"/>
                  <w:vAlign w:val="center"/>
                </w:tcPr>
                <w:p w14:paraId="43B429C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《固体废物鉴别标准通则》（GB34330-2017）</w:t>
                  </w:r>
                </w:p>
              </w:tc>
            </w:tr>
            <w:tr w14:paraId="25D87B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tcBorders>
                    <w:tl2br w:val="nil"/>
                    <w:tr2bl w:val="nil"/>
                  </w:tcBorders>
                  <w:shd w:val="clear" w:color="auto" w:fill="auto"/>
                  <w:vAlign w:val="center"/>
                </w:tcPr>
                <w:p w14:paraId="17BD0C34">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lang w:val="en-US"/>
                    </w:rPr>
                    <w:t>2</w:t>
                  </w:r>
                </w:p>
              </w:tc>
              <w:tc>
                <w:tcPr>
                  <w:tcW w:w="1177" w:type="dxa"/>
                  <w:tcBorders>
                    <w:tl2br w:val="nil"/>
                    <w:tr2bl w:val="nil"/>
                  </w:tcBorders>
                  <w:shd w:val="clear" w:color="auto" w:fill="auto"/>
                  <w:vAlign w:val="center"/>
                </w:tcPr>
                <w:p w14:paraId="39B5752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废反渗透膜</w:t>
                  </w:r>
                </w:p>
              </w:tc>
              <w:tc>
                <w:tcPr>
                  <w:tcW w:w="982" w:type="dxa"/>
                  <w:tcBorders>
                    <w:tl2br w:val="nil"/>
                    <w:tr2bl w:val="nil"/>
                  </w:tcBorders>
                  <w:shd w:val="clear" w:color="auto" w:fill="auto"/>
                  <w:vAlign w:val="center"/>
                </w:tcPr>
                <w:p w14:paraId="190D879D">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两级反渗透</w:t>
                  </w:r>
                </w:p>
              </w:tc>
              <w:tc>
                <w:tcPr>
                  <w:tcW w:w="500" w:type="dxa"/>
                  <w:tcBorders>
                    <w:tl2br w:val="nil"/>
                    <w:tr2bl w:val="nil"/>
                  </w:tcBorders>
                  <w:shd w:val="clear" w:color="auto" w:fill="auto"/>
                  <w:vAlign w:val="center"/>
                </w:tcPr>
                <w:p w14:paraId="0FE4E2E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1174" w:type="dxa"/>
                  <w:tcBorders>
                    <w:tl2br w:val="nil"/>
                    <w:tr2bl w:val="nil"/>
                  </w:tcBorders>
                  <w:shd w:val="clear" w:color="auto" w:fill="auto"/>
                  <w:vAlign w:val="center"/>
                </w:tcPr>
                <w:p w14:paraId="6138CAB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塑料膜</w:t>
                  </w:r>
                </w:p>
              </w:tc>
              <w:tc>
                <w:tcPr>
                  <w:tcW w:w="884" w:type="dxa"/>
                  <w:tcBorders>
                    <w:tl2br w:val="nil"/>
                    <w:tr2bl w:val="nil"/>
                  </w:tcBorders>
                  <w:shd w:val="clear" w:color="auto" w:fill="auto"/>
                  <w:vAlign w:val="center"/>
                </w:tcPr>
                <w:p w14:paraId="64DCD2EE">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w:t>
                  </w:r>
                </w:p>
              </w:tc>
              <w:tc>
                <w:tcPr>
                  <w:tcW w:w="1860" w:type="dxa"/>
                  <w:tcBorders>
                    <w:tl2br w:val="nil"/>
                    <w:tr2bl w:val="nil"/>
                  </w:tcBorders>
                  <w:shd w:val="clear" w:color="auto" w:fill="auto"/>
                  <w:vAlign w:val="center"/>
                </w:tcPr>
                <w:p w14:paraId="67BCAB7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是</w:t>
                  </w:r>
                </w:p>
              </w:tc>
              <w:tc>
                <w:tcPr>
                  <w:tcW w:w="871" w:type="dxa"/>
                  <w:vMerge w:val="continue"/>
                  <w:tcBorders>
                    <w:tl2br w:val="nil"/>
                    <w:tr2bl w:val="nil"/>
                  </w:tcBorders>
                  <w:shd w:val="clear" w:color="auto" w:fill="auto"/>
                  <w:vAlign w:val="center"/>
                </w:tcPr>
                <w:p w14:paraId="751A2AF9">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r>
            <w:tr w14:paraId="30D300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tcBorders>
                    <w:tl2br w:val="nil"/>
                    <w:tr2bl w:val="nil"/>
                  </w:tcBorders>
                  <w:shd w:val="clear" w:color="auto" w:fill="auto"/>
                  <w:vAlign w:val="center"/>
                </w:tcPr>
                <w:p w14:paraId="01B964F9">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default" w:ascii="Times New Roman" w:hAnsi="Times New Roman" w:eastAsia="宋体"/>
                      <w:color w:val="auto"/>
                      <w:highlight w:val="none"/>
                      <w:lang w:val="en-US"/>
                    </w:rPr>
                    <w:t>3</w:t>
                  </w:r>
                </w:p>
              </w:tc>
              <w:tc>
                <w:tcPr>
                  <w:tcW w:w="1177" w:type="dxa"/>
                  <w:tcBorders>
                    <w:tl2br w:val="nil"/>
                    <w:tr2bl w:val="nil"/>
                  </w:tcBorders>
                  <w:shd w:val="clear" w:color="auto" w:fill="auto"/>
                  <w:vAlign w:val="center"/>
                </w:tcPr>
                <w:p w14:paraId="406343B4">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废滤芯</w:t>
                  </w:r>
                </w:p>
              </w:tc>
              <w:tc>
                <w:tcPr>
                  <w:tcW w:w="982" w:type="dxa"/>
                  <w:vMerge w:val="restart"/>
                  <w:tcBorders>
                    <w:tl2br w:val="nil"/>
                    <w:tr2bl w:val="nil"/>
                  </w:tcBorders>
                  <w:shd w:val="clear" w:color="auto" w:fill="auto"/>
                  <w:vAlign w:val="center"/>
                </w:tcPr>
                <w:p w14:paraId="3B29206B">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臭氧制备</w:t>
                  </w:r>
                </w:p>
              </w:tc>
              <w:tc>
                <w:tcPr>
                  <w:tcW w:w="500" w:type="dxa"/>
                  <w:tcBorders>
                    <w:tl2br w:val="nil"/>
                    <w:tr2bl w:val="nil"/>
                  </w:tcBorders>
                  <w:shd w:val="clear" w:color="auto" w:fill="auto"/>
                  <w:vAlign w:val="center"/>
                </w:tcPr>
                <w:p w14:paraId="33CD730D">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1174" w:type="dxa"/>
                  <w:tcBorders>
                    <w:tl2br w:val="nil"/>
                    <w:tr2bl w:val="nil"/>
                  </w:tcBorders>
                  <w:shd w:val="clear" w:color="auto" w:fill="auto"/>
                  <w:vAlign w:val="center"/>
                </w:tcPr>
                <w:p w14:paraId="6BC38CD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zh-CN" w:eastAsia="zh-CN" w:bidi="zh-CN"/>
                    </w:rPr>
                  </w:pPr>
                  <w:r>
                    <w:rPr>
                      <w:rFonts w:hint="eastAsia"/>
                      <w:color w:val="auto"/>
                      <w:highlight w:val="none"/>
                      <w:lang w:val="en-US" w:eastAsia="zh-CN"/>
                    </w:rPr>
                    <w:t>塑料</w:t>
                  </w:r>
                </w:p>
              </w:tc>
              <w:tc>
                <w:tcPr>
                  <w:tcW w:w="884" w:type="dxa"/>
                  <w:tcBorders>
                    <w:tl2br w:val="nil"/>
                    <w:tr2bl w:val="nil"/>
                  </w:tcBorders>
                  <w:shd w:val="clear" w:color="auto" w:fill="auto"/>
                  <w:vAlign w:val="center"/>
                </w:tcPr>
                <w:p w14:paraId="47FE18A0">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w:t>
                  </w:r>
                </w:p>
              </w:tc>
              <w:tc>
                <w:tcPr>
                  <w:tcW w:w="1860" w:type="dxa"/>
                  <w:tcBorders>
                    <w:tl2br w:val="nil"/>
                    <w:tr2bl w:val="nil"/>
                  </w:tcBorders>
                  <w:shd w:val="clear" w:color="auto" w:fill="auto"/>
                  <w:vAlign w:val="center"/>
                </w:tcPr>
                <w:p w14:paraId="7A037EC6">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eastAsia" w:ascii="Times New Roman" w:hAnsi="Times New Roman" w:eastAsia="宋体"/>
                      <w:color w:val="auto"/>
                      <w:highlight w:val="none"/>
                      <w:lang w:val="en-US"/>
                    </w:rPr>
                    <w:t>是</w:t>
                  </w:r>
                </w:p>
              </w:tc>
              <w:tc>
                <w:tcPr>
                  <w:tcW w:w="871" w:type="dxa"/>
                  <w:vMerge w:val="continue"/>
                  <w:tcBorders>
                    <w:tl2br w:val="nil"/>
                    <w:tr2bl w:val="nil"/>
                  </w:tcBorders>
                  <w:shd w:val="clear" w:color="auto" w:fill="auto"/>
                  <w:vAlign w:val="center"/>
                </w:tcPr>
                <w:p w14:paraId="73236B2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61B344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tcBorders>
                    <w:tl2br w:val="nil"/>
                    <w:tr2bl w:val="nil"/>
                  </w:tcBorders>
                  <w:shd w:val="clear" w:color="auto" w:fill="auto"/>
                  <w:vAlign w:val="center"/>
                </w:tcPr>
                <w:p w14:paraId="29BB8B8E">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lang w:val="en-US"/>
                    </w:rPr>
                    <w:t>4</w:t>
                  </w:r>
                </w:p>
              </w:tc>
              <w:tc>
                <w:tcPr>
                  <w:tcW w:w="1177" w:type="dxa"/>
                  <w:tcBorders>
                    <w:tl2br w:val="nil"/>
                    <w:tr2bl w:val="nil"/>
                  </w:tcBorders>
                  <w:shd w:val="clear" w:color="auto" w:fill="auto"/>
                  <w:vAlign w:val="center"/>
                </w:tcPr>
                <w:p w14:paraId="1AE59710">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废分子筛</w:t>
                  </w:r>
                </w:p>
              </w:tc>
              <w:tc>
                <w:tcPr>
                  <w:tcW w:w="982" w:type="dxa"/>
                  <w:vMerge w:val="continue"/>
                  <w:tcBorders>
                    <w:tl2br w:val="nil"/>
                    <w:tr2bl w:val="nil"/>
                  </w:tcBorders>
                  <w:shd w:val="clear" w:color="auto" w:fill="auto"/>
                  <w:vAlign w:val="center"/>
                </w:tcPr>
                <w:p w14:paraId="74E0F76F">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p>
              </w:tc>
              <w:tc>
                <w:tcPr>
                  <w:tcW w:w="500" w:type="dxa"/>
                  <w:tcBorders>
                    <w:tl2br w:val="nil"/>
                    <w:tr2bl w:val="nil"/>
                  </w:tcBorders>
                  <w:shd w:val="clear" w:color="auto" w:fill="auto"/>
                  <w:vAlign w:val="center"/>
                </w:tcPr>
                <w:p w14:paraId="7581471F">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1174" w:type="dxa"/>
                  <w:tcBorders>
                    <w:tl2br w:val="nil"/>
                    <w:tr2bl w:val="nil"/>
                  </w:tcBorders>
                  <w:shd w:val="clear" w:color="auto" w:fill="auto"/>
                  <w:vAlign w:val="center"/>
                </w:tcPr>
                <w:p w14:paraId="7B925C6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碳分子筛</w:t>
                  </w:r>
                </w:p>
              </w:tc>
              <w:tc>
                <w:tcPr>
                  <w:tcW w:w="884" w:type="dxa"/>
                  <w:tcBorders>
                    <w:tl2br w:val="nil"/>
                    <w:tr2bl w:val="nil"/>
                  </w:tcBorders>
                  <w:shd w:val="clear" w:color="auto" w:fill="auto"/>
                  <w:vAlign w:val="center"/>
                </w:tcPr>
                <w:p w14:paraId="38EEF9A3">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0.5</w:t>
                  </w:r>
                </w:p>
              </w:tc>
              <w:tc>
                <w:tcPr>
                  <w:tcW w:w="1860" w:type="dxa"/>
                  <w:tcBorders>
                    <w:tl2br w:val="nil"/>
                    <w:tr2bl w:val="nil"/>
                  </w:tcBorders>
                  <w:shd w:val="clear" w:color="auto" w:fill="auto"/>
                  <w:vAlign w:val="center"/>
                </w:tcPr>
                <w:p w14:paraId="42EBBA8E">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是</w:t>
                  </w:r>
                </w:p>
              </w:tc>
              <w:tc>
                <w:tcPr>
                  <w:tcW w:w="871" w:type="dxa"/>
                  <w:vMerge w:val="continue"/>
                  <w:tcBorders>
                    <w:tl2br w:val="nil"/>
                    <w:tr2bl w:val="nil"/>
                  </w:tcBorders>
                  <w:shd w:val="clear" w:color="auto" w:fill="auto"/>
                  <w:vAlign w:val="center"/>
                </w:tcPr>
                <w:p w14:paraId="6860B95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08DC41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tcBorders>
                    <w:tl2br w:val="nil"/>
                    <w:tr2bl w:val="nil"/>
                  </w:tcBorders>
                  <w:shd w:val="clear" w:color="auto" w:fill="auto"/>
                  <w:vAlign w:val="center"/>
                </w:tcPr>
                <w:p w14:paraId="354693D2">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lang w:val="en-US"/>
                    </w:rPr>
                    <w:t>5</w:t>
                  </w:r>
                </w:p>
              </w:tc>
              <w:tc>
                <w:tcPr>
                  <w:tcW w:w="1177" w:type="dxa"/>
                  <w:tcBorders>
                    <w:tl2br w:val="nil"/>
                    <w:tr2bl w:val="nil"/>
                  </w:tcBorders>
                  <w:shd w:val="clear" w:color="auto" w:fill="auto"/>
                  <w:vAlign w:val="center"/>
                </w:tcPr>
                <w:p w14:paraId="6FA1A4BF">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废塑料</w:t>
                  </w:r>
                </w:p>
              </w:tc>
              <w:tc>
                <w:tcPr>
                  <w:tcW w:w="982" w:type="dxa"/>
                  <w:tcBorders>
                    <w:tl2br w:val="nil"/>
                    <w:tr2bl w:val="nil"/>
                  </w:tcBorders>
                  <w:shd w:val="clear" w:color="auto" w:fill="auto"/>
                  <w:vAlign w:val="center"/>
                </w:tcPr>
                <w:p w14:paraId="273A1BD7">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注塑、吹制成瓶</w:t>
                  </w:r>
                </w:p>
              </w:tc>
              <w:tc>
                <w:tcPr>
                  <w:tcW w:w="500" w:type="dxa"/>
                  <w:tcBorders>
                    <w:tl2br w:val="nil"/>
                    <w:tr2bl w:val="nil"/>
                  </w:tcBorders>
                  <w:shd w:val="clear" w:color="auto" w:fill="auto"/>
                  <w:vAlign w:val="center"/>
                </w:tcPr>
                <w:p w14:paraId="7B4AC2AC">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1174" w:type="dxa"/>
                  <w:tcBorders>
                    <w:tl2br w:val="nil"/>
                    <w:tr2bl w:val="nil"/>
                  </w:tcBorders>
                  <w:shd w:val="clear" w:color="auto" w:fill="auto"/>
                  <w:vAlign w:val="center"/>
                </w:tcPr>
                <w:p w14:paraId="7E1B29D5">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PET塑料</w:t>
                  </w:r>
                </w:p>
              </w:tc>
              <w:tc>
                <w:tcPr>
                  <w:tcW w:w="884" w:type="dxa"/>
                  <w:tcBorders>
                    <w:tl2br w:val="nil"/>
                    <w:tr2bl w:val="nil"/>
                  </w:tcBorders>
                  <w:shd w:val="clear" w:color="auto" w:fill="auto"/>
                  <w:vAlign w:val="center"/>
                </w:tcPr>
                <w:p w14:paraId="7320B933">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45</w:t>
                  </w:r>
                </w:p>
              </w:tc>
              <w:tc>
                <w:tcPr>
                  <w:tcW w:w="1860" w:type="dxa"/>
                  <w:tcBorders>
                    <w:tl2br w:val="nil"/>
                    <w:tr2bl w:val="nil"/>
                  </w:tcBorders>
                  <w:shd w:val="clear" w:color="auto" w:fill="auto"/>
                  <w:vAlign w:val="center"/>
                </w:tcPr>
                <w:p w14:paraId="496DDE3A">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是</w:t>
                  </w:r>
                </w:p>
              </w:tc>
              <w:tc>
                <w:tcPr>
                  <w:tcW w:w="871" w:type="dxa"/>
                  <w:vMerge w:val="continue"/>
                  <w:tcBorders>
                    <w:tl2br w:val="nil"/>
                    <w:tr2bl w:val="nil"/>
                  </w:tcBorders>
                  <w:shd w:val="clear" w:color="auto" w:fill="auto"/>
                  <w:vAlign w:val="center"/>
                </w:tcPr>
                <w:p w14:paraId="16F324E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0616FE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tcBorders>
                    <w:tl2br w:val="nil"/>
                    <w:tr2bl w:val="nil"/>
                  </w:tcBorders>
                  <w:shd w:val="clear" w:color="auto" w:fill="auto"/>
                  <w:vAlign w:val="center"/>
                </w:tcPr>
                <w:p w14:paraId="04B6CA50">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default" w:ascii="Times New Roman" w:hAnsi="Times New Roman" w:eastAsia="宋体"/>
                      <w:color w:val="auto"/>
                      <w:highlight w:val="none"/>
                      <w:lang w:val="en-US"/>
                    </w:rPr>
                    <w:t>6</w:t>
                  </w:r>
                </w:p>
              </w:tc>
              <w:tc>
                <w:tcPr>
                  <w:tcW w:w="1177" w:type="dxa"/>
                  <w:tcBorders>
                    <w:tl2br w:val="nil"/>
                    <w:tr2bl w:val="nil"/>
                  </w:tcBorders>
                  <w:shd w:val="clear" w:color="auto" w:fill="auto"/>
                  <w:vAlign w:val="center"/>
                </w:tcPr>
                <w:p w14:paraId="737C17B5">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废紫外灯管</w:t>
                  </w:r>
                </w:p>
              </w:tc>
              <w:tc>
                <w:tcPr>
                  <w:tcW w:w="982" w:type="dxa"/>
                  <w:tcBorders>
                    <w:tl2br w:val="nil"/>
                    <w:tr2bl w:val="nil"/>
                  </w:tcBorders>
                  <w:shd w:val="clear" w:color="auto" w:fill="auto"/>
                  <w:vAlign w:val="center"/>
                </w:tcPr>
                <w:p w14:paraId="7AA660E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紫外消毒</w:t>
                  </w:r>
                </w:p>
              </w:tc>
              <w:tc>
                <w:tcPr>
                  <w:tcW w:w="500" w:type="dxa"/>
                  <w:tcBorders>
                    <w:tl2br w:val="nil"/>
                    <w:tr2bl w:val="nil"/>
                  </w:tcBorders>
                  <w:shd w:val="clear" w:color="auto" w:fill="auto"/>
                  <w:vAlign w:val="center"/>
                </w:tcPr>
                <w:p w14:paraId="5BDF87C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1174" w:type="dxa"/>
                  <w:tcBorders>
                    <w:tl2br w:val="nil"/>
                    <w:tr2bl w:val="nil"/>
                  </w:tcBorders>
                  <w:shd w:val="clear" w:color="auto" w:fill="auto"/>
                  <w:vAlign w:val="center"/>
                </w:tcPr>
                <w:p w14:paraId="2967E63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含汞灯管</w:t>
                  </w:r>
                </w:p>
              </w:tc>
              <w:tc>
                <w:tcPr>
                  <w:tcW w:w="884" w:type="dxa"/>
                  <w:tcBorders>
                    <w:tl2br w:val="nil"/>
                    <w:tr2bl w:val="nil"/>
                  </w:tcBorders>
                  <w:shd w:val="clear" w:color="auto" w:fill="auto"/>
                  <w:vAlign w:val="center"/>
                </w:tcPr>
                <w:p w14:paraId="11F84D96">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0.005</w:t>
                  </w:r>
                </w:p>
              </w:tc>
              <w:tc>
                <w:tcPr>
                  <w:tcW w:w="1860" w:type="dxa"/>
                  <w:tcBorders>
                    <w:tl2br w:val="nil"/>
                    <w:tr2bl w:val="nil"/>
                  </w:tcBorders>
                  <w:shd w:val="clear" w:color="auto" w:fill="auto"/>
                  <w:vAlign w:val="center"/>
                </w:tcPr>
                <w:p w14:paraId="7DC53966">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eastAsia="zh-CN"/>
                    </w:rPr>
                  </w:pPr>
                  <w:r>
                    <w:rPr>
                      <w:rFonts w:hint="eastAsia" w:ascii="Times New Roman" w:hAnsi="Times New Roman" w:eastAsia="宋体"/>
                      <w:color w:val="auto"/>
                      <w:highlight w:val="none"/>
                      <w:lang w:val="en-US"/>
                    </w:rPr>
                    <w:t>是</w:t>
                  </w:r>
                </w:p>
              </w:tc>
              <w:tc>
                <w:tcPr>
                  <w:tcW w:w="871" w:type="dxa"/>
                  <w:vMerge w:val="continue"/>
                  <w:tcBorders>
                    <w:tl2br w:val="nil"/>
                    <w:tr2bl w:val="nil"/>
                  </w:tcBorders>
                  <w:shd w:val="clear" w:color="auto" w:fill="auto"/>
                  <w:vAlign w:val="center"/>
                </w:tcPr>
                <w:p w14:paraId="1237E9F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13BF9E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tcBorders>
                    <w:tl2br w:val="nil"/>
                    <w:tr2bl w:val="nil"/>
                  </w:tcBorders>
                  <w:shd w:val="clear" w:color="auto" w:fill="auto"/>
                  <w:vAlign w:val="center"/>
                </w:tcPr>
                <w:p w14:paraId="59AF7E86">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olor w:val="auto"/>
                      <w:highlight w:val="none"/>
                      <w:lang w:val="en-US" w:eastAsia="zh-CN"/>
                    </w:rPr>
                  </w:pPr>
                  <w:r>
                    <w:rPr>
                      <w:rFonts w:hint="eastAsia"/>
                      <w:color w:val="auto"/>
                      <w:highlight w:val="none"/>
                      <w:lang w:val="en-US" w:eastAsia="zh-CN"/>
                    </w:rPr>
                    <w:t>7</w:t>
                  </w:r>
                </w:p>
              </w:tc>
              <w:tc>
                <w:tcPr>
                  <w:tcW w:w="1177" w:type="dxa"/>
                  <w:tcBorders>
                    <w:tl2br w:val="nil"/>
                    <w:tr2bl w:val="nil"/>
                  </w:tcBorders>
                  <w:shd w:val="clear" w:color="auto" w:fill="auto"/>
                  <w:vAlign w:val="center"/>
                </w:tcPr>
                <w:p w14:paraId="368605CA">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废纸箱</w:t>
                  </w:r>
                </w:p>
              </w:tc>
              <w:tc>
                <w:tcPr>
                  <w:tcW w:w="982" w:type="dxa"/>
                  <w:vMerge w:val="restart"/>
                  <w:tcBorders>
                    <w:tl2br w:val="nil"/>
                    <w:tr2bl w:val="nil"/>
                  </w:tcBorders>
                  <w:shd w:val="clear" w:color="auto" w:fill="auto"/>
                  <w:vAlign w:val="center"/>
                </w:tcPr>
                <w:p w14:paraId="1A3FE28B">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装箱</w:t>
                  </w:r>
                </w:p>
              </w:tc>
              <w:tc>
                <w:tcPr>
                  <w:tcW w:w="500" w:type="dxa"/>
                  <w:tcBorders>
                    <w:tl2br w:val="nil"/>
                    <w:tr2bl w:val="nil"/>
                  </w:tcBorders>
                  <w:shd w:val="clear" w:color="auto" w:fill="auto"/>
                  <w:vAlign w:val="center"/>
                </w:tcPr>
                <w:p w14:paraId="56E2CC36">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olor w:val="auto"/>
                      <w:highlight w:val="none"/>
                      <w:lang w:val="en-US" w:eastAsia="zh-CN"/>
                    </w:rPr>
                  </w:pPr>
                  <w:r>
                    <w:rPr>
                      <w:rFonts w:hint="eastAsia"/>
                      <w:color w:val="auto"/>
                      <w:highlight w:val="none"/>
                      <w:lang w:val="en-US" w:eastAsia="zh-CN"/>
                    </w:rPr>
                    <w:t>固态</w:t>
                  </w:r>
                </w:p>
              </w:tc>
              <w:tc>
                <w:tcPr>
                  <w:tcW w:w="1174" w:type="dxa"/>
                  <w:tcBorders>
                    <w:tl2br w:val="nil"/>
                    <w:tr2bl w:val="nil"/>
                  </w:tcBorders>
                  <w:shd w:val="clear" w:color="auto" w:fill="auto"/>
                  <w:vAlign w:val="center"/>
                </w:tcPr>
                <w:p w14:paraId="220E7586">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废纸</w:t>
                  </w:r>
                </w:p>
              </w:tc>
              <w:tc>
                <w:tcPr>
                  <w:tcW w:w="884" w:type="dxa"/>
                  <w:tcBorders>
                    <w:tl2br w:val="nil"/>
                    <w:tr2bl w:val="nil"/>
                  </w:tcBorders>
                  <w:shd w:val="clear" w:color="auto" w:fill="auto"/>
                  <w:vAlign w:val="center"/>
                </w:tcPr>
                <w:p w14:paraId="3C003ADE">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olor w:val="auto"/>
                      <w:highlight w:val="none"/>
                      <w:lang w:val="en-US" w:eastAsia="zh-CN"/>
                    </w:rPr>
                  </w:pPr>
                  <w:r>
                    <w:rPr>
                      <w:rFonts w:hint="eastAsia"/>
                      <w:color w:val="auto"/>
                      <w:highlight w:val="none"/>
                      <w:lang w:val="en-US" w:eastAsia="zh-CN"/>
                    </w:rPr>
                    <w:t>73</w:t>
                  </w:r>
                </w:p>
              </w:tc>
              <w:tc>
                <w:tcPr>
                  <w:tcW w:w="1860" w:type="dxa"/>
                  <w:tcBorders>
                    <w:tl2br w:val="nil"/>
                    <w:tr2bl w:val="nil"/>
                  </w:tcBorders>
                  <w:shd w:val="clear" w:color="auto" w:fill="auto"/>
                  <w:vAlign w:val="center"/>
                </w:tcPr>
                <w:p w14:paraId="354B882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是</w:t>
                  </w:r>
                </w:p>
              </w:tc>
              <w:tc>
                <w:tcPr>
                  <w:tcW w:w="871" w:type="dxa"/>
                  <w:vMerge w:val="continue"/>
                  <w:tcBorders>
                    <w:tl2br w:val="nil"/>
                    <w:tr2bl w:val="nil"/>
                  </w:tcBorders>
                  <w:shd w:val="clear" w:color="auto" w:fill="auto"/>
                  <w:vAlign w:val="center"/>
                </w:tcPr>
                <w:p w14:paraId="0F5D180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6E92E6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tcBorders>
                    <w:tl2br w:val="nil"/>
                    <w:tr2bl w:val="nil"/>
                  </w:tcBorders>
                  <w:shd w:val="clear" w:color="auto" w:fill="auto"/>
                  <w:vAlign w:val="center"/>
                </w:tcPr>
                <w:p w14:paraId="0DD8D97F">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8</w:t>
                  </w:r>
                </w:p>
              </w:tc>
              <w:tc>
                <w:tcPr>
                  <w:tcW w:w="1177" w:type="dxa"/>
                  <w:tcBorders>
                    <w:tl2br w:val="nil"/>
                    <w:tr2bl w:val="nil"/>
                  </w:tcBorders>
                  <w:shd w:val="clear" w:color="auto" w:fill="auto"/>
                  <w:vAlign w:val="center"/>
                </w:tcPr>
                <w:p w14:paraId="02639720">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废塑料膜</w:t>
                  </w:r>
                </w:p>
              </w:tc>
              <w:tc>
                <w:tcPr>
                  <w:tcW w:w="982" w:type="dxa"/>
                  <w:vMerge w:val="continue"/>
                  <w:tcBorders>
                    <w:tl2br w:val="nil"/>
                    <w:tr2bl w:val="nil"/>
                  </w:tcBorders>
                  <w:shd w:val="clear" w:color="auto" w:fill="auto"/>
                  <w:vAlign w:val="center"/>
                </w:tcPr>
                <w:p w14:paraId="056F04CF">
                  <w:pPr>
                    <w:pStyle w:val="21"/>
                    <w:keepNext w:val="0"/>
                    <w:keepLines w:val="0"/>
                    <w:suppressLineNumbers w:val="0"/>
                    <w:spacing w:before="0" w:beforeAutospacing="0" w:after="0" w:afterAutospacing="0"/>
                    <w:ind w:left="0" w:leftChars="0" w:right="0" w:rightChars="0" w:firstLine="0" w:firstLineChars="0"/>
                    <w:rPr>
                      <w:rFonts w:hint="eastAsia"/>
                      <w:color w:val="auto"/>
                      <w:highlight w:val="none"/>
                      <w:lang w:val="en-US" w:eastAsia="zh-CN"/>
                    </w:rPr>
                  </w:pPr>
                </w:p>
              </w:tc>
              <w:tc>
                <w:tcPr>
                  <w:tcW w:w="500" w:type="dxa"/>
                  <w:tcBorders>
                    <w:tl2br w:val="nil"/>
                    <w:tr2bl w:val="nil"/>
                  </w:tcBorders>
                  <w:shd w:val="clear" w:color="auto" w:fill="auto"/>
                  <w:vAlign w:val="center"/>
                </w:tcPr>
                <w:p w14:paraId="56B6887D">
                  <w:pPr>
                    <w:pStyle w:val="21"/>
                    <w:keepNext w:val="0"/>
                    <w:keepLines w:val="0"/>
                    <w:suppressLineNumbers w:val="0"/>
                    <w:spacing w:before="0" w:beforeAutospacing="0" w:after="0" w:afterAutospacing="0"/>
                    <w:ind w:left="0" w:leftChars="0" w:right="0" w:rightChars="0" w:firstLine="0" w:firstLineChars="0"/>
                    <w:rPr>
                      <w:rFonts w:hint="eastAsia"/>
                      <w:color w:val="auto"/>
                      <w:highlight w:val="none"/>
                      <w:lang w:val="en-US" w:eastAsia="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1174" w:type="dxa"/>
                  <w:tcBorders>
                    <w:tl2br w:val="nil"/>
                    <w:tr2bl w:val="nil"/>
                  </w:tcBorders>
                  <w:shd w:val="clear" w:color="auto" w:fill="auto"/>
                  <w:vAlign w:val="center"/>
                </w:tcPr>
                <w:p w14:paraId="57F59F4D">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塑料膜</w:t>
                  </w:r>
                </w:p>
              </w:tc>
              <w:tc>
                <w:tcPr>
                  <w:tcW w:w="884" w:type="dxa"/>
                  <w:tcBorders>
                    <w:tl2br w:val="nil"/>
                    <w:tr2bl w:val="nil"/>
                  </w:tcBorders>
                  <w:shd w:val="clear" w:color="auto" w:fill="auto"/>
                  <w:vAlign w:val="center"/>
                </w:tcPr>
                <w:p w14:paraId="38729514">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0.4</w:t>
                  </w:r>
                </w:p>
              </w:tc>
              <w:tc>
                <w:tcPr>
                  <w:tcW w:w="1860" w:type="dxa"/>
                  <w:tcBorders>
                    <w:tl2br w:val="nil"/>
                    <w:tr2bl w:val="nil"/>
                  </w:tcBorders>
                  <w:shd w:val="clear" w:color="auto" w:fill="auto"/>
                  <w:vAlign w:val="center"/>
                </w:tcPr>
                <w:p w14:paraId="11EB66A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是</w:t>
                  </w:r>
                </w:p>
              </w:tc>
              <w:tc>
                <w:tcPr>
                  <w:tcW w:w="871" w:type="dxa"/>
                  <w:vMerge w:val="continue"/>
                  <w:tcBorders>
                    <w:tl2br w:val="nil"/>
                    <w:tr2bl w:val="nil"/>
                  </w:tcBorders>
                  <w:shd w:val="clear" w:color="auto" w:fill="auto"/>
                  <w:vAlign w:val="center"/>
                </w:tcPr>
                <w:p w14:paraId="1DF23A9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036DFA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tcBorders>
                    <w:tl2br w:val="nil"/>
                    <w:tr2bl w:val="nil"/>
                  </w:tcBorders>
                  <w:shd w:val="clear" w:color="auto" w:fill="auto"/>
                  <w:vAlign w:val="center"/>
                </w:tcPr>
                <w:p w14:paraId="5B19CC3C">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9</w:t>
                  </w:r>
                </w:p>
              </w:tc>
              <w:tc>
                <w:tcPr>
                  <w:tcW w:w="1177" w:type="dxa"/>
                  <w:tcBorders>
                    <w:tl2br w:val="nil"/>
                    <w:tr2bl w:val="nil"/>
                  </w:tcBorders>
                  <w:shd w:val="clear" w:color="auto" w:fill="auto"/>
                  <w:vAlign w:val="center"/>
                </w:tcPr>
                <w:p w14:paraId="210ADF9A">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废包装袋</w:t>
                  </w:r>
                </w:p>
              </w:tc>
              <w:tc>
                <w:tcPr>
                  <w:tcW w:w="982" w:type="dxa"/>
                  <w:vMerge w:val="restart"/>
                  <w:tcBorders>
                    <w:tl2br w:val="nil"/>
                    <w:tr2bl w:val="nil"/>
                  </w:tcBorders>
                  <w:shd w:val="clear" w:color="auto" w:fill="auto"/>
                  <w:vAlign w:val="center"/>
                </w:tcPr>
                <w:p w14:paraId="7269F87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原料包装</w:t>
                  </w:r>
                </w:p>
              </w:tc>
              <w:tc>
                <w:tcPr>
                  <w:tcW w:w="500" w:type="dxa"/>
                  <w:tcBorders>
                    <w:tl2br w:val="nil"/>
                    <w:tr2bl w:val="nil"/>
                  </w:tcBorders>
                  <w:shd w:val="clear" w:color="auto" w:fill="auto"/>
                  <w:vAlign w:val="center"/>
                </w:tcPr>
                <w:p w14:paraId="716E2368">
                  <w:pPr>
                    <w:pStyle w:val="21"/>
                    <w:keepNext w:val="0"/>
                    <w:keepLines w:val="0"/>
                    <w:suppressLineNumbers w:val="0"/>
                    <w:spacing w:before="0" w:beforeAutospacing="0" w:after="0" w:afterAutospacing="0"/>
                    <w:ind w:left="0" w:leftChars="0" w:right="0" w:rightChars="0" w:firstLine="0" w:firstLineChars="0"/>
                    <w:rPr>
                      <w:rFonts w:hint="eastAsia"/>
                      <w:color w:val="auto"/>
                      <w:highlight w:val="none"/>
                      <w:lang w:val="en-US" w:eastAsia="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1174" w:type="dxa"/>
                  <w:tcBorders>
                    <w:tl2br w:val="nil"/>
                    <w:tr2bl w:val="nil"/>
                  </w:tcBorders>
                  <w:shd w:val="clear" w:color="auto" w:fill="auto"/>
                  <w:vAlign w:val="center"/>
                </w:tcPr>
                <w:p w14:paraId="71124596">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编织袋</w:t>
                  </w:r>
                </w:p>
              </w:tc>
              <w:tc>
                <w:tcPr>
                  <w:tcW w:w="884" w:type="dxa"/>
                  <w:tcBorders>
                    <w:tl2br w:val="nil"/>
                    <w:tr2bl w:val="nil"/>
                  </w:tcBorders>
                  <w:shd w:val="clear" w:color="auto" w:fill="auto"/>
                  <w:vAlign w:val="center"/>
                </w:tcPr>
                <w:p w14:paraId="448F1B37">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0.5</w:t>
                  </w:r>
                </w:p>
              </w:tc>
              <w:tc>
                <w:tcPr>
                  <w:tcW w:w="1860" w:type="dxa"/>
                  <w:tcBorders>
                    <w:tl2br w:val="nil"/>
                    <w:tr2bl w:val="nil"/>
                  </w:tcBorders>
                  <w:shd w:val="clear" w:color="auto" w:fill="auto"/>
                  <w:vAlign w:val="center"/>
                </w:tcPr>
                <w:p w14:paraId="5FEBD1B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是</w:t>
                  </w:r>
                </w:p>
              </w:tc>
              <w:tc>
                <w:tcPr>
                  <w:tcW w:w="871" w:type="dxa"/>
                  <w:vMerge w:val="continue"/>
                  <w:tcBorders>
                    <w:tl2br w:val="nil"/>
                    <w:tr2bl w:val="nil"/>
                  </w:tcBorders>
                  <w:shd w:val="clear" w:color="auto" w:fill="auto"/>
                  <w:vAlign w:val="center"/>
                </w:tcPr>
                <w:p w14:paraId="281E074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533EDF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tcBorders>
                    <w:tl2br w:val="nil"/>
                    <w:tr2bl w:val="nil"/>
                  </w:tcBorders>
                  <w:shd w:val="clear" w:color="auto" w:fill="auto"/>
                  <w:vAlign w:val="center"/>
                </w:tcPr>
                <w:p w14:paraId="3E4A8D2E">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10</w:t>
                  </w:r>
                </w:p>
              </w:tc>
              <w:tc>
                <w:tcPr>
                  <w:tcW w:w="1177" w:type="dxa"/>
                  <w:tcBorders>
                    <w:tl2br w:val="nil"/>
                    <w:tr2bl w:val="nil"/>
                  </w:tcBorders>
                  <w:shd w:val="clear" w:color="auto" w:fill="auto"/>
                  <w:vAlign w:val="center"/>
                </w:tcPr>
                <w:p w14:paraId="23EC1FF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废机油桶</w:t>
                  </w:r>
                </w:p>
              </w:tc>
              <w:tc>
                <w:tcPr>
                  <w:tcW w:w="982" w:type="dxa"/>
                  <w:vMerge w:val="continue"/>
                  <w:tcBorders>
                    <w:tl2br w:val="nil"/>
                    <w:tr2bl w:val="nil"/>
                  </w:tcBorders>
                  <w:shd w:val="clear" w:color="auto" w:fill="auto"/>
                  <w:vAlign w:val="center"/>
                </w:tcPr>
                <w:p w14:paraId="7A27F9A9">
                  <w:pPr>
                    <w:pStyle w:val="21"/>
                    <w:keepNext w:val="0"/>
                    <w:keepLines w:val="0"/>
                    <w:suppressLineNumbers w:val="0"/>
                    <w:spacing w:before="0" w:beforeAutospacing="0" w:after="0" w:afterAutospacing="0"/>
                    <w:ind w:left="0" w:leftChars="0" w:right="0" w:rightChars="0" w:firstLine="0" w:firstLineChars="0"/>
                    <w:rPr>
                      <w:rFonts w:hint="eastAsia"/>
                      <w:color w:val="auto"/>
                      <w:highlight w:val="none"/>
                      <w:lang w:val="en-US" w:eastAsia="zh-CN"/>
                    </w:rPr>
                  </w:pPr>
                </w:p>
              </w:tc>
              <w:tc>
                <w:tcPr>
                  <w:tcW w:w="500" w:type="dxa"/>
                  <w:tcBorders>
                    <w:tl2br w:val="nil"/>
                    <w:tr2bl w:val="nil"/>
                  </w:tcBorders>
                  <w:shd w:val="clear" w:color="auto" w:fill="auto"/>
                  <w:vAlign w:val="center"/>
                </w:tcPr>
                <w:p w14:paraId="2D77BAFD">
                  <w:pPr>
                    <w:pStyle w:val="21"/>
                    <w:keepNext w:val="0"/>
                    <w:keepLines w:val="0"/>
                    <w:suppressLineNumbers w:val="0"/>
                    <w:spacing w:before="0" w:beforeAutospacing="0" w:after="0" w:afterAutospacing="0"/>
                    <w:ind w:left="0" w:leftChars="0" w:right="0" w:rightChars="0" w:firstLine="0" w:firstLineChars="0"/>
                    <w:rPr>
                      <w:rFonts w:hint="eastAsia"/>
                      <w:color w:val="auto"/>
                      <w:highlight w:val="none"/>
                      <w:lang w:val="en-US" w:eastAsia="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1174" w:type="dxa"/>
                  <w:tcBorders>
                    <w:tl2br w:val="nil"/>
                    <w:tr2bl w:val="nil"/>
                  </w:tcBorders>
                  <w:shd w:val="clear" w:color="auto" w:fill="auto"/>
                  <w:vAlign w:val="center"/>
                </w:tcPr>
                <w:p w14:paraId="53ADDD05">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铁桶、矿物油</w:t>
                  </w:r>
                </w:p>
              </w:tc>
              <w:tc>
                <w:tcPr>
                  <w:tcW w:w="884" w:type="dxa"/>
                  <w:tcBorders>
                    <w:tl2br w:val="nil"/>
                    <w:tr2bl w:val="nil"/>
                  </w:tcBorders>
                  <w:shd w:val="clear" w:color="auto" w:fill="auto"/>
                  <w:vAlign w:val="center"/>
                </w:tcPr>
                <w:p w14:paraId="0C849E43">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0.3</w:t>
                  </w:r>
                </w:p>
              </w:tc>
              <w:tc>
                <w:tcPr>
                  <w:tcW w:w="1860" w:type="dxa"/>
                  <w:tcBorders>
                    <w:tl2br w:val="nil"/>
                    <w:tr2bl w:val="nil"/>
                  </w:tcBorders>
                  <w:shd w:val="clear" w:color="auto" w:fill="auto"/>
                  <w:vAlign w:val="center"/>
                </w:tcPr>
                <w:p w14:paraId="3BB6832B">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是</w:t>
                  </w:r>
                </w:p>
              </w:tc>
              <w:tc>
                <w:tcPr>
                  <w:tcW w:w="871" w:type="dxa"/>
                  <w:vMerge w:val="continue"/>
                  <w:tcBorders>
                    <w:tl2br w:val="nil"/>
                    <w:tr2bl w:val="nil"/>
                  </w:tcBorders>
                  <w:shd w:val="clear" w:color="auto" w:fill="auto"/>
                  <w:vAlign w:val="center"/>
                </w:tcPr>
                <w:p w14:paraId="5ED04AA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3ACE05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tcBorders>
                    <w:tl2br w:val="nil"/>
                    <w:tr2bl w:val="nil"/>
                  </w:tcBorders>
                  <w:shd w:val="clear" w:color="auto" w:fill="auto"/>
                  <w:vAlign w:val="center"/>
                </w:tcPr>
                <w:p w14:paraId="040DBACD">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11</w:t>
                  </w:r>
                </w:p>
              </w:tc>
              <w:tc>
                <w:tcPr>
                  <w:tcW w:w="1177" w:type="dxa"/>
                  <w:tcBorders>
                    <w:tl2br w:val="nil"/>
                    <w:tr2bl w:val="nil"/>
                  </w:tcBorders>
                  <w:shd w:val="clear" w:color="auto" w:fill="auto"/>
                  <w:vAlign w:val="center"/>
                </w:tcPr>
                <w:p w14:paraId="3E4AF3FE">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废化学品包装桶</w:t>
                  </w:r>
                </w:p>
              </w:tc>
              <w:tc>
                <w:tcPr>
                  <w:tcW w:w="982" w:type="dxa"/>
                  <w:vMerge w:val="continue"/>
                  <w:tcBorders>
                    <w:tl2br w:val="nil"/>
                    <w:tr2bl w:val="nil"/>
                  </w:tcBorders>
                  <w:shd w:val="clear" w:color="auto" w:fill="auto"/>
                  <w:vAlign w:val="center"/>
                </w:tcPr>
                <w:p w14:paraId="7BB9A373">
                  <w:pPr>
                    <w:pStyle w:val="21"/>
                    <w:keepNext w:val="0"/>
                    <w:keepLines w:val="0"/>
                    <w:suppressLineNumbers w:val="0"/>
                    <w:spacing w:before="0" w:beforeAutospacing="0" w:after="0" w:afterAutospacing="0"/>
                    <w:ind w:left="0" w:leftChars="0" w:right="0" w:rightChars="0" w:firstLine="0" w:firstLineChars="0"/>
                    <w:rPr>
                      <w:rFonts w:hint="eastAsia"/>
                      <w:color w:val="auto"/>
                      <w:highlight w:val="none"/>
                      <w:lang w:val="en-US" w:eastAsia="zh-CN"/>
                    </w:rPr>
                  </w:pPr>
                </w:p>
              </w:tc>
              <w:tc>
                <w:tcPr>
                  <w:tcW w:w="500" w:type="dxa"/>
                  <w:tcBorders>
                    <w:tl2br w:val="nil"/>
                    <w:tr2bl w:val="nil"/>
                  </w:tcBorders>
                  <w:shd w:val="clear" w:color="auto" w:fill="auto"/>
                  <w:vAlign w:val="center"/>
                </w:tcPr>
                <w:p w14:paraId="7D735660">
                  <w:pPr>
                    <w:pStyle w:val="21"/>
                    <w:keepNext w:val="0"/>
                    <w:keepLines w:val="0"/>
                    <w:suppressLineNumbers w:val="0"/>
                    <w:spacing w:before="0" w:beforeAutospacing="0" w:after="0" w:afterAutospacing="0"/>
                    <w:ind w:left="0" w:leftChars="0" w:right="0" w:rightChars="0" w:firstLine="0" w:firstLineChars="0"/>
                    <w:rPr>
                      <w:rFonts w:hint="eastAsia"/>
                      <w:color w:val="auto"/>
                      <w:highlight w:val="none"/>
                      <w:lang w:val="en-US" w:eastAsia="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1174" w:type="dxa"/>
                  <w:tcBorders>
                    <w:tl2br w:val="nil"/>
                    <w:tr2bl w:val="nil"/>
                  </w:tcBorders>
                  <w:shd w:val="clear" w:color="auto" w:fill="auto"/>
                  <w:vAlign w:val="center"/>
                </w:tcPr>
                <w:p w14:paraId="26E83BA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塑料桶、残留化学品</w:t>
                  </w:r>
                </w:p>
              </w:tc>
              <w:tc>
                <w:tcPr>
                  <w:tcW w:w="884" w:type="dxa"/>
                  <w:tcBorders>
                    <w:tl2br w:val="nil"/>
                    <w:tr2bl w:val="nil"/>
                  </w:tcBorders>
                  <w:shd w:val="clear" w:color="auto" w:fill="auto"/>
                  <w:vAlign w:val="center"/>
                </w:tcPr>
                <w:p w14:paraId="5BC7350B">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0.05</w:t>
                  </w:r>
                </w:p>
              </w:tc>
              <w:tc>
                <w:tcPr>
                  <w:tcW w:w="1860" w:type="dxa"/>
                  <w:tcBorders>
                    <w:tl2br w:val="nil"/>
                    <w:tr2bl w:val="nil"/>
                  </w:tcBorders>
                  <w:shd w:val="clear" w:color="auto" w:fill="auto"/>
                  <w:vAlign w:val="center"/>
                </w:tcPr>
                <w:p w14:paraId="2B87E89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是</w:t>
                  </w:r>
                </w:p>
              </w:tc>
              <w:tc>
                <w:tcPr>
                  <w:tcW w:w="871" w:type="dxa"/>
                  <w:vMerge w:val="continue"/>
                  <w:tcBorders>
                    <w:tl2br w:val="nil"/>
                    <w:tr2bl w:val="nil"/>
                  </w:tcBorders>
                  <w:shd w:val="clear" w:color="auto" w:fill="auto"/>
                  <w:vAlign w:val="center"/>
                </w:tcPr>
                <w:p w14:paraId="07303ED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26190B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tcBorders>
                    <w:tl2br w:val="nil"/>
                    <w:tr2bl w:val="nil"/>
                  </w:tcBorders>
                  <w:shd w:val="clear" w:color="auto" w:fill="auto"/>
                  <w:vAlign w:val="center"/>
                </w:tcPr>
                <w:p w14:paraId="481AFFD2">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12</w:t>
                  </w:r>
                </w:p>
              </w:tc>
              <w:tc>
                <w:tcPr>
                  <w:tcW w:w="1177" w:type="dxa"/>
                  <w:tcBorders>
                    <w:tl2br w:val="nil"/>
                    <w:tr2bl w:val="nil"/>
                  </w:tcBorders>
                  <w:shd w:val="clear" w:color="auto" w:fill="auto"/>
                  <w:vAlign w:val="center"/>
                </w:tcPr>
                <w:p w14:paraId="189F5E32">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废机油</w:t>
                  </w:r>
                </w:p>
              </w:tc>
              <w:tc>
                <w:tcPr>
                  <w:tcW w:w="982" w:type="dxa"/>
                  <w:tcBorders>
                    <w:tl2br w:val="nil"/>
                    <w:tr2bl w:val="nil"/>
                  </w:tcBorders>
                  <w:shd w:val="clear" w:color="auto" w:fill="auto"/>
                  <w:vAlign w:val="center"/>
                </w:tcPr>
                <w:p w14:paraId="1A00591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设备维护</w:t>
                  </w:r>
                </w:p>
              </w:tc>
              <w:tc>
                <w:tcPr>
                  <w:tcW w:w="500" w:type="dxa"/>
                  <w:tcBorders>
                    <w:tl2br w:val="nil"/>
                    <w:tr2bl w:val="nil"/>
                  </w:tcBorders>
                  <w:shd w:val="clear" w:color="auto" w:fill="auto"/>
                  <w:vAlign w:val="center"/>
                </w:tcPr>
                <w:p w14:paraId="40D5A9C7">
                  <w:pPr>
                    <w:pStyle w:val="21"/>
                    <w:keepNext w:val="0"/>
                    <w:keepLines w:val="0"/>
                    <w:suppressLineNumbers w:val="0"/>
                    <w:spacing w:before="0" w:beforeAutospacing="0" w:after="0" w:afterAutospacing="0"/>
                    <w:ind w:left="0" w:leftChars="0" w:right="0" w:rightChars="0" w:firstLine="0" w:firstLineChars="0"/>
                    <w:rPr>
                      <w:rFonts w:hint="eastAsia"/>
                      <w:color w:val="auto"/>
                      <w:highlight w:val="none"/>
                      <w:lang w:val="en-US" w:eastAsia="zh-CN"/>
                    </w:rPr>
                  </w:pPr>
                  <w:r>
                    <w:rPr>
                      <w:rFonts w:hint="eastAsia" w:ascii="Times New Roman" w:hAnsi="Times New Roman" w:eastAsia="宋体"/>
                      <w:color w:val="auto"/>
                      <w:highlight w:val="none"/>
                      <w:lang w:val="en-US"/>
                    </w:rPr>
                    <w:t>液</w:t>
                  </w:r>
                  <w:r>
                    <w:rPr>
                      <w:rFonts w:hint="eastAsia" w:ascii="Times New Roman" w:hAnsi="Times New Roman" w:eastAsia="宋体"/>
                      <w:color w:val="auto"/>
                      <w:highlight w:val="none"/>
                      <w:lang w:val="en-US" w:eastAsia="zh-CN"/>
                    </w:rPr>
                    <w:t>态</w:t>
                  </w:r>
                </w:p>
              </w:tc>
              <w:tc>
                <w:tcPr>
                  <w:tcW w:w="1174" w:type="dxa"/>
                  <w:tcBorders>
                    <w:tl2br w:val="nil"/>
                    <w:tr2bl w:val="nil"/>
                  </w:tcBorders>
                  <w:shd w:val="clear" w:color="auto" w:fill="auto"/>
                  <w:vAlign w:val="center"/>
                </w:tcPr>
                <w:p w14:paraId="6722100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矿物油</w:t>
                  </w:r>
                </w:p>
              </w:tc>
              <w:tc>
                <w:tcPr>
                  <w:tcW w:w="884" w:type="dxa"/>
                  <w:tcBorders>
                    <w:tl2br w:val="nil"/>
                    <w:tr2bl w:val="nil"/>
                  </w:tcBorders>
                  <w:shd w:val="clear" w:color="auto" w:fill="auto"/>
                  <w:vAlign w:val="center"/>
                </w:tcPr>
                <w:p w14:paraId="0CC21A0F">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11.4</w:t>
                  </w:r>
                </w:p>
              </w:tc>
              <w:tc>
                <w:tcPr>
                  <w:tcW w:w="1860" w:type="dxa"/>
                  <w:tcBorders>
                    <w:tl2br w:val="nil"/>
                    <w:tr2bl w:val="nil"/>
                  </w:tcBorders>
                  <w:shd w:val="clear" w:color="auto" w:fill="auto"/>
                  <w:vAlign w:val="center"/>
                </w:tcPr>
                <w:p w14:paraId="60D7884B">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是</w:t>
                  </w:r>
                </w:p>
              </w:tc>
              <w:tc>
                <w:tcPr>
                  <w:tcW w:w="871" w:type="dxa"/>
                  <w:vMerge w:val="continue"/>
                  <w:tcBorders>
                    <w:tl2br w:val="nil"/>
                    <w:tr2bl w:val="nil"/>
                  </w:tcBorders>
                  <w:shd w:val="clear" w:color="auto" w:fill="auto"/>
                  <w:vAlign w:val="center"/>
                </w:tcPr>
                <w:p w14:paraId="3D36E52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0F1C52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tcBorders>
                    <w:tl2br w:val="nil"/>
                    <w:tr2bl w:val="nil"/>
                  </w:tcBorders>
                  <w:shd w:val="clear" w:color="auto" w:fill="auto"/>
                  <w:vAlign w:val="center"/>
                </w:tcPr>
                <w:p w14:paraId="041F767B">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13</w:t>
                  </w:r>
                </w:p>
              </w:tc>
              <w:tc>
                <w:tcPr>
                  <w:tcW w:w="1177" w:type="dxa"/>
                  <w:tcBorders>
                    <w:tl2br w:val="nil"/>
                    <w:tr2bl w:val="nil"/>
                  </w:tcBorders>
                  <w:shd w:val="clear" w:color="auto" w:fill="auto"/>
                  <w:vAlign w:val="center"/>
                </w:tcPr>
                <w:p w14:paraId="6D8523B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废活性炭</w:t>
                  </w:r>
                </w:p>
              </w:tc>
              <w:tc>
                <w:tcPr>
                  <w:tcW w:w="982" w:type="dxa"/>
                  <w:tcBorders>
                    <w:tl2br w:val="nil"/>
                    <w:tr2bl w:val="nil"/>
                  </w:tcBorders>
                  <w:shd w:val="clear" w:color="auto" w:fill="auto"/>
                  <w:vAlign w:val="center"/>
                </w:tcPr>
                <w:p w14:paraId="3B7500C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废气处理</w:t>
                  </w:r>
                </w:p>
              </w:tc>
              <w:tc>
                <w:tcPr>
                  <w:tcW w:w="500" w:type="dxa"/>
                  <w:tcBorders>
                    <w:tl2br w:val="nil"/>
                    <w:tr2bl w:val="nil"/>
                  </w:tcBorders>
                  <w:shd w:val="clear" w:color="auto" w:fill="auto"/>
                  <w:vAlign w:val="center"/>
                </w:tcPr>
                <w:p w14:paraId="6299E9E5">
                  <w:pPr>
                    <w:pStyle w:val="21"/>
                    <w:keepNext w:val="0"/>
                    <w:keepLines w:val="0"/>
                    <w:suppressLineNumbers w:val="0"/>
                    <w:spacing w:before="0" w:beforeAutospacing="0" w:after="0" w:afterAutospacing="0"/>
                    <w:ind w:left="0" w:leftChars="0" w:right="0" w:rightChars="0" w:firstLine="0" w:firstLineChars="0"/>
                    <w:rPr>
                      <w:rFonts w:hint="eastAsia"/>
                      <w:color w:val="auto"/>
                      <w:highlight w:val="none"/>
                      <w:lang w:val="en-US" w:eastAsia="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1174" w:type="dxa"/>
                  <w:tcBorders>
                    <w:tl2br w:val="nil"/>
                    <w:tr2bl w:val="nil"/>
                  </w:tcBorders>
                  <w:shd w:val="clear" w:color="auto" w:fill="auto"/>
                  <w:vAlign w:val="center"/>
                </w:tcPr>
                <w:p w14:paraId="18319665">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活性炭、有机废气</w:t>
                  </w:r>
                </w:p>
              </w:tc>
              <w:tc>
                <w:tcPr>
                  <w:tcW w:w="884" w:type="dxa"/>
                  <w:tcBorders>
                    <w:tl2br w:val="nil"/>
                    <w:tr2bl w:val="nil"/>
                  </w:tcBorders>
                  <w:shd w:val="clear" w:color="auto" w:fill="auto"/>
                  <w:vAlign w:val="center"/>
                </w:tcPr>
                <w:p w14:paraId="62BF8BF9">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26.3</w:t>
                  </w:r>
                </w:p>
              </w:tc>
              <w:tc>
                <w:tcPr>
                  <w:tcW w:w="1860" w:type="dxa"/>
                  <w:tcBorders>
                    <w:tl2br w:val="nil"/>
                    <w:tr2bl w:val="nil"/>
                  </w:tcBorders>
                  <w:shd w:val="clear" w:color="auto" w:fill="auto"/>
                  <w:vAlign w:val="center"/>
                </w:tcPr>
                <w:p w14:paraId="1D0E9A23">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是</w:t>
                  </w:r>
                </w:p>
              </w:tc>
              <w:tc>
                <w:tcPr>
                  <w:tcW w:w="871" w:type="dxa"/>
                  <w:vMerge w:val="continue"/>
                  <w:tcBorders>
                    <w:tl2br w:val="nil"/>
                    <w:tr2bl w:val="nil"/>
                  </w:tcBorders>
                  <w:shd w:val="clear" w:color="auto" w:fill="auto"/>
                  <w:vAlign w:val="center"/>
                </w:tcPr>
                <w:p w14:paraId="2390E65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0DFD23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tcBorders>
                    <w:tl2br w:val="nil"/>
                    <w:tr2bl w:val="nil"/>
                  </w:tcBorders>
                  <w:shd w:val="clear" w:color="auto" w:fill="auto"/>
                  <w:vAlign w:val="center"/>
                </w:tcPr>
                <w:p w14:paraId="1A63FB02">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14</w:t>
                  </w:r>
                </w:p>
              </w:tc>
              <w:tc>
                <w:tcPr>
                  <w:tcW w:w="1177" w:type="dxa"/>
                  <w:tcBorders>
                    <w:tl2br w:val="nil"/>
                    <w:tr2bl w:val="nil"/>
                  </w:tcBorders>
                  <w:shd w:val="clear" w:color="auto" w:fill="auto"/>
                  <w:vAlign w:val="center"/>
                </w:tcPr>
                <w:p w14:paraId="60374A2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污泥</w:t>
                  </w:r>
                </w:p>
              </w:tc>
              <w:tc>
                <w:tcPr>
                  <w:tcW w:w="982" w:type="dxa"/>
                  <w:tcBorders>
                    <w:tl2br w:val="nil"/>
                    <w:tr2bl w:val="nil"/>
                  </w:tcBorders>
                  <w:shd w:val="clear" w:color="auto" w:fill="auto"/>
                  <w:vAlign w:val="center"/>
                </w:tcPr>
                <w:p w14:paraId="2B6DAF8D">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废水处理</w:t>
                  </w:r>
                </w:p>
              </w:tc>
              <w:tc>
                <w:tcPr>
                  <w:tcW w:w="500" w:type="dxa"/>
                  <w:tcBorders>
                    <w:tl2br w:val="nil"/>
                    <w:tr2bl w:val="nil"/>
                  </w:tcBorders>
                  <w:shd w:val="clear" w:color="auto" w:fill="auto"/>
                  <w:vAlign w:val="center"/>
                </w:tcPr>
                <w:p w14:paraId="497D68E3">
                  <w:pPr>
                    <w:pStyle w:val="21"/>
                    <w:keepNext w:val="0"/>
                    <w:keepLines w:val="0"/>
                    <w:suppressLineNumbers w:val="0"/>
                    <w:spacing w:before="0" w:beforeAutospacing="0" w:after="0" w:afterAutospacing="0"/>
                    <w:ind w:left="0" w:leftChars="0" w:right="0" w:rightChars="0" w:firstLine="0" w:firstLineChars="0"/>
                    <w:rPr>
                      <w:rFonts w:hint="eastAsia"/>
                      <w:color w:val="auto"/>
                      <w:highlight w:val="none"/>
                      <w:lang w:val="en-US" w:eastAsia="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1174" w:type="dxa"/>
                  <w:tcBorders>
                    <w:tl2br w:val="nil"/>
                    <w:tr2bl w:val="nil"/>
                  </w:tcBorders>
                  <w:shd w:val="clear" w:color="auto" w:fill="auto"/>
                  <w:vAlign w:val="center"/>
                </w:tcPr>
                <w:p w14:paraId="65A8E7F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污泥</w:t>
                  </w:r>
                </w:p>
              </w:tc>
              <w:tc>
                <w:tcPr>
                  <w:tcW w:w="884" w:type="dxa"/>
                  <w:tcBorders>
                    <w:tl2br w:val="nil"/>
                    <w:tr2bl w:val="nil"/>
                  </w:tcBorders>
                  <w:shd w:val="clear" w:color="auto" w:fill="auto"/>
                  <w:vAlign w:val="center"/>
                </w:tcPr>
                <w:p w14:paraId="1C6E0FF7">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26</w:t>
                  </w:r>
                </w:p>
              </w:tc>
              <w:tc>
                <w:tcPr>
                  <w:tcW w:w="1860" w:type="dxa"/>
                  <w:tcBorders>
                    <w:tl2br w:val="nil"/>
                    <w:tr2bl w:val="nil"/>
                  </w:tcBorders>
                  <w:shd w:val="clear" w:color="auto" w:fill="auto"/>
                  <w:vAlign w:val="center"/>
                </w:tcPr>
                <w:p w14:paraId="11EBCF8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是</w:t>
                  </w:r>
                </w:p>
              </w:tc>
              <w:tc>
                <w:tcPr>
                  <w:tcW w:w="871" w:type="dxa"/>
                  <w:vMerge w:val="continue"/>
                  <w:tcBorders>
                    <w:tl2br w:val="nil"/>
                    <w:tr2bl w:val="nil"/>
                  </w:tcBorders>
                  <w:shd w:val="clear" w:color="auto" w:fill="auto"/>
                  <w:vAlign w:val="center"/>
                </w:tcPr>
                <w:p w14:paraId="0AA34A7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58D4A9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tcBorders>
                    <w:tl2br w:val="nil"/>
                    <w:tr2bl w:val="nil"/>
                  </w:tcBorders>
                  <w:shd w:val="clear" w:color="auto" w:fill="auto"/>
                  <w:vAlign w:val="center"/>
                </w:tcPr>
                <w:p w14:paraId="121CBE03">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15</w:t>
                  </w:r>
                </w:p>
              </w:tc>
              <w:tc>
                <w:tcPr>
                  <w:tcW w:w="1177" w:type="dxa"/>
                  <w:tcBorders>
                    <w:tl2br w:val="nil"/>
                    <w:tr2bl w:val="nil"/>
                  </w:tcBorders>
                  <w:shd w:val="clear" w:color="auto" w:fill="auto"/>
                  <w:vAlign w:val="center"/>
                </w:tcPr>
                <w:p w14:paraId="5540B1CC">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含油废液</w:t>
                  </w:r>
                </w:p>
              </w:tc>
              <w:tc>
                <w:tcPr>
                  <w:tcW w:w="982" w:type="dxa"/>
                  <w:tcBorders>
                    <w:tl2br w:val="nil"/>
                    <w:tr2bl w:val="nil"/>
                  </w:tcBorders>
                  <w:shd w:val="clear" w:color="auto" w:fill="auto"/>
                  <w:vAlign w:val="center"/>
                </w:tcPr>
                <w:p w14:paraId="0B2B072D">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设备运行</w:t>
                  </w:r>
                </w:p>
              </w:tc>
              <w:tc>
                <w:tcPr>
                  <w:tcW w:w="500" w:type="dxa"/>
                  <w:tcBorders>
                    <w:tl2br w:val="nil"/>
                    <w:tr2bl w:val="nil"/>
                  </w:tcBorders>
                  <w:shd w:val="clear" w:color="auto" w:fill="auto"/>
                  <w:vAlign w:val="center"/>
                </w:tcPr>
                <w:p w14:paraId="18BC90BE">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olor w:val="auto"/>
                      <w:highlight w:val="none"/>
                      <w:lang w:val="en-US" w:eastAsia="zh-CN"/>
                    </w:rPr>
                  </w:pPr>
                  <w:r>
                    <w:rPr>
                      <w:rFonts w:hint="eastAsia"/>
                      <w:color w:val="auto"/>
                      <w:highlight w:val="none"/>
                      <w:lang w:val="en-US" w:eastAsia="zh-CN"/>
                    </w:rPr>
                    <w:t>液态</w:t>
                  </w:r>
                </w:p>
              </w:tc>
              <w:tc>
                <w:tcPr>
                  <w:tcW w:w="1174" w:type="dxa"/>
                  <w:tcBorders>
                    <w:tl2br w:val="nil"/>
                    <w:tr2bl w:val="nil"/>
                  </w:tcBorders>
                  <w:shd w:val="clear" w:color="auto" w:fill="auto"/>
                  <w:vAlign w:val="center"/>
                </w:tcPr>
                <w:p w14:paraId="4BCB917C">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水、矿物油</w:t>
                  </w:r>
                </w:p>
              </w:tc>
              <w:tc>
                <w:tcPr>
                  <w:tcW w:w="884" w:type="dxa"/>
                  <w:tcBorders>
                    <w:tl2br w:val="nil"/>
                    <w:tr2bl w:val="nil"/>
                  </w:tcBorders>
                  <w:shd w:val="clear" w:color="auto" w:fill="auto"/>
                  <w:vAlign w:val="center"/>
                </w:tcPr>
                <w:p w14:paraId="2B523C07">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1</w:t>
                  </w:r>
                </w:p>
              </w:tc>
              <w:tc>
                <w:tcPr>
                  <w:tcW w:w="1860" w:type="dxa"/>
                  <w:tcBorders>
                    <w:tl2br w:val="nil"/>
                    <w:tr2bl w:val="nil"/>
                  </w:tcBorders>
                  <w:shd w:val="clear" w:color="auto" w:fill="auto"/>
                  <w:vAlign w:val="center"/>
                </w:tcPr>
                <w:p w14:paraId="6BC325A6">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olor w:val="auto"/>
                      <w:highlight w:val="none"/>
                      <w:lang w:val="en-US" w:eastAsia="zh-CN"/>
                    </w:rPr>
                  </w:pPr>
                  <w:r>
                    <w:rPr>
                      <w:rFonts w:hint="eastAsia"/>
                      <w:color w:val="auto"/>
                      <w:highlight w:val="none"/>
                      <w:lang w:val="en-US" w:eastAsia="zh-CN"/>
                    </w:rPr>
                    <w:t>是</w:t>
                  </w:r>
                </w:p>
              </w:tc>
              <w:tc>
                <w:tcPr>
                  <w:tcW w:w="871" w:type="dxa"/>
                  <w:vMerge w:val="continue"/>
                  <w:tcBorders>
                    <w:tl2br w:val="nil"/>
                    <w:tr2bl w:val="nil"/>
                  </w:tcBorders>
                  <w:shd w:val="clear" w:color="auto" w:fill="auto"/>
                  <w:vAlign w:val="center"/>
                </w:tcPr>
                <w:p w14:paraId="19B2701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25946C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tcBorders>
                    <w:tl2br w:val="nil"/>
                    <w:tr2bl w:val="nil"/>
                  </w:tcBorders>
                  <w:shd w:val="clear" w:color="auto" w:fill="auto"/>
                  <w:vAlign w:val="center"/>
                </w:tcPr>
                <w:p w14:paraId="0381615C">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16</w:t>
                  </w:r>
                </w:p>
              </w:tc>
              <w:tc>
                <w:tcPr>
                  <w:tcW w:w="1177" w:type="dxa"/>
                  <w:tcBorders>
                    <w:tl2br w:val="nil"/>
                    <w:tr2bl w:val="nil"/>
                  </w:tcBorders>
                  <w:shd w:val="clear" w:color="auto" w:fill="auto"/>
                  <w:vAlign w:val="center"/>
                </w:tcPr>
                <w:p w14:paraId="12E1251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生活垃圾</w:t>
                  </w:r>
                </w:p>
              </w:tc>
              <w:tc>
                <w:tcPr>
                  <w:tcW w:w="982" w:type="dxa"/>
                  <w:vMerge w:val="restart"/>
                  <w:tcBorders>
                    <w:tl2br w:val="nil"/>
                    <w:tr2bl w:val="nil"/>
                  </w:tcBorders>
                  <w:shd w:val="clear" w:color="auto" w:fill="auto"/>
                  <w:vAlign w:val="center"/>
                </w:tcPr>
                <w:p w14:paraId="0FFFB818">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员工生活</w:t>
                  </w:r>
                </w:p>
              </w:tc>
              <w:tc>
                <w:tcPr>
                  <w:tcW w:w="500" w:type="dxa"/>
                  <w:tcBorders>
                    <w:tl2br w:val="nil"/>
                    <w:tr2bl w:val="nil"/>
                  </w:tcBorders>
                  <w:shd w:val="clear" w:color="auto" w:fill="auto"/>
                  <w:vAlign w:val="center"/>
                </w:tcPr>
                <w:p w14:paraId="102E373B">
                  <w:pPr>
                    <w:pStyle w:val="21"/>
                    <w:keepNext w:val="0"/>
                    <w:keepLines w:val="0"/>
                    <w:suppressLineNumbers w:val="0"/>
                    <w:spacing w:before="0" w:beforeAutospacing="0" w:after="0" w:afterAutospacing="0"/>
                    <w:ind w:left="0" w:leftChars="0" w:right="0" w:rightChars="0" w:firstLine="0" w:firstLineChars="0"/>
                    <w:rPr>
                      <w:rFonts w:hint="eastAsia"/>
                      <w:color w:val="auto"/>
                      <w:highlight w:val="none"/>
                      <w:lang w:val="en-US" w:eastAsia="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1174" w:type="dxa"/>
                  <w:tcBorders>
                    <w:tl2br w:val="nil"/>
                    <w:tr2bl w:val="nil"/>
                  </w:tcBorders>
                  <w:shd w:val="clear" w:color="auto" w:fill="auto"/>
                  <w:vAlign w:val="center"/>
                </w:tcPr>
                <w:p w14:paraId="72037BC2">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纸屑等</w:t>
                  </w:r>
                </w:p>
              </w:tc>
              <w:tc>
                <w:tcPr>
                  <w:tcW w:w="884" w:type="dxa"/>
                  <w:tcBorders>
                    <w:tl2br w:val="nil"/>
                    <w:tr2bl w:val="nil"/>
                  </w:tcBorders>
                  <w:shd w:val="clear" w:color="auto" w:fill="auto"/>
                  <w:vAlign w:val="center"/>
                </w:tcPr>
                <w:p w14:paraId="5C93392B">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6</w:t>
                  </w:r>
                </w:p>
              </w:tc>
              <w:tc>
                <w:tcPr>
                  <w:tcW w:w="1860" w:type="dxa"/>
                  <w:tcBorders>
                    <w:tl2br w:val="nil"/>
                    <w:tr2bl w:val="nil"/>
                  </w:tcBorders>
                  <w:shd w:val="clear" w:color="auto" w:fill="auto"/>
                  <w:vAlign w:val="center"/>
                </w:tcPr>
                <w:p w14:paraId="142FDE1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是</w:t>
                  </w:r>
                </w:p>
              </w:tc>
              <w:tc>
                <w:tcPr>
                  <w:tcW w:w="871" w:type="dxa"/>
                  <w:vMerge w:val="continue"/>
                  <w:tcBorders>
                    <w:tl2br w:val="nil"/>
                    <w:tr2bl w:val="nil"/>
                  </w:tcBorders>
                  <w:shd w:val="clear" w:color="auto" w:fill="auto"/>
                  <w:vAlign w:val="center"/>
                </w:tcPr>
                <w:p w14:paraId="37A1B52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21757D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1" w:type="dxa"/>
                  <w:tcBorders>
                    <w:tl2br w:val="nil"/>
                    <w:tr2bl w:val="nil"/>
                  </w:tcBorders>
                  <w:shd w:val="clear" w:color="auto" w:fill="auto"/>
                  <w:vAlign w:val="center"/>
                </w:tcPr>
                <w:p w14:paraId="6BC800AD">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17</w:t>
                  </w:r>
                </w:p>
              </w:tc>
              <w:tc>
                <w:tcPr>
                  <w:tcW w:w="1177" w:type="dxa"/>
                  <w:tcBorders>
                    <w:tl2br w:val="nil"/>
                    <w:tr2bl w:val="nil"/>
                  </w:tcBorders>
                  <w:shd w:val="clear" w:color="auto" w:fill="auto"/>
                  <w:vAlign w:val="center"/>
                </w:tcPr>
                <w:p w14:paraId="37744D30">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食堂垃圾</w:t>
                  </w:r>
                </w:p>
              </w:tc>
              <w:tc>
                <w:tcPr>
                  <w:tcW w:w="982" w:type="dxa"/>
                  <w:vMerge w:val="continue"/>
                  <w:tcBorders>
                    <w:tl2br w:val="nil"/>
                    <w:tr2bl w:val="nil"/>
                  </w:tcBorders>
                  <w:shd w:val="clear" w:color="auto" w:fill="auto"/>
                  <w:vAlign w:val="center"/>
                </w:tcPr>
                <w:p w14:paraId="74FA9556">
                  <w:pPr>
                    <w:pStyle w:val="21"/>
                    <w:keepNext w:val="0"/>
                    <w:keepLines w:val="0"/>
                    <w:suppressLineNumbers w:val="0"/>
                    <w:spacing w:before="0" w:beforeAutospacing="0" w:after="0" w:afterAutospacing="0"/>
                    <w:ind w:left="0" w:leftChars="0" w:right="0" w:rightChars="0" w:firstLine="0" w:firstLineChars="0"/>
                    <w:rPr>
                      <w:rFonts w:hint="eastAsia"/>
                      <w:color w:val="auto"/>
                      <w:highlight w:val="none"/>
                      <w:lang w:val="en-US" w:eastAsia="zh-CN"/>
                    </w:rPr>
                  </w:pPr>
                </w:p>
              </w:tc>
              <w:tc>
                <w:tcPr>
                  <w:tcW w:w="500" w:type="dxa"/>
                  <w:tcBorders>
                    <w:tl2br w:val="nil"/>
                    <w:tr2bl w:val="nil"/>
                  </w:tcBorders>
                  <w:shd w:val="clear" w:color="auto" w:fill="auto"/>
                  <w:vAlign w:val="center"/>
                </w:tcPr>
                <w:p w14:paraId="24655266">
                  <w:pPr>
                    <w:pStyle w:val="21"/>
                    <w:keepNext w:val="0"/>
                    <w:keepLines w:val="0"/>
                    <w:suppressLineNumbers w:val="0"/>
                    <w:spacing w:before="0" w:beforeAutospacing="0" w:after="0" w:afterAutospacing="0"/>
                    <w:ind w:left="0" w:leftChars="0" w:right="0" w:rightChars="0" w:firstLine="0" w:firstLineChars="0"/>
                    <w:rPr>
                      <w:rFonts w:hint="eastAsia"/>
                      <w:color w:val="auto"/>
                      <w:highlight w:val="none"/>
                      <w:lang w:val="en-US" w:eastAsia="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1174" w:type="dxa"/>
                  <w:tcBorders>
                    <w:tl2br w:val="nil"/>
                    <w:tr2bl w:val="nil"/>
                  </w:tcBorders>
                  <w:shd w:val="clear" w:color="auto" w:fill="auto"/>
                  <w:vAlign w:val="center"/>
                </w:tcPr>
                <w:p w14:paraId="3BC7E0D0">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果皮等</w:t>
                  </w:r>
                </w:p>
              </w:tc>
              <w:tc>
                <w:tcPr>
                  <w:tcW w:w="884" w:type="dxa"/>
                  <w:tcBorders>
                    <w:tl2br w:val="nil"/>
                    <w:tr2bl w:val="nil"/>
                  </w:tcBorders>
                  <w:shd w:val="clear" w:color="auto" w:fill="auto"/>
                  <w:vAlign w:val="center"/>
                </w:tcPr>
                <w:p w14:paraId="30FBA4C2">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2.4</w:t>
                  </w:r>
                </w:p>
              </w:tc>
              <w:tc>
                <w:tcPr>
                  <w:tcW w:w="1860" w:type="dxa"/>
                  <w:tcBorders>
                    <w:tl2br w:val="nil"/>
                    <w:tr2bl w:val="nil"/>
                  </w:tcBorders>
                  <w:shd w:val="clear" w:color="auto" w:fill="auto"/>
                  <w:vAlign w:val="center"/>
                </w:tcPr>
                <w:p w14:paraId="71ED518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是</w:t>
                  </w:r>
                </w:p>
              </w:tc>
              <w:tc>
                <w:tcPr>
                  <w:tcW w:w="871" w:type="dxa"/>
                  <w:vMerge w:val="continue"/>
                  <w:tcBorders>
                    <w:tl2br w:val="nil"/>
                    <w:tr2bl w:val="nil"/>
                  </w:tcBorders>
                  <w:shd w:val="clear" w:color="auto" w:fill="auto"/>
                  <w:vAlign w:val="center"/>
                </w:tcPr>
                <w:p w14:paraId="0413099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bl>
          <w:p w14:paraId="7EA508F2">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（3）固体废物属性判定及危险废物汇总</w:t>
            </w:r>
          </w:p>
          <w:p w14:paraId="1C551CD5">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rPr>
            </w:pPr>
            <w:r>
              <w:rPr>
                <w:rFonts w:hint="default" w:ascii="Times New Roman" w:hAnsi="Times New Roman" w:eastAsia="宋体"/>
                <w:color w:val="auto"/>
                <w:highlight w:val="none"/>
                <w:lang w:val="en-US"/>
              </w:rPr>
              <w:t>本项目产生的固体废物属性判定情况见</w:t>
            </w:r>
            <w:r>
              <w:rPr>
                <w:rFonts w:hint="eastAsia" w:ascii="Times New Roman" w:hAnsi="Times New Roman" w:eastAsia="宋体"/>
                <w:color w:val="auto"/>
                <w:highlight w:val="none"/>
                <w:lang w:val="en-US"/>
              </w:rPr>
              <w:t>下</w:t>
            </w:r>
            <w:r>
              <w:rPr>
                <w:rFonts w:hint="default" w:ascii="Times New Roman" w:hAnsi="Times New Roman" w:eastAsia="宋体"/>
                <w:color w:val="auto"/>
                <w:highlight w:val="none"/>
                <w:lang w:val="en-US"/>
              </w:rPr>
              <w:t>表</w:t>
            </w:r>
            <w:r>
              <w:rPr>
                <w:rFonts w:hint="eastAsia" w:ascii="Times New Roman" w:hAnsi="Times New Roman" w:eastAsia="宋体"/>
                <w:color w:val="auto"/>
                <w:highlight w:val="none"/>
                <w:lang w:val="en-US"/>
              </w:rPr>
              <w:t>：</w:t>
            </w:r>
          </w:p>
          <w:p w14:paraId="083FE708">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ascii="Times New Roman" w:hAnsi="Times New Roman" w:eastAsia="宋体"/>
                <w:color w:val="auto"/>
                <w:highlight w:val="none"/>
              </w:rPr>
              <w:t>表4-1</w:t>
            </w:r>
            <w:r>
              <w:rPr>
                <w:rFonts w:hint="eastAsia"/>
                <w:color w:val="auto"/>
                <w:highlight w:val="none"/>
                <w:lang w:val="en-US" w:eastAsia="zh-CN"/>
              </w:rPr>
              <w:t>9</w:t>
            </w:r>
            <w:r>
              <w:rPr>
                <w:rFonts w:ascii="Times New Roman" w:hAnsi="Times New Roman" w:eastAsia="宋体"/>
                <w:color w:val="auto"/>
                <w:highlight w:val="none"/>
              </w:rPr>
              <w:t>本项目固体废物产生情况表</w:t>
            </w:r>
          </w:p>
          <w:tbl>
            <w:tblPr>
              <w:tblStyle w:val="1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09"/>
              <w:gridCol w:w="1168"/>
              <w:gridCol w:w="484"/>
              <w:gridCol w:w="487"/>
              <w:gridCol w:w="882"/>
              <w:gridCol w:w="933"/>
              <w:gridCol w:w="539"/>
              <w:gridCol w:w="598"/>
              <w:gridCol w:w="1218"/>
              <w:gridCol w:w="657"/>
              <w:gridCol w:w="545"/>
            </w:tblGrid>
            <w:tr w14:paraId="4BB214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09" w:type="dxa"/>
                  <w:tcBorders>
                    <w:tl2br w:val="nil"/>
                    <w:tr2bl w:val="nil"/>
                  </w:tcBorders>
                  <w:vAlign w:val="center"/>
                </w:tcPr>
                <w:p w14:paraId="168ED49B">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rPr>
                    <w:t>序号</w:t>
                  </w:r>
                </w:p>
              </w:tc>
              <w:tc>
                <w:tcPr>
                  <w:tcW w:w="1168" w:type="dxa"/>
                  <w:tcBorders>
                    <w:tl2br w:val="nil"/>
                    <w:tr2bl w:val="nil"/>
                  </w:tcBorders>
                  <w:vAlign w:val="center"/>
                </w:tcPr>
                <w:p w14:paraId="007F08B7">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固废名称</w:t>
                  </w:r>
                </w:p>
              </w:tc>
              <w:tc>
                <w:tcPr>
                  <w:tcW w:w="484" w:type="dxa"/>
                  <w:tcBorders>
                    <w:tl2br w:val="nil"/>
                    <w:tr2bl w:val="nil"/>
                  </w:tcBorders>
                  <w:vAlign w:val="center"/>
                </w:tcPr>
                <w:p w14:paraId="247E161F">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属性</w:t>
                  </w:r>
                </w:p>
              </w:tc>
              <w:tc>
                <w:tcPr>
                  <w:tcW w:w="487" w:type="dxa"/>
                  <w:tcBorders>
                    <w:tl2br w:val="nil"/>
                    <w:tr2bl w:val="nil"/>
                  </w:tcBorders>
                  <w:vAlign w:val="center"/>
                </w:tcPr>
                <w:p w14:paraId="14235B3D">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形态</w:t>
                  </w:r>
                </w:p>
              </w:tc>
              <w:tc>
                <w:tcPr>
                  <w:tcW w:w="882" w:type="dxa"/>
                  <w:tcBorders>
                    <w:tl2br w:val="nil"/>
                    <w:tr2bl w:val="nil"/>
                  </w:tcBorders>
                  <w:vAlign w:val="center"/>
                </w:tcPr>
                <w:p w14:paraId="2B6FE613">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主要成分</w:t>
                  </w:r>
                </w:p>
              </w:tc>
              <w:tc>
                <w:tcPr>
                  <w:tcW w:w="933" w:type="dxa"/>
                  <w:tcBorders>
                    <w:tl2br w:val="nil"/>
                    <w:tr2bl w:val="nil"/>
                  </w:tcBorders>
                  <w:vAlign w:val="center"/>
                </w:tcPr>
                <w:p w14:paraId="7EDA3DDA">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危险特性鉴别方法</w:t>
                  </w:r>
                </w:p>
              </w:tc>
              <w:tc>
                <w:tcPr>
                  <w:tcW w:w="539" w:type="dxa"/>
                  <w:tcBorders>
                    <w:tl2br w:val="nil"/>
                    <w:tr2bl w:val="nil"/>
                  </w:tcBorders>
                  <w:vAlign w:val="center"/>
                </w:tcPr>
                <w:p w14:paraId="1583DFAD">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危险特性</w:t>
                  </w:r>
                </w:p>
              </w:tc>
              <w:tc>
                <w:tcPr>
                  <w:tcW w:w="598" w:type="dxa"/>
                  <w:tcBorders>
                    <w:tl2br w:val="nil"/>
                    <w:tr2bl w:val="nil"/>
                  </w:tcBorders>
                  <w:vAlign w:val="center"/>
                </w:tcPr>
                <w:p w14:paraId="7F28BB4C">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废物类别</w:t>
                  </w:r>
                </w:p>
              </w:tc>
              <w:tc>
                <w:tcPr>
                  <w:tcW w:w="1218" w:type="dxa"/>
                  <w:tcBorders>
                    <w:tl2br w:val="nil"/>
                    <w:tr2bl w:val="nil"/>
                  </w:tcBorders>
                  <w:vAlign w:val="center"/>
                </w:tcPr>
                <w:p w14:paraId="58A64F70">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废物代码</w:t>
                  </w:r>
                </w:p>
              </w:tc>
              <w:tc>
                <w:tcPr>
                  <w:tcW w:w="657" w:type="dxa"/>
                  <w:tcBorders>
                    <w:tl2br w:val="nil"/>
                    <w:tr2bl w:val="nil"/>
                  </w:tcBorders>
                  <w:vAlign w:val="center"/>
                </w:tcPr>
                <w:p w14:paraId="7F426D33">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产生量（t/a）</w:t>
                  </w:r>
                </w:p>
              </w:tc>
              <w:tc>
                <w:tcPr>
                  <w:tcW w:w="545" w:type="dxa"/>
                  <w:tcBorders>
                    <w:tl2br w:val="nil"/>
                    <w:tr2bl w:val="nil"/>
                  </w:tcBorders>
                  <w:vAlign w:val="center"/>
                </w:tcPr>
                <w:p w14:paraId="326444D9">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rPr>
                    <w:t>处置方式</w:t>
                  </w:r>
                </w:p>
              </w:tc>
            </w:tr>
            <w:tr w14:paraId="594030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09" w:type="dxa"/>
                  <w:tcBorders>
                    <w:tl2br w:val="nil"/>
                    <w:tr2bl w:val="nil"/>
                  </w:tcBorders>
                  <w:shd w:val="clear" w:color="auto" w:fill="auto"/>
                  <w:vAlign w:val="center"/>
                </w:tcPr>
                <w:p w14:paraId="09C81F0E">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default" w:ascii="Times New Roman" w:hAnsi="Times New Roman" w:eastAsia="宋体"/>
                      <w:color w:val="auto"/>
                      <w:highlight w:val="none"/>
                      <w:lang w:val="en-US"/>
                    </w:rPr>
                    <w:t>1</w:t>
                  </w:r>
                </w:p>
              </w:tc>
              <w:tc>
                <w:tcPr>
                  <w:tcW w:w="1168" w:type="dxa"/>
                  <w:tcBorders>
                    <w:tl2br w:val="nil"/>
                    <w:tr2bl w:val="nil"/>
                  </w:tcBorders>
                  <w:shd w:val="clear" w:color="auto" w:fill="auto"/>
                  <w:vAlign w:val="center"/>
                </w:tcPr>
                <w:p w14:paraId="5D5C1F4C">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生活垃圾</w:t>
                  </w:r>
                </w:p>
              </w:tc>
              <w:tc>
                <w:tcPr>
                  <w:tcW w:w="484" w:type="dxa"/>
                  <w:vMerge w:val="restart"/>
                  <w:tcBorders>
                    <w:tl2br w:val="nil"/>
                    <w:tr2bl w:val="nil"/>
                  </w:tcBorders>
                  <w:vAlign w:val="center"/>
                </w:tcPr>
                <w:p w14:paraId="32297DD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一般固废</w:t>
                  </w:r>
                </w:p>
              </w:tc>
              <w:tc>
                <w:tcPr>
                  <w:tcW w:w="487" w:type="dxa"/>
                  <w:tcBorders>
                    <w:tl2br w:val="nil"/>
                    <w:tr2bl w:val="nil"/>
                  </w:tcBorders>
                  <w:shd w:val="clear" w:color="auto" w:fill="auto"/>
                  <w:vAlign w:val="center"/>
                </w:tcPr>
                <w:p w14:paraId="7CCCF1F9">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882" w:type="dxa"/>
                  <w:tcBorders>
                    <w:tl2br w:val="nil"/>
                    <w:tr2bl w:val="nil"/>
                  </w:tcBorders>
                  <w:shd w:val="clear" w:color="auto" w:fill="auto"/>
                  <w:vAlign w:val="center"/>
                </w:tcPr>
                <w:p w14:paraId="5D6BD3FE">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纸屑等</w:t>
                  </w:r>
                </w:p>
              </w:tc>
              <w:tc>
                <w:tcPr>
                  <w:tcW w:w="933" w:type="dxa"/>
                  <w:vMerge w:val="restart"/>
                  <w:tcBorders>
                    <w:tl2br w:val="nil"/>
                    <w:tr2bl w:val="nil"/>
                  </w:tcBorders>
                  <w:vAlign w:val="center"/>
                </w:tcPr>
                <w:p w14:paraId="0CB09EE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《国家危险废物名录》</w:t>
                  </w:r>
                  <w:r>
                    <w:rPr>
                      <w:rFonts w:hint="eastAsia" w:ascii="Times New Roman" w:hAnsi="Times New Roman" w:eastAsia="宋体"/>
                      <w:color w:val="auto"/>
                      <w:highlight w:val="none"/>
                    </w:rPr>
                    <w:t>202</w:t>
                  </w:r>
                  <w:r>
                    <w:rPr>
                      <w:rFonts w:hint="eastAsia"/>
                      <w:color w:val="auto"/>
                      <w:highlight w:val="none"/>
                      <w:lang w:val="en-US" w:eastAsia="zh-CN"/>
                    </w:rPr>
                    <w:t>5</w:t>
                  </w:r>
                  <w:r>
                    <w:rPr>
                      <w:rFonts w:hint="eastAsia" w:ascii="Times New Roman" w:hAnsi="Times New Roman" w:eastAsia="宋体"/>
                      <w:color w:val="auto"/>
                      <w:highlight w:val="none"/>
                    </w:rPr>
                    <w:t>版</w:t>
                  </w:r>
                </w:p>
              </w:tc>
              <w:tc>
                <w:tcPr>
                  <w:tcW w:w="539" w:type="dxa"/>
                  <w:tcBorders>
                    <w:tl2br w:val="nil"/>
                    <w:tr2bl w:val="nil"/>
                  </w:tcBorders>
                  <w:vAlign w:val="center"/>
                </w:tcPr>
                <w:p w14:paraId="6ECCBF6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w:t>
                  </w:r>
                </w:p>
              </w:tc>
              <w:tc>
                <w:tcPr>
                  <w:tcW w:w="598" w:type="dxa"/>
                  <w:tcBorders>
                    <w:tl2br w:val="nil"/>
                    <w:tr2bl w:val="nil"/>
                  </w:tcBorders>
                  <w:vAlign w:val="center"/>
                </w:tcPr>
                <w:p w14:paraId="3FD8018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SW64</w:t>
                  </w:r>
                </w:p>
              </w:tc>
              <w:tc>
                <w:tcPr>
                  <w:tcW w:w="1218" w:type="dxa"/>
                  <w:tcBorders>
                    <w:tl2br w:val="nil"/>
                    <w:tr2bl w:val="nil"/>
                  </w:tcBorders>
                  <w:vAlign w:val="center"/>
                </w:tcPr>
                <w:p w14:paraId="5CBF5E8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900-099-S64</w:t>
                  </w:r>
                </w:p>
              </w:tc>
              <w:tc>
                <w:tcPr>
                  <w:tcW w:w="657" w:type="dxa"/>
                  <w:tcBorders>
                    <w:tl2br w:val="nil"/>
                    <w:tr2bl w:val="nil"/>
                  </w:tcBorders>
                  <w:shd w:val="clear" w:color="auto" w:fill="auto"/>
                  <w:vAlign w:val="center"/>
                </w:tcPr>
                <w:p w14:paraId="349B1E24">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s="Times New Roman"/>
                      <w:color w:val="auto"/>
                      <w:sz w:val="21"/>
                      <w:szCs w:val="24"/>
                      <w:highlight w:val="none"/>
                      <w:lang w:val="en-US" w:eastAsia="zh-CN" w:bidi="zh-CN"/>
                    </w:rPr>
                    <w:t>6</w:t>
                  </w:r>
                </w:p>
              </w:tc>
              <w:tc>
                <w:tcPr>
                  <w:tcW w:w="545" w:type="dxa"/>
                  <w:vMerge w:val="restart"/>
                  <w:tcBorders>
                    <w:tl2br w:val="nil"/>
                    <w:tr2bl w:val="nil"/>
                  </w:tcBorders>
                  <w:vAlign w:val="center"/>
                </w:tcPr>
                <w:p w14:paraId="3DE0198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环卫清运</w:t>
                  </w:r>
                </w:p>
              </w:tc>
            </w:tr>
            <w:tr w14:paraId="4467D3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09" w:type="dxa"/>
                  <w:tcBorders>
                    <w:tl2br w:val="nil"/>
                    <w:tr2bl w:val="nil"/>
                  </w:tcBorders>
                  <w:shd w:val="clear" w:color="auto" w:fill="auto"/>
                  <w:vAlign w:val="center"/>
                </w:tcPr>
                <w:p w14:paraId="0AAFD405">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lang w:val="en-US"/>
                    </w:rPr>
                    <w:t>2</w:t>
                  </w:r>
                </w:p>
              </w:tc>
              <w:tc>
                <w:tcPr>
                  <w:tcW w:w="1168" w:type="dxa"/>
                  <w:tcBorders>
                    <w:tl2br w:val="nil"/>
                    <w:tr2bl w:val="nil"/>
                  </w:tcBorders>
                  <w:shd w:val="clear" w:color="auto" w:fill="auto"/>
                  <w:vAlign w:val="center"/>
                </w:tcPr>
                <w:p w14:paraId="44B729E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食堂垃圾</w:t>
                  </w:r>
                </w:p>
              </w:tc>
              <w:tc>
                <w:tcPr>
                  <w:tcW w:w="484" w:type="dxa"/>
                  <w:vMerge w:val="continue"/>
                  <w:tcBorders>
                    <w:tl2br w:val="nil"/>
                    <w:tr2bl w:val="nil"/>
                  </w:tcBorders>
                  <w:vAlign w:val="center"/>
                </w:tcPr>
                <w:p w14:paraId="2BF7158A">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rPr>
                  </w:pPr>
                </w:p>
              </w:tc>
              <w:tc>
                <w:tcPr>
                  <w:tcW w:w="487" w:type="dxa"/>
                  <w:tcBorders>
                    <w:tl2br w:val="nil"/>
                    <w:tr2bl w:val="nil"/>
                  </w:tcBorders>
                  <w:shd w:val="clear" w:color="auto" w:fill="auto"/>
                  <w:vAlign w:val="center"/>
                </w:tcPr>
                <w:p w14:paraId="7403F5F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882" w:type="dxa"/>
                  <w:tcBorders>
                    <w:tl2br w:val="nil"/>
                    <w:tr2bl w:val="nil"/>
                  </w:tcBorders>
                  <w:shd w:val="clear" w:color="auto" w:fill="auto"/>
                  <w:vAlign w:val="center"/>
                </w:tcPr>
                <w:p w14:paraId="7F9C2D4D">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果皮等</w:t>
                  </w:r>
                </w:p>
              </w:tc>
              <w:tc>
                <w:tcPr>
                  <w:tcW w:w="933" w:type="dxa"/>
                  <w:vMerge w:val="continue"/>
                  <w:tcBorders>
                    <w:tl2br w:val="nil"/>
                    <w:tr2bl w:val="nil"/>
                  </w:tcBorders>
                  <w:vAlign w:val="center"/>
                </w:tcPr>
                <w:p w14:paraId="75C5800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539" w:type="dxa"/>
                  <w:tcBorders>
                    <w:tl2br w:val="nil"/>
                    <w:tr2bl w:val="nil"/>
                  </w:tcBorders>
                  <w:vAlign w:val="center"/>
                </w:tcPr>
                <w:p w14:paraId="73CE51FF">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w:t>
                  </w:r>
                </w:p>
              </w:tc>
              <w:tc>
                <w:tcPr>
                  <w:tcW w:w="598" w:type="dxa"/>
                  <w:tcBorders>
                    <w:tl2br w:val="nil"/>
                    <w:tr2bl w:val="nil"/>
                  </w:tcBorders>
                  <w:shd w:val="clear" w:color="auto" w:fill="auto"/>
                  <w:vAlign w:val="center"/>
                </w:tcPr>
                <w:p w14:paraId="5DA03C9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SW6</w:t>
                  </w:r>
                  <w:r>
                    <w:rPr>
                      <w:rFonts w:hint="eastAsia" w:ascii="Times New Roman" w:hAnsi="Times New Roman" w:eastAsia="宋体"/>
                      <w:color w:val="auto"/>
                      <w:highlight w:val="none"/>
                      <w:lang w:val="en-US" w:eastAsia="zh-CN"/>
                    </w:rPr>
                    <w:t>1</w:t>
                  </w:r>
                </w:p>
              </w:tc>
              <w:tc>
                <w:tcPr>
                  <w:tcW w:w="1218" w:type="dxa"/>
                  <w:tcBorders>
                    <w:tl2br w:val="nil"/>
                    <w:tr2bl w:val="nil"/>
                  </w:tcBorders>
                  <w:shd w:val="clear" w:color="auto" w:fill="auto"/>
                  <w:vAlign w:val="center"/>
                </w:tcPr>
                <w:p w14:paraId="784B6DB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900-0</w:t>
                  </w:r>
                  <w:r>
                    <w:rPr>
                      <w:rFonts w:hint="eastAsia" w:ascii="Times New Roman" w:hAnsi="Times New Roman" w:eastAsia="宋体"/>
                      <w:color w:val="auto"/>
                      <w:highlight w:val="none"/>
                      <w:lang w:val="en-US" w:eastAsia="zh-CN"/>
                    </w:rPr>
                    <w:t>02</w:t>
                  </w:r>
                  <w:r>
                    <w:rPr>
                      <w:rFonts w:hint="eastAsia" w:ascii="Times New Roman" w:hAnsi="Times New Roman" w:eastAsia="宋体"/>
                      <w:color w:val="auto"/>
                      <w:highlight w:val="none"/>
                      <w:lang w:val="en-US"/>
                    </w:rPr>
                    <w:t>-S6</w:t>
                  </w:r>
                  <w:r>
                    <w:rPr>
                      <w:rFonts w:hint="eastAsia" w:ascii="Times New Roman" w:hAnsi="Times New Roman" w:eastAsia="宋体"/>
                      <w:color w:val="auto"/>
                      <w:highlight w:val="none"/>
                      <w:lang w:val="en-US" w:eastAsia="zh-CN"/>
                    </w:rPr>
                    <w:t>1</w:t>
                  </w:r>
                </w:p>
              </w:tc>
              <w:tc>
                <w:tcPr>
                  <w:tcW w:w="657" w:type="dxa"/>
                  <w:tcBorders>
                    <w:tl2br w:val="nil"/>
                    <w:tr2bl w:val="nil"/>
                  </w:tcBorders>
                  <w:shd w:val="clear" w:color="auto" w:fill="auto"/>
                  <w:vAlign w:val="center"/>
                </w:tcPr>
                <w:p w14:paraId="78ED7C23">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s="Times New Roman"/>
                      <w:color w:val="auto"/>
                      <w:sz w:val="21"/>
                      <w:szCs w:val="24"/>
                      <w:highlight w:val="none"/>
                      <w:lang w:val="en-US" w:eastAsia="zh-CN" w:bidi="zh-CN"/>
                    </w:rPr>
                    <w:t>2.4</w:t>
                  </w:r>
                </w:p>
              </w:tc>
              <w:tc>
                <w:tcPr>
                  <w:tcW w:w="545" w:type="dxa"/>
                  <w:vMerge w:val="continue"/>
                  <w:tcBorders>
                    <w:tl2br w:val="nil"/>
                    <w:tr2bl w:val="nil"/>
                  </w:tcBorders>
                  <w:vAlign w:val="center"/>
                </w:tcPr>
                <w:p w14:paraId="7F5748E2">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rPr>
                  </w:pPr>
                </w:p>
              </w:tc>
            </w:tr>
            <w:tr w14:paraId="62A756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09" w:type="dxa"/>
                  <w:tcBorders>
                    <w:tl2br w:val="nil"/>
                    <w:tr2bl w:val="nil"/>
                  </w:tcBorders>
                  <w:shd w:val="clear" w:color="auto" w:fill="auto"/>
                  <w:vAlign w:val="center"/>
                </w:tcPr>
                <w:p w14:paraId="02B3211E">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default" w:ascii="Times New Roman" w:hAnsi="Times New Roman" w:eastAsia="宋体"/>
                      <w:color w:val="auto"/>
                      <w:highlight w:val="none"/>
                      <w:lang w:val="en-US"/>
                    </w:rPr>
                    <w:t>3</w:t>
                  </w:r>
                </w:p>
              </w:tc>
              <w:tc>
                <w:tcPr>
                  <w:tcW w:w="1168" w:type="dxa"/>
                  <w:tcBorders>
                    <w:tl2br w:val="nil"/>
                    <w:tr2bl w:val="nil"/>
                  </w:tcBorders>
                  <w:shd w:val="clear" w:color="auto" w:fill="auto"/>
                  <w:vAlign w:val="center"/>
                </w:tcPr>
                <w:p w14:paraId="2038DB5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废活性炭（制纯水）</w:t>
                  </w:r>
                </w:p>
              </w:tc>
              <w:tc>
                <w:tcPr>
                  <w:tcW w:w="484" w:type="dxa"/>
                  <w:vMerge w:val="restart"/>
                  <w:tcBorders>
                    <w:tl2br w:val="nil"/>
                    <w:tr2bl w:val="nil"/>
                  </w:tcBorders>
                  <w:shd w:val="clear" w:color="auto" w:fill="auto"/>
                  <w:vAlign w:val="center"/>
                </w:tcPr>
                <w:p w14:paraId="13EF25C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一般</w:t>
                  </w:r>
                  <w:r>
                    <w:rPr>
                      <w:rFonts w:hint="eastAsia" w:ascii="Times New Roman" w:hAnsi="Times New Roman" w:eastAsia="宋体"/>
                      <w:color w:val="auto"/>
                      <w:highlight w:val="none"/>
                      <w:lang w:val="en-US"/>
                    </w:rPr>
                    <w:t>工业</w:t>
                  </w:r>
                  <w:r>
                    <w:rPr>
                      <w:rFonts w:hint="eastAsia" w:ascii="Times New Roman" w:hAnsi="Times New Roman" w:eastAsia="宋体"/>
                      <w:color w:val="auto"/>
                      <w:highlight w:val="none"/>
                    </w:rPr>
                    <w:t>固废</w:t>
                  </w:r>
                </w:p>
              </w:tc>
              <w:tc>
                <w:tcPr>
                  <w:tcW w:w="487" w:type="dxa"/>
                  <w:tcBorders>
                    <w:tl2br w:val="nil"/>
                    <w:tr2bl w:val="nil"/>
                  </w:tcBorders>
                  <w:shd w:val="clear" w:color="auto" w:fill="auto"/>
                  <w:vAlign w:val="center"/>
                </w:tcPr>
                <w:p w14:paraId="76B1C65B">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882" w:type="dxa"/>
                  <w:tcBorders>
                    <w:tl2br w:val="nil"/>
                    <w:tr2bl w:val="nil"/>
                  </w:tcBorders>
                  <w:shd w:val="clear" w:color="auto" w:fill="auto"/>
                  <w:vAlign w:val="center"/>
                </w:tcPr>
                <w:p w14:paraId="449477D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活性炭</w:t>
                  </w:r>
                </w:p>
              </w:tc>
              <w:tc>
                <w:tcPr>
                  <w:tcW w:w="933" w:type="dxa"/>
                  <w:vMerge w:val="continue"/>
                  <w:tcBorders>
                    <w:tl2br w:val="nil"/>
                    <w:tr2bl w:val="nil"/>
                  </w:tcBorders>
                  <w:vAlign w:val="center"/>
                </w:tcPr>
                <w:p w14:paraId="3CCBB9C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539" w:type="dxa"/>
                  <w:tcBorders>
                    <w:tl2br w:val="nil"/>
                    <w:tr2bl w:val="nil"/>
                  </w:tcBorders>
                  <w:shd w:val="clear" w:color="auto" w:fill="auto"/>
                  <w:vAlign w:val="center"/>
                </w:tcPr>
                <w:p w14:paraId="4BE8CDB5">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598" w:type="dxa"/>
                  <w:tcBorders>
                    <w:tl2br w:val="nil"/>
                    <w:tr2bl w:val="nil"/>
                  </w:tcBorders>
                  <w:shd w:val="clear" w:color="auto" w:fill="auto"/>
                  <w:vAlign w:val="center"/>
                </w:tcPr>
                <w:p w14:paraId="13172749">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SW</w:t>
                  </w:r>
                  <w:r>
                    <w:rPr>
                      <w:rFonts w:hint="eastAsia"/>
                      <w:color w:val="auto"/>
                      <w:highlight w:val="none"/>
                      <w:lang w:val="en-US" w:eastAsia="zh-CN"/>
                    </w:rPr>
                    <w:t>59</w:t>
                  </w:r>
                </w:p>
              </w:tc>
              <w:tc>
                <w:tcPr>
                  <w:tcW w:w="1218" w:type="dxa"/>
                  <w:tcBorders>
                    <w:tl2br w:val="nil"/>
                    <w:tr2bl w:val="nil"/>
                  </w:tcBorders>
                  <w:shd w:val="clear" w:color="auto" w:fill="auto"/>
                  <w:vAlign w:val="center"/>
                </w:tcPr>
                <w:p w14:paraId="37F9B69F">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900-00</w:t>
                  </w:r>
                  <w:r>
                    <w:rPr>
                      <w:rFonts w:hint="eastAsia"/>
                      <w:color w:val="auto"/>
                      <w:highlight w:val="none"/>
                      <w:lang w:val="en-US" w:eastAsia="zh-CN"/>
                    </w:rPr>
                    <w:t>8</w:t>
                  </w:r>
                  <w:r>
                    <w:rPr>
                      <w:rFonts w:hint="eastAsia" w:ascii="Times New Roman" w:hAnsi="Times New Roman" w:eastAsia="宋体"/>
                      <w:color w:val="auto"/>
                      <w:highlight w:val="none"/>
                      <w:lang w:val="en-US"/>
                    </w:rPr>
                    <w:t>-S</w:t>
                  </w:r>
                  <w:r>
                    <w:rPr>
                      <w:rFonts w:hint="eastAsia"/>
                      <w:color w:val="auto"/>
                      <w:highlight w:val="none"/>
                      <w:lang w:val="en-US" w:eastAsia="zh-CN"/>
                    </w:rPr>
                    <w:t>59</w:t>
                  </w:r>
                </w:p>
              </w:tc>
              <w:tc>
                <w:tcPr>
                  <w:tcW w:w="657" w:type="dxa"/>
                  <w:tcBorders>
                    <w:tl2br w:val="nil"/>
                    <w:tr2bl w:val="nil"/>
                  </w:tcBorders>
                  <w:shd w:val="clear" w:color="auto" w:fill="auto"/>
                  <w:vAlign w:val="center"/>
                </w:tcPr>
                <w:p w14:paraId="2FC16716">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12</w:t>
                  </w:r>
                </w:p>
              </w:tc>
              <w:tc>
                <w:tcPr>
                  <w:tcW w:w="545" w:type="dxa"/>
                  <w:vMerge w:val="restart"/>
                  <w:tcBorders>
                    <w:tl2br w:val="nil"/>
                    <w:tr2bl w:val="nil"/>
                  </w:tcBorders>
                  <w:vAlign w:val="center"/>
                </w:tcPr>
                <w:p w14:paraId="38C5585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外售综合利用</w:t>
                  </w:r>
                </w:p>
              </w:tc>
            </w:tr>
            <w:tr w14:paraId="47A3E8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09" w:type="dxa"/>
                  <w:tcBorders>
                    <w:tl2br w:val="nil"/>
                    <w:tr2bl w:val="nil"/>
                  </w:tcBorders>
                  <w:shd w:val="clear" w:color="auto" w:fill="auto"/>
                  <w:vAlign w:val="center"/>
                </w:tcPr>
                <w:p w14:paraId="0E992902">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lang w:val="en-US"/>
                    </w:rPr>
                    <w:t>4</w:t>
                  </w:r>
                </w:p>
              </w:tc>
              <w:tc>
                <w:tcPr>
                  <w:tcW w:w="1168" w:type="dxa"/>
                  <w:tcBorders>
                    <w:tl2br w:val="nil"/>
                    <w:tr2bl w:val="nil"/>
                  </w:tcBorders>
                  <w:shd w:val="clear" w:color="auto" w:fill="auto"/>
                  <w:vAlign w:val="center"/>
                </w:tcPr>
                <w:p w14:paraId="24C6ED5F">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废反渗透膜</w:t>
                  </w:r>
                </w:p>
              </w:tc>
              <w:tc>
                <w:tcPr>
                  <w:tcW w:w="484" w:type="dxa"/>
                  <w:vMerge w:val="continue"/>
                  <w:tcBorders>
                    <w:tl2br w:val="nil"/>
                    <w:tr2bl w:val="nil"/>
                  </w:tcBorders>
                  <w:vAlign w:val="center"/>
                </w:tcPr>
                <w:p w14:paraId="7E8D1F7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487" w:type="dxa"/>
                  <w:vMerge w:val="restart"/>
                  <w:tcBorders>
                    <w:tl2br w:val="nil"/>
                    <w:tr2bl w:val="nil"/>
                  </w:tcBorders>
                  <w:shd w:val="clear" w:color="auto" w:fill="auto"/>
                  <w:vAlign w:val="center"/>
                </w:tcPr>
                <w:p w14:paraId="03C8515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p w14:paraId="0C700E9C">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882" w:type="dxa"/>
                  <w:tcBorders>
                    <w:tl2br w:val="nil"/>
                    <w:tr2bl w:val="nil"/>
                  </w:tcBorders>
                  <w:shd w:val="clear" w:color="auto" w:fill="auto"/>
                  <w:vAlign w:val="center"/>
                </w:tcPr>
                <w:p w14:paraId="327A7BDE">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塑料膜</w:t>
                  </w:r>
                </w:p>
              </w:tc>
              <w:tc>
                <w:tcPr>
                  <w:tcW w:w="933" w:type="dxa"/>
                  <w:vMerge w:val="continue"/>
                  <w:tcBorders>
                    <w:tl2br w:val="nil"/>
                    <w:tr2bl w:val="nil"/>
                  </w:tcBorders>
                  <w:vAlign w:val="center"/>
                </w:tcPr>
                <w:p w14:paraId="1FEECD1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539" w:type="dxa"/>
                  <w:tcBorders>
                    <w:tl2br w:val="nil"/>
                    <w:tr2bl w:val="nil"/>
                  </w:tcBorders>
                  <w:shd w:val="clear" w:color="auto" w:fill="auto"/>
                  <w:vAlign w:val="center"/>
                </w:tcPr>
                <w:p w14:paraId="273FA6BB">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598" w:type="dxa"/>
                  <w:tcBorders>
                    <w:tl2br w:val="nil"/>
                    <w:tr2bl w:val="nil"/>
                  </w:tcBorders>
                  <w:shd w:val="clear" w:color="auto" w:fill="auto"/>
                  <w:vAlign w:val="center"/>
                </w:tcPr>
                <w:p w14:paraId="4FEC1B90">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SW17</w:t>
                  </w:r>
                </w:p>
              </w:tc>
              <w:tc>
                <w:tcPr>
                  <w:tcW w:w="1218" w:type="dxa"/>
                  <w:tcBorders>
                    <w:tl2br w:val="nil"/>
                    <w:tr2bl w:val="nil"/>
                  </w:tcBorders>
                  <w:shd w:val="clear" w:color="auto" w:fill="auto"/>
                  <w:vAlign w:val="center"/>
                </w:tcPr>
                <w:p w14:paraId="2FEA5607">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900-00</w:t>
                  </w:r>
                  <w:r>
                    <w:rPr>
                      <w:rFonts w:hint="eastAsia"/>
                      <w:color w:val="auto"/>
                      <w:highlight w:val="none"/>
                      <w:lang w:val="en-US" w:eastAsia="zh-CN"/>
                    </w:rPr>
                    <w:t>3</w:t>
                  </w:r>
                  <w:r>
                    <w:rPr>
                      <w:rFonts w:hint="eastAsia" w:ascii="Times New Roman" w:hAnsi="Times New Roman" w:eastAsia="宋体"/>
                      <w:color w:val="auto"/>
                      <w:highlight w:val="none"/>
                      <w:lang w:val="en-US"/>
                    </w:rPr>
                    <w:t>-S17</w:t>
                  </w:r>
                </w:p>
              </w:tc>
              <w:tc>
                <w:tcPr>
                  <w:tcW w:w="657" w:type="dxa"/>
                  <w:tcBorders>
                    <w:tl2br w:val="nil"/>
                    <w:tr2bl w:val="nil"/>
                  </w:tcBorders>
                  <w:shd w:val="clear" w:color="auto" w:fill="auto"/>
                  <w:vAlign w:val="center"/>
                </w:tcPr>
                <w:p w14:paraId="4BF327E7">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w:t>
                  </w:r>
                </w:p>
              </w:tc>
              <w:tc>
                <w:tcPr>
                  <w:tcW w:w="545" w:type="dxa"/>
                  <w:vMerge w:val="continue"/>
                  <w:tcBorders>
                    <w:tl2br w:val="nil"/>
                    <w:tr2bl w:val="nil"/>
                  </w:tcBorders>
                  <w:vAlign w:val="center"/>
                </w:tcPr>
                <w:p w14:paraId="4A4EAF3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r>
            <w:tr w14:paraId="5DA348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09" w:type="dxa"/>
                  <w:tcBorders>
                    <w:tl2br w:val="nil"/>
                    <w:tr2bl w:val="nil"/>
                  </w:tcBorders>
                  <w:shd w:val="clear" w:color="auto" w:fill="auto"/>
                  <w:vAlign w:val="center"/>
                </w:tcPr>
                <w:p w14:paraId="76223B0B">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lang w:val="en-US"/>
                    </w:rPr>
                    <w:t>5</w:t>
                  </w:r>
                </w:p>
              </w:tc>
              <w:tc>
                <w:tcPr>
                  <w:tcW w:w="1168" w:type="dxa"/>
                  <w:tcBorders>
                    <w:tl2br w:val="nil"/>
                    <w:tr2bl w:val="nil"/>
                  </w:tcBorders>
                  <w:shd w:val="clear" w:color="auto" w:fill="auto"/>
                  <w:vAlign w:val="center"/>
                </w:tcPr>
                <w:p w14:paraId="1A3FFB0D">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废滤芯</w:t>
                  </w:r>
                </w:p>
              </w:tc>
              <w:tc>
                <w:tcPr>
                  <w:tcW w:w="484" w:type="dxa"/>
                  <w:vMerge w:val="continue"/>
                  <w:tcBorders>
                    <w:tl2br w:val="nil"/>
                    <w:tr2bl w:val="nil"/>
                  </w:tcBorders>
                  <w:vAlign w:val="center"/>
                </w:tcPr>
                <w:p w14:paraId="238EE47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487" w:type="dxa"/>
                  <w:vMerge w:val="continue"/>
                  <w:tcBorders>
                    <w:tl2br w:val="nil"/>
                    <w:tr2bl w:val="nil"/>
                  </w:tcBorders>
                  <w:shd w:val="clear" w:color="auto" w:fill="auto"/>
                  <w:vAlign w:val="center"/>
                </w:tcPr>
                <w:p w14:paraId="3BE03CD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p>
              </w:tc>
              <w:tc>
                <w:tcPr>
                  <w:tcW w:w="882" w:type="dxa"/>
                  <w:tcBorders>
                    <w:tl2br w:val="nil"/>
                    <w:tr2bl w:val="nil"/>
                  </w:tcBorders>
                  <w:shd w:val="clear" w:color="auto" w:fill="auto"/>
                  <w:vAlign w:val="center"/>
                </w:tcPr>
                <w:p w14:paraId="2489FA9D">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塑料</w:t>
                  </w:r>
                </w:p>
              </w:tc>
              <w:tc>
                <w:tcPr>
                  <w:tcW w:w="933" w:type="dxa"/>
                  <w:vMerge w:val="continue"/>
                  <w:tcBorders>
                    <w:tl2br w:val="nil"/>
                    <w:tr2bl w:val="nil"/>
                  </w:tcBorders>
                  <w:vAlign w:val="center"/>
                </w:tcPr>
                <w:p w14:paraId="5C6026F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539" w:type="dxa"/>
                  <w:tcBorders>
                    <w:tl2br w:val="nil"/>
                    <w:tr2bl w:val="nil"/>
                  </w:tcBorders>
                  <w:shd w:val="clear" w:color="auto" w:fill="auto"/>
                  <w:vAlign w:val="center"/>
                </w:tcPr>
                <w:p w14:paraId="6FC3819B">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rPr>
                    <w:t>/</w:t>
                  </w:r>
                </w:p>
              </w:tc>
              <w:tc>
                <w:tcPr>
                  <w:tcW w:w="598" w:type="dxa"/>
                  <w:tcBorders>
                    <w:tl2br w:val="nil"/>
                    <w:tr2bl w:val="nil"/>
                  </w:tcBorders>
                  <w:shd w:val="clear" w:color="auto" w:fill="auto"/>
                  <w:vAlign w:val="center"/>
                </w:tcPr>
                <w:p w14:paraId="3A501A22">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SW17</w:t>
                  </w:r>
                </w:p>
              </w:tc>
              <w:tc>
                <w:tcPr>
                  <w:tcW w:w="1218" w:type="dxa"/>
                  <w:tcBorders>
                    <w:tl2br w:val="nil"/>
                    <w:tr2bl w:val="nil"/>
                  </w:tcBorders>
                  <w:shd w:val="clear" w:color="auto" w:fill="auto"/>
                  <w:vAlign w:val="center"/>
                </w:tcPr>
                <w:p w14:paraId="2E0769E3">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900-0</w:t>
                  </w:r>
                  <w:r>
                    <w:rPr>
                      <w:rFonts w:hint="eastAsia" w:ascii="Times New Roman" w:hAnsi="Times New Roman" w:eastAsia="宋体"/>
                      <w:color w:val="auto"/>
                      <w:highlight w:val="none"/>
                      <w:lang w:val="en-US" w:eastAsia="zh-CN"/>
                    </w:rPr>
                    <w:t>0</w:t>
                  </w:r>
                  <w:r>
                    <w:rPr>
                      <w:rFonts w:hint="eastAsia"/>
                      <w:color w:val="auto"/>
                      <w:highlight w:val="none"/>
                      <w:lang w:val="en-US" w:eastAsia="zh-CN"/>
                    </w:rPr>
                    <w:t>3</w:t>
                  </w:r>
                  <w:r>
                    <w:rPr>
                      <w:rFonts w:hint="eastAsia" w:ascii="Times New Roman" w:hAnsi="Times New Roman" w:eastAsia="宋体"/>
                      <w:color w:val="auto"/>
                      <w:highlight w:val="none"/>
                      <w:lang w:val="en-US" w:eastAsia="zh-CN"/>
                    </w:rPr>
                    <w:t>-S17</w:t>
                  </w:r>
                </w:p>
              </w:tc>
              <w:tc>
                <w:tcPr>
                  <w:tcW w:w="657" w:type="dxa"/>
                  <w:tcBorders>
                    <w:tl2br w:val="nil"/>
                    <w:tr2bl w:val="nil"/>
                  </w:tcBorders>
                  <w:shd w:val="clear" w:color="auto" w:fill="auto"/>
                  <w:vAlign w:val="center"/>
                </w:tcPr>
                <w:p w14:paraId="6D75F3A4">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w:t>
                  </w:r>
                </w:p>
              </w:tc>
              <w:tc>
                <w:tcPr>
                  <w:tcW w:w="545" w:type="dxa"/>
                  <w:vMerge w:val="continue"/>
                  <w:tcBorders>
                    <w:tl2br w:val="nil"/>
                    <w:tr2bl w:val="nil"/>
                  </w:tcBorders>
                  <w:vAlign w:val="center"/>
                </w:tcPr>
                <w:p w14:paraId="6110D40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r>
            <w:tr w14:paraId="7AC58D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09" w:type="dxa"/>
                  <w:tcBorders>
                    <w:tl2br w:val="nil"/>
                    <w:tr2bl w:val="nil"/>
                  </w:tcBorders>
                  <w:shd w:val="clear" w:color="auto" w:fill="auto"/>
                  <w:vAlign w:val="center"/>
                </w:tcPr>
                <w:p w14:paraId="68722436">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lang w:val="en-US"/>
                    </w:rPr>
                    <w:t>6</w:t>
                  </w:r>
                </w:p>
              </w:tc>
              <w:tc>
                <w:tcPr>
                  <w:tcW w:w="1168" w:type="dxa"/>
                  <w:tcBorders>
                    <w:tl2br w:val="nil"/>
                    <w:tr2bl w:val="nil"/>
                  </w:tcBorders>
                  <w:shd w:val="clear" w:color="auto" w:fill="auto"/>
                  <w:vAlign w:val="center"/>
                </w:tcPr>
                <w:p w14:paraId="7DE409A6">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废分子筛</w:t>
                  </w:r>
                </w:p>
              </w:tc>
              <w:tc>
                <w:tcPr>
                  <w:tcW w:w="484" w:type="dxa"/>
                  <w:vMerge w:val="continue"/>
                  <w:tcBorders>
                    <w:tl2br w:val="nil"/>
                    <w:tr2bl w:val="nil"/>
                  </w:tcBorders>
                  <w:shd w:val="clear" w:color="auto" w:fill="auto"/>
                  <w:vAlign w:val="center"/>
                </w:tcPr>
                <w:p w14:paraId="305323EF">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p>
              </w:tc>
              <w:tc>
                <w:tcPr>
                  <w:tcW w:w="487" w:type="dxa"/>
                  <w:tcBorders>
                    <w:tl2br w:val="nil"/>
                    <w:tr2bl w:val="nil"/>
                  </w:tcBorders>
                  <w:shd w:val="clear" w:color="auto" w:fill="auto"/>
                  <w:vAlign w:val="center"/>
                </w:tcPr>
                <w:p w14:paraId="009660C5">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882" w:type="dxa"/>
                  <w:tcBorders>
                    <w:tl2br w:val="nil"/>
                    <w:tr2bl w:val="nil"/>
                  </w:tcBorders>
                  <w:shd w:val="clear" w:color="auto" w:fill="auto"/>
                  <w:vAlign w:val="center"/>
                </w:tcPr>
                <w:p w14:paraId="240B09FC">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碳分子筛</w:t>
                  </w:r>
                </w:p>
              </w:tc>
              <w:tc>
                <w:tcPr>
                  <w:tcW w:w="933" w:type="dxa"/>
                  <w:vMerge w:val="continue"/>
                  <w:tcBorders>
                    <w:tl2br w:val="nil"/>
                    <w:tr2bl w:val="nil"/>
                  </w:tcBorders>
                  <w:shd w:val="clear" w:color="auto" w:fill="auto"/>
                  <w:vAlign w:val="center"/>
                </w:tcPr>
                <w:p w14:paraId="568AC6AA">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p>
              </w:tc>
              <w:tc>
                <w:tcPr>
                  <w:tcW w:w="539" w:type="dxa"/>
                  <w:tcBorders>
                    <w:tl2br w:val="nil"/>
                    <w:tr2bl w:val="nil"/>
                  </w:tcBorders>
                  <w:shd w:val="clear" w:color="auto" w:fill="auto"/>
                  <w:vAlign w:val="center"/>
                </w:tcPr>
                <w:p w14:paraId="24F43CFE">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rPr>
                    <w:t>/</w:t>
                  </w:r>
                </w:p>
              </w:tc>
              <w:tc>
                <w:tcPr>
                  <w:tcW w:w="598" w:type="dxa"/>
                  <w:tcBorders>
                    <w:tl2br w:val="nil"/>
                    <w:tr2bl w:val="nil"/>
                  </w:tcBorders>
                  <w:shd w:val="clear" w:color="auto" w:fill="auto"/>
                  <w:vAlign w:val="center"/>
                </w:tcPr>
                <w:p w14:paraId="48D4942B">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SW</w:t>
                  </w:r>
                  <w:r>
                    <w:rPr>
                      <w:rFonts w:hint="eastAsia"/>
                      <w:color w:val="auto"/>
                      <w:highlight w:val="none"/>
                      <w:lang w:val="en-US" w:eastAsia="zh-CN"/>
                    </w:rPr>
                    <w:t>59</w:t>
                  </w:r>
                </w:p>
              </w:tc>
              <w:tc>
                <w:tcPr>
                  <w:tcW w:w="1218" w:type="dxa"/>
                  <w:tcBorders>
                    <w:tl2br w:val="nil"/>
                    <w:tr2bl w:val="nil"/>
                  </w:tcBorders>
                  <w:shd w:val="clear" w:color="auto" w:fill="auto"/>
                  <w:vAlign w:val="center"/>
                </w:tcPr>
                <w:p w14:paraId="1E4522CB">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900-00</w:t>
                  </w:r>
                  <w:r>
                    <w:rPr>
                      <w:rFonts w:hint="eastAsia"/>
                      <w:color w:val="auto"/>
                      <w:highlight w:val="none"/>
                      <w:lang w:val="en-US" w:eastAsia="zh-CN"/>
                    </w:rPr>
                    <w:t>5</w:t>
                  </w:r>
                  <w:r>
                    <w:rPr>
                      <w:rFonts w:hint="eastAsia" w:ascii="Times New Roman" w:hAnsi="Times New Roman" w:eastAsia="宋体"/>
                      <w:color w:val="auto"/>
                      <w:highlight w:val="none"/>
                      <w:lang w:val="en-US"/>
                    </w:rPr>
                    <w:t>-S</w:t>
                  </w:r>
                  <w:r>
                    <w:rPr>
                      <w:rFonts w:hint="eastAsia"/>
                      <w:color w:val="auto"/>
                      <w:highlight w:val="none"/>
                      <w:lang w:val="en-US" w:eastAsia="zh-CN"/>
                    </w:rPr>
                    <w:t>59</w:t>
                  </w:r>
                </w:p>
              </w:tc>
              <w:tc>
                <w:tcPr>
                  <w:tcW w:w="657" w:type="dxa"/>
                  <w:tcBorders>
                    <w:tl2br w:val="nil"/>
                    <w:tr2bl w:val="nil"/>
                  </w:tcBorders>
                  <w:shd w:val="clear" w:color="auto" w:fill="auto"/>
                  <w:vAlign w:val="center"/>
                </w:tcPr>
                <w:p w14:paraId="5D54922C">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0.5</w:t>
                  </w:r>
                </w:p>
              </w:tc>
              <w:tc>
                <w:tcPr>
                  <w:tcW w:w="545" w:type="dxa"/>
                  <w:vMerge w:val="continue"/>
                  <w:tcBorders>
                    <w:tl2br w:val="nil"/>
                    <w:tr2bl w:val="nil"/>
                  </w:tcBorders>
                  <w:vAlign w:val="center"/>
                </w:tcPr>
                <w:p w14:paraId="1078865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r>
            <w:tr w14:paraId="180A59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09" w:type="dxa"/>
                  <w:tcBorders>
                    <w:tl2br w:val="nil"/>
                    <w:tr2bl w:val="nil"/>
                  </w:tcBorders>
                  <w:shd w:val="clear" w:color="auto" w:fill="auto"/>
                  <w:vAlign w:val="center"/>
                </w:tcPr>
                <w:p w14:paraId="6AA36CC8">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7</w:t>
                  </w:r>
                </w:p>
              </w:tc>
              <w:tc>
                <w:tcPr>
                  <w:tcW w:w="1168" w:type="dxa"/>
                  <w:tcBorders>
                    <w:tl2br w:val="nil"/>
                    <w:tr2bl w:val="nil"/>
                  </w:tcBorders>
                  <w:shd w:val="clear" w:color="auto" w:fill="auto"/>
                  <w:vAlign w:val="center"/>
                </w:tcPr>
                <w:p w14:paraId="1A911637">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废塑料</w:t>
                  </w:r>
                </w:p>
              </w:tc>
              <w:tc>
                <w:tcPr>
                  <w:tcW w:w="484" w:type="dxa"/>
                  <w:vMerge w:val="continue"/>
                  <w:tcBorders>
                    <w:tl2br w:val="nil"/>
                    <w:tr2bl w:val="nil"/>
                  </w:tcBorders>
                  <w:vAlign w:val="center"/>
                </w:tcPr>
                <w:p w14:paraId="4B0E027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487" w:type="dxa"/>
                  <w:tcBorders>
                    <w:tl2br w:val="nil"/>
                    <w:tr2bl w:val="nil"/>
                  </w:tcBorders>
                  <w:shd w:val="clear" w:color="auto" w:fill="auto"/>
                  <w:vAlign w:val="center"/>
                </w:tcPr>
                <w:p w14:paraId="73824C53">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882" w:type="dxa"/>
                  <w:tcBorders>
                    <w:tl2br w:val="nil"/>
                    <w:tr2bl w:val="nil"/>
                  </w:tcBorders>
                  <w:shd w:val="clear" w:color="auto" w:fill="auto"/>
                  <w:vAlign w:val="center"/>
                </w:tcPr>
                <w:p w14:paraId="68B700F7">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PET塑料</w:t>
                  </w:r>
                </w:p>
              </w:tc>
              <w:tc>
                <w:tcPr>
                  <w:tcW w:w="933" w:type="dxa"/>
                  <w:vMerge w:val="continue"/>
                  <w:tcBorders>
                    <w:tl2br w:val="nil"/>
                    <w:tr2bl w:val="nil"/>
                  </w:tcBorders>
                  <w:vAlign w:val="center"/>
                </w:tcPr>
                <w:p w14:paraId="4FACE47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539" w:type="dxa"/>
                  <w:tcBorders>
                    <w:tl2br w:val="nil"/>
                    <w:tr2bl w:val="nil"/>
                  </w:tcBorders>
                  <w:vAlign w:val="center"/>
                </w:tcPr>
                <w:p w14:paraId="36C56FD0">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color w:val="auto"/>
                      <w:highlight w:val="none"/>
                      <w:lang w:val="en-US" w:eastAsia="zh-CN"/>
                    </w:rPr>
                    <w:t>/</w:t>
                  </w:r>
                </w:p>
              </w:tc>
              <w:tc>
                <w:tcPr>
                  <w:tcW w:w="598" w:type="dxa"/>
                  <w:tcBorders>
                    <w:tl2br w:val="nil"/>
                    <w:tr2bl w:val="nil"/>
                  </w:tcBorders>
                  <w:shd w:val="clear" w:color="auto" w:fill="auto"/>
                  <w:vAlign w:val="center"/>
                </w:tcPr>
                <w:p w14:paraId="4F5F5C72">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SW17</w:t>
                  </w:r>
                </w:p>
              </w:tc>
              <w:tc>
                <w:tcPr>
                  <w:tcW w:w="1218" w:type="dxa"/>
                  <w:tcBorders>
                    <w:tl2br w:val="nil"/>
                    <w:tr2bl w:val="nil"/>
                  </w:tcBorders>
                  <w:shd w:val="clear" w:color="auto" w:fill="auto"/>
                  <w:vAlign w:val="center"/>
                </w:tcPr>
                <w:p w14:paraId="186A721C">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900-0</w:t>
                  </w:r>
                  <w:r>
                    <w:rPr>
                      <w:rFonts w:hint="eastAsia" w:ascii="Times New Roman" w:hAnsi="Times New Roman" w:eastAsia="宋体"/>
                      <w:color w:val="auto"/>
                      <w:highlight w:val="none"/>
                      <w:lang w:val="en-US" w:eastAsia="zh-CN"/>
                    </w:rPr>
                    <w:t>0</w:t>
                  </w:r>
                  <w:r>
                    <w:rPr>
                      <w:rFonts w:hint="eastAsia"/>
                      <w:color w:val="auto"/>
                      <w:highlight w:val="none"/>
                      <w:lang w:val="en-US" w:eastAsia="zh-CN"/>
                    </w:rPr>
                    <w:t>3</w:t>
                  </w:r>
                  <w:r>
                    <w:rPr>
                      <w:rFonts w:hint="eastAsia" w:ascii="Times New Roman" w:hAnsi="Times New Roman" w:eastAsia="宋体"/>
                      <w:color w:val="auto"/>
                      <w:highlight w:val="none"/>
                      <w:lang w:val="en-US" w:eastAsia="zh-CN"/>
                    </w:rPr>
                    <w:t>-S17</w:t>
                  </w:r>
                </w:p>
              </w:tc>
              <w:tc>
                <w:tcPr>
                  <w:tcW w:w="657" w:type="dxa"/>
                  <w:tcBorders>
                    <w:tl2br w:val="nil"/>
                    <w:tr2bl w:val="nil"/>
                  </w:tcBorders>
                  <w:shd w:val="clear" w:color="auto" w:fill="auto"/>
                  <w:vAlign w:val="center"/>
                </w:tcPr>
                <w:p w14:paraId="46A856D7">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45</w:t>
                  </w:r>
                </w:p>
              </w:tc>
              <w:tc>
                <w:tcPr>
                  <w:tcW w:w="545" w:type="dxa"/>
                  <w:vMerge w:val="continue"/>
                  <w:tcBorders>
                    <w:tl2br w:val="nil"/>
                    <w:tr2bl w:val="nil"/>
                  </w:tcBorders>
                  <w:vAlign w:val="center"/>
                </w:tcPr>
                <w:p w14:paraId="4318589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r>
            <w:tr w14:paraId="23ED1E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09" w:type="dxa"/>
                  <w:tcBorders>
                    <w:tl2br w:val="nil"/>
                    <w:tr2bl w:val="nil"/>
                  </w:tcBorders>
                  <w:shd w:val="clear" w:color="auto" w:fill="auto"/>
                  <w:vAlign w:val="center"/>
                </w:tcPr>
                <w:p w14:paraId="6E68D41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8</w:t>
                  </w:r>
                </w:p>
              </w:tc>
              <w:tc>
                <w:tcPr>
                  <w:tcW w:w="1168" w:type="dxa"/>
                  <w:tcBorders>
                    <w:tl2br w:val="nil"/>
                    <w:tr2bl w:val="nil"/>
                  </w:tcBorders>
                  <w:shd w:val="clear" w:color="auto" w:fill="auto"/>
                  <w:vAlign w:val="center"/>
                </w:tcPr>
                <w:p w14:paraId="446952B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废纸箱</w:t>
                  </w:r>
                </w:p>
              </w:tc>
              <w:tc>
                <w:tcPr>
                  <w:tcW w:w="484" w:type="dxa"/>
                  <w:vMerge w:val="continue"/>
                  <w:tcBorders>
                    <w:tl2br w:val="nil"/>
                    <w:tr2bl w:val="nil"/>
                  </w:tcBorders>
                  <w:vAlign w:val="center"/>
                </w:tcPr>
                <w:p w14:paraId="25A70B30">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487" w:type="dxa"/>
                  <w:tcBorders>
                    <w:tl2br w:val="nil"/>
                    <w:tr2bl w:val="nil"/>
                  </w:tcBorders>
                  <w:shd w:val="clear" w:color="auto" w:fill="auto"/>
                  <w:vAlign w:val="center"/>
                </w:tcPr>
                <w:p w14:paraId="7AF67A28">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固态</w:t>
                  </w:r>
                </w:p>
              </w:tc>
              <w:tc>
                <w:tcPr>
                  <w:tcW w:w="882" w:type="dxa"/>
                  <w:tcBorders>
                    <w:tl2br w:val="nil"/>
                    <w:tr2bl w:val="nil"/>
                  </w:tcBorders>
                  <w:shd w:val="clear" w:color="auto" w:fill="auto"/>
                  <w:vAlign w:val="center"/>
                </w:tcPr>
                <w:p w14:paraId="5E7263F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废纸</w:t>
                  </w:r>
                </w:p>
              </w:tc>
              <w:tc>
                <w:tcPr>
                  <w:tcW w:w="933" w:type="dxa"/>
                  <w:vMerge w:val="continue"/>
                  <w:tcBorders>
                    <w:tl2br w:val="nil"/>
                    <w:tr2bl w:val="nil"/>
                  </w:tcBorders>
                  <w:vAlign w:val="center"/>
                </w:tcPr>
                <w:p w14:paraId="543CD21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539" w:type="dxa"/>
                  <w:tcBorders>
                    <w:tl2br w:val="nil"/>
                    <w:tr2bl w:val="nil"/>
                  </w:tcBorders>
                  <w:shd w:val="clear" w:color="auto" w:fill="auto"/>
                  <w:vAlign w:val="center"/>
                </w:tcPr>
                <w:p w14:paraId="1DBF1EE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rPr>
                    <w:t>/</w:t>
                  </w:r>
                </w:p>
              </w:tc>
              <w:tc>
                <w:tcPr>
                  <w:tcW w:w="598" w:type="dxa"/>
                  <w:tcBorders>
                    <w:tl2br w:val="nil"/>
                    <w:tr2bl w:val="nil"/>
                  </w:tcBorders>
                  <w:shd w:val="clear" w:color="auto" w:fill="auto"/>
                  <w:vAlign w:val="center"/>
                </w:tcPr>
                <w:p w14:paraId="15850A20">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SW17</w:t>
                  </w:r>
                </w:p>
              </w:tc>
              <w:tc>
                <w:tcPr>
                  <w:tcW w:w="1218" w:type="dxa"/>
                  <w:tcBorders>
                    <w:tl2br w:val="nil"/>
                    <w:tr2bl w:val="nil"/>
                  </w:tcBorders>
                  <w:shd w:val="clear" w:color="auto" w:fill="auto"/>
                  <w:vAlign w:val="center"/>
                </w:tcPr>
                <w:p w14:paraId="57B2658D">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900-0</w:t>
                  </w:r>
                  <w:r>
                    <w:rPr>
                      <w:rFonts w:hint="eastAsia" w:ascii="Times New Roman" w:hAnsi="Times New Roman" w:eastAsia="宋体"/>
                      <w:color w:val="auto"/>
                      <w:highlight w:val="none"/>
                      <w:lang w:val="en-US" w:eastAsia="zh-CN"/>
                    </w:rPr>
                    <w:t>0</w:t>
                  </w:r>
                  <w:r>
                    <w:rPr>
                      <w:rFonts w:hint="eastAsia"/>
                      <w:color w:val="auto"/>
                      <w:highlight w:val="none"/>
                      <w:lang w:val="en-US" w:eastAsia="zh-CN"/>
                    </w:rPr>
                    <w:t>5</w:t>
                  </w:r>
                  <w:r>
                    <w:rPr>
                      <w:rFonts w:hint="eastAsia" w:ascii="Times New Roman" w:hAnsi="Times New Roman" w:eastAsia="宋体"/>
                      <w:color w:val="auto"/>
                      <w:highlight w:val="none"/>
                      <w:lang w:val="en-US" w:eastAsia="zh-CN"/>
                    </w:rPr>
                    <w:t>-S17</w:t>
                  </w:r>
                </w:p>
              </w:tc>
              <w:tc>
                <w:tcPr>
                  <w:tcW w:w="657" w:type="dxa"/>
                  <w:tcBorders>
                    <w:tl2br w:val="nil"/>
                    <w:tr2bl w:val="nil"/>
                  </w:tcBorders>
                  <w:shd w:val="clear" w:color="auto" w:fill="auto"/>
                  <w:vAlign w:val="center"/>
                </w:tcPr>
                <w:p w14:paraId="6B9C10C8">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73</w:t>
                  </w:r>
                </w:p>
              </w:tc>
              <w:tc>
                <w:tcPr>
                  <w:tcW w:w="545" w:type="dxa"/>
                  <w:vMerge w:val="continue"/>
                  <w:tcBorders>
                    <w:tl2br w:val="nil"/>
                    <w:tr2bl w:val="nil"/>
                  </w:tcBorders>
                  <w:vAlign w:val="center"/>
                </w:tcPr>
                <w:p w14:paraId="4A4529E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r>
            <w:tr w14:paraId="1F2432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09" w:type="dxa"/>
                  <w:tcBorders>
                    <w:tl2br w:val="nil"/>
                    <w:tr2bl w:val="nil"/>
                  </w:tcBorders>
                  <w:shd w:val="clear" w:color="auto" w:fill="auto"/>
                  <w:vAlign w:val="center"/>
                </w:tcPr>
                <w:p w14:paraId="3A96399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9</w:t>
                  </w:r>
                </w:p>
              </w:tc>
              <w:tc>
                <w:tcPr>
                  <w:tcW w:w="1168" w:type="dxa"/>
                  <w:tcBorders>
                    <w:tl2br w:val="nil"/>
                    <w:tr2bl w:val="nil"/>
                  </w:tcBorders>
                  <w:shd w:val="clear" w:color="auto" w:fill="auto"/>
                  <w:vAlign w:val="center"/>
                </w:tcPr>
                <w:p w14:paraId="3403DDCE">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废塑料膜</w:t>
                  </w:r>
                </w:p>
              </w:tc>
              <w:tc>
                <w:tcPr>
                  <w:tcW w:w="484" w:type="dxa"/>
                  <w:vMerge w:val="continue"/>
                  <w:tcBorders>
                    <w:tl2br w:val="nil"/>
                    <w:tr2bl w:val="nil"/>
                  </w:tcBorders>
                  <w:vAlign w:val="center"/>
                </w:tcPr>
                <w:p w14:paraId="698B7948">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487" w:type="dxa"/>
                  <w:tcBorders>
                    <w:tl2br w:val="nil"/>
                    <w:tr2bl w:val="nil"/>
                  </w:tcBorders>
                  <w:shd w:val="clear" w:color="auto" w:fill="auto"/>
                  <w:vAlign w:val="center"/>
                </w:tcPr>
                <w:p w14:paraId="67128C80">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882" w:type="dxa"/>
                  <w:tcBorders>
                    <w:tl2br w:val="nil"/>
                    <w:tr2bl w:val="nil"/>
                  </w:tcBorders>
                  <w:shd w:val="clear" w:color="auto" w:fill="auto"/>
                  <w:vAlign w:val="center"/>
                </w:tcPr>
                <w:p w14:paraId="18FE51B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塑料膜</w:t>
                  </w:r>
                </w:p>
              </w:tc>
              <w:tc>
                <w:tcPr>
                  <w:tcW w:w="933" w:type="dxa"/>
                  <w:vMerge w:val="continue"/>
                  <w:tcBorders>
                    <w:tl2br w:val="nil"/>
                    <w:tr2bl w:val="nil"/>
                  </w:tcBorders>
                  <w:vAlign w:val="center"/>
                </w:tcPr>
                <w:p w14:paraId="1627CC5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539" w:type="dxa"/>
                  <w:tcBorders>
                    <w:tl2br w:val="nil"/>
                    <w:tr2bl w:val="nil"/>
                  </w:tcBorders>
                  <w:shd w:val="clear" w:color="auto" w:fill="auto"/>
                  <w:vAlign w:val="center"/>
                </w:tcPr>
                <w:p w14:paraId="1613D812">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rPr>
                    <w:t>/</w:t>
                  </w:r>
                </w:p>
              </w:tc>
              <w:tc>
                <w:tcPr>
                  <w:tcW w:w="598" w:type="dxa"/>
                  <w:tcBorders>
                    <w:tl2br w:val="nil"/>
                    <w:tr2bl w:val="nil"/>
                  </w:tcBorders>
                  <w:shd w:val="clear" w:color="auto" w:fill="auto"/>
                  <w:vAlign w:val="center"/>
                </w:tcPr>
                <w:p w14:paraId="3266E3E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SW17</w:t>
                  </w:r>
                </w:p>
              </w:tc>
              <w:tc>
                <w:tcPr>
                  <w:tcW w:w="1218" w:type="dxa"/>
                  <w:tcBorders>
                    <w:tl2br w:val="nil"/>
                    <w:tr2bl w:val="nil"/>
                  </w:tcBorders>
                  <w:shd w:val="clear" w:color="auto" w:fill="auto"/>
                  <w:vAlign w:val="center"/>
                </w:tcPr>
                <w:p w14:paraId="49929C13">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900-00</w:t>
                  </w:r>
                  <w:r>
                    <w:rPr>
                      <w:rFonts w:hint="eastAsia"/>
                      <w:color w:val="auto"/>
                      <w:highlight w:val="none"/>
                      <w:lang w:val="en-US" w:eastAsia="zh-CN"/>
                    </w:rPr>
                    <w:t>3</w:t>
                  </w:r>
                  <w:r>
                    <w:rPr>
                      <w:rFonts w:hint="eastAsia" w:ascii="Times New Roman" w:hAnsi="Times New Roman" w:eastAsia="宋体"/>
                      <w:color w:val="auto"/>
                      <w:highlight w:val="none"/>
                      <w:lang w:val="en-US"/>
                    </w:rPr>
                    <w:t>-S17</w:t>
                  </w:r>
                </w:p>
              </w:tc>
              <w:tc>
                <w:tcPr>
                  <w:tcW w:w="657" w:type="dxa"/>
                  <w:tcBorders>
                    <w:tl2br w:val="nil"/>
                    <w:tr2bl w:val="nil"/>
                  </w:tcBorders>
                  <w:shd w:val="clear" w:color="auto" w:fill="auto"/>
                  <w:vAlign w:val="center"/>
                </w:tcPr>
                <w:p w14:paraId="4A408922">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0.4</w:t>
                  </w:r>
                </w:p>
              </w:tc>
              <w:tc>
                <w:tcPr>
                  <w:tcW w:w="545" w:type="dxa"/>
                  <w:vMerge w:val="continue"/>
                  <w:tcBorders>
                    <w:tl2br w:val="nil"/>
                    <w:tr2bl w:val="nil"/>
                  </w:tcBorders>
                  <w:vAlign w:val="center"/>
                </w:tcPr>
                <w:p w14:paraId="3B0A7F3C">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rPr>
                  </w:pPr>
                </w:p>
              </w:tc>
            </w:tr>
            <w:tr w14:paraId="79352E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shd w:val="clear" w:color="auto" w:fill="auto"/>
                  <w:vAlign w:val="center"/>
                </w:tcPr>
                <w:p w14:paraId="1DC5443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10</w:t>
                  </w:r>
                </w:p>
              </w:tc>
              <w:tc>
                <w:tcPr>
                  <w:tcW w:w="0" w:type="auto"/>
                  <w:shd w:val="clear" w:color="auto" w:fill="auto"/>
                  <w:vAlign w:val="center"/>
                </w:tcPr>
                <w:p w14:paraId="21329963">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废包装袋</w:t>
                  </w:r>
                </w:p>
              </w:tc>
              <w:tc>
                <w:tcPr>
                  <w:tcW w:w="484" w:type="dxa"/>
                  <w:vMerge w:val="continue"/>
                  <w:vAlign w:val="center"/>
                </w:tcPr>
                <w:p w14:paraId="5836AABD">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0" w:type="auto"/>
                  <w:shd w:val="clear" w:color="auto" w:fill="auto"/>
                  <w:vAlign w:val="center"/>
                </w:tcPr>
                <w:p w14:paraId="084FB475">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0" w:type="auto"/>
                  <w:shd w:val="clear" w:color="auto" w:fill="auto"/>
                  <w:vAlign w:val="center"/>
                </w:tcPr>
                <w:p w14:paraId="44ECE693">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编织袋</w:t>
                  </w:r>
                </w:p>
              </w:tc>
              <w:tc>
                <w:tcPr>
                  <w:tcW w:w="933" w:type="dxa"/>
                  <w:vMerge w:val="continue"/>
                  <w:vAlign w:val="center"/>
                </w:tcPr>
                <w:p w14:paraId="67B0BA7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539" w:type="dxa"/>
                  <w:vAlign w:val="center"/>
                </w:tcPr>
                <w:p w14:paraId="49A6F75D">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rPr>
                    <w:t>/</w:t>
                  </w:r>
                </w:p>
              </w:tc>
              <w:tc>
                <w:tcPr>
                  <w:tcW w:w="598" w:type="dxa"/>
                  <w:shd w:val="clear" w:color="auto" w:fill="auto"/>
                  <w:vAlign w:val="center"/>
                </w:tcPr>
                <w:p w14:paraId="16DED27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SW17</w:t>
                  </w:r>
                </w:p>
              </w:tc>
              <w:tc>
                <w:tcPr>
                  <w:tcW w:w="1218" w:type="dxa"/>
                  <w:shd w:val="clear" w:color="auto" w:fill="auto"/>
                  <w:vAlign w:val="center"/>
                </w:tcPr>
                <w:p w14:paraId="5A885353">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900-0</w:t>
                  </w:r>
                  <w:r>
                    <w:rPr>
                      <w:rFonts w:hint="eastAsia"/>
                      <w:color w:val="auto"/>
                      <w:highlight w:val="none"/>
                      <w:lang w:val="en-US" w:eastAsia="zh-CN"/>
                    </w:rPr>
                    <w:t>99</w:t>
                  </w:r>
                  <w:r>
                    <w:rPr>
                      <w:rFonts w:hint="eastAsia" w:ascii="Times New Roman" w:hAnsi="Times New Roman" w:eastAsia="宋体"/>
                      <w:color w:val="auto"/>
                      <w:highlight w:val="none"/>
                      <w:lang w:val="en-US" w:eastAsia="zh-CN"/>
                    </w:rPr>
                    <w:t>-S17</w:t>
                  </w:r>
                </w:p>
              </w:tc>
              <w:tc>
                <w:tcPr>
                  <w:tcW w:w="657" w:type="dxa"/>
                  <w:shd w:val="clear" w:color="auto" w:fill="auto"/>
                  <w:vAlign w:val="center"/>
                </w:tcPr>
                <w:p w14:paraId="030D6ADA">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0.5</w:t>
                  </w:r>
                </w:p>
              </w:tc>
              <w:tc>
                <w:tcPr>
                  <w:tcW w:w="545" w:type="dxa"/>
                  <w:vMerge w:val="continue"/>
                  <w:vAlign w:val="center"/>
                </w:tcPr>
                <w:p w14:paraId="4EFC84B4">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rPr>
                  </w:pPr>
                </w:p>
              </w:tc>
            </w:tr>
            <w:tr w14:paraId="4E519B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shd w:val="clear" w:color="auto" w:fill="auto"/>
                  <w:vAlign w:val="center"/>
                </w:tcPr>
                <w:p w14:paraId="5D55982D">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11</w:t>
                  </w:r>
                </w:p>
              </w:tc>
              <w:tc>
                <w:tcPr>
                  <w:tcW w:w="0" w:type="auto"/>
                  <w:vAlign w:val="center"/>
                </w:tcPr>
                <w:p w14:paraId="4D9DDA00">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污泥</w:t>
                  </w:r>
                </w:p>
              </w:tc>
              <w:tc>
                <w:tcPr>
                  <w:tcW w:w="484" w:type="dxa"/>
                  <w:vMerge w:val="continue"/>
                  <w:vAlign w:val="center"/>
                </w:tcPr>
                <w:p w14:paraId="1F98DD17">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0" w:type="auto"/>
                  <w:shd w:val="clear" w:color="auto" w:fill="auto"/>
                  <w:vAlign w:val="center"/>
                </w:tcPr>
                <w:p w14:paraId="7190414E">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0" w:type="auto"/>
                  <w:shd w:val="clear" w:color="auto" w:fill="auto"/>
                  <w:vAlign w:val="center"/>
                </w:tcPr>
                <w:p w14:paraId="430D4B8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污泥</w:t>
                  </w:r>
                </w:p>
              </w:tc>
              <w:tc>
                <w:tcPr>
                  <w:tcW w:w="933" w:type="dxa"/>
                  <w:vMerge w:val="continue"/>
                  <w:vAlign w:val="center"/>
                </w:tcPr>
                <w:p w14:paraId="0F95EBF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539" w:type="dxa"/>
                  <w:vAlign w:val="center"/>
                </w:tcPr>
                <w:p w14:paraId="174B4AFE">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rPr>
                    <w:t>/</w:t>
                  </w:r>
                </w:p>
              </w:tc>
              <w:tc>
                <w:tcPr>
                  <w:tcW w:w="598" w:type="dxa"/>
                  <w:shd w:val="clear" w:color="auto" w:fill="auto"/>
                  <w:vAlign w:val="center"/>
                </w:tcPr>
                <w:p w14:paraId="53B1EBB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SW</w:t>
                  </w:r>
                  <w:r>
                    <w:rPr>
                      <w:rFonts w:hint="eastAsia"/>
                      <w:color w:val="auto"/>
                      <w:highlight w:val="none"/>
                      <w:lang w:val="en-US" w:eastAsia="zh-CN"/>
                    </w:rPr>
                    <w:t>0</w:t>
                  </w:r>
                  <w:r>
                    <w:rPr>
                      <w:rFonts w:hint="eastAsia" w:ascii="Times New Roman" w:hAnsi="Times New Roman" w:eastAsia="宋体"/>
                      <w:color w:val="auto"/>
                      <w:highlight w:val="none"/>
                      <w:lang w:val="en-US"/>
                    </w:rPr>
                    <w:t>7</w:t>
                  </w:r>
                </w:p>
              </w:tc>
              <w:tc>
                <w:tcPr>
                  <w:tcW w:w="1218" w:type="dxa"/>
                  <w:shd w:val="clear" w:color="auto" w:fill="auto"/>
                  <w:vAlign w:val="center"/>
                </w:tcPr>
                <w:p w14:paraId="67632858">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900-0</w:t>
                  </w:r>
                  <w:r>
                    <w:rPr>
                      <w:rFonts w:hint="eastAsia"/>
                      <w:color w:val="auto"/>
                      <w:highlight w:val="none"/>
                      <w:lang w:val="en-US" w:eastAsia="zh-CN"/>
                    </w:rPr>
                    <w:t>01</w:t>
                  </w:r>
                  <w:r>
                    <w:rPr>
                      <w:rFonts w:hint="eastAsia" w:ascii="Times New Roman" w:hAnsi="Times New Roman" w:eastAsia="宋体"/>
                      <w:color w:val="auto"/>
                      <w:highlight w:val="none"/>
                      <w:lang w:val="en-US" w:eastAsia="zh-CN"/>
                    </w:rPr>
                    <w:t>-S</w:t>
                  </w:r>
                  <w:r>
                    <w:rPr>
                      <w:rFonts w:hint="eastAsia"/>
                      <w:color w:val="auto"/>
                      <w:highlight w:val="none"/>
                      <w:lang w:val="en-US" w:eastAsia="zh-CN"/>
                    </w:rPr>
                    <w:t>0</w:t>
                  </w:r>
                  <w:r>
                    <w:rPr>
                      <w:rFonts w:hint="eastAsia" w:ascii="Times New Roman" w:hAnsi="Times New Roman" w:eastAsia="宋体"/>
                      <w:color w:val="auto"/>
                      <w:highlight w:val="none"/>
                      <w:lang w:val="en-US" w:eastAsia="zh-CN"/>
                    </w:rPr>
                    <w:t>7</w:t>
                  </w:r>
                </w:p>
              </w:tc>
              <w:tc>
                <w:tcPr>
                  <w:tcW w:w="657" w:type="dxa"/>
                  <w:vAlign w:val="center"/>
                </w:tcPr>
                <w:p w14:paraId="6C604EAB">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26</w:t>
                  </w:r>
                </w:p>
              </w:tc>
              <w:tc>
                <w:tcPr>
                  <w:tcW w:w="545" w:type="dxa"/>
                  <w:vAlign w:val="center"/>
                </w:tcPr>
                <w:p w14:paraId="4C7D8E9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委外处置</w:t>
                  </w:r>
                </w:p>
              </w:tc>
            </w:tr>
            <w:tr w14:paraId="7C29AB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shd w:val="clear" w:color="auto" w:fill="auto"/>
                  <w:vAlign w:val="center"/>
                </w:tcPr>
                <w:p w14:paraId="2E33962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12</w:t>
                  </w:r>
                </w:p>
              </w:tc>
              <w:tc>
                <w:tcPr>
                  <w:tcW w:w="0" w:type="auto"/>
                  <w:vAlign w:val="center"/>
                </w:tcPr>
                <w:p w14:paraId="689F7AAA">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废紫外灯管</w:t>
                  </w:r>
                </w:p>
              </w:tc>
              <w:tc>
                <w:tcPr>
                  <w:tcW w:w="484" w:type="dxa"/>
                  <w:vMerge w:val="restart"/>
                  <w:vAlign w:val="center"/>
                </w:tcPr>
                <w:p w14:paraId="322D13FC">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危险废物</w:t>
                  </w:r>
                </w:p>
              </w:tc>
              <w:tc>
                <w:tcPr>
                  <w:tcW w:w="0" w:type="auto"/>
                  <w:shd w:val="clear" w:color="auto" w:fill="auto"/>
                  <w:vAlign w:val="center"/>
                </w:tcPr>
                <w:p w14:paraId="68BD7343">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0" w:type="auto"/>
                  <w:shd w:val="clear" w:color="auto" w:fill="auto"/>
                  <w:vAlign w:val="center"/>
                </w:tcPr>
                <w:p w14:paraId="2D6D684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含汞灯管</w:t>
                  </w:r>
                </w:p>
              </w:tc>
              <w:tc>
                <w:tcPr>
                  <w:tcW w:w="933" w:type="dxa"/>
                  <w:vMerge w:val="continue"/>
                  <w:vAlign w:val="center"/>
                </w:tcPr>
                <w:p w14:paraId="2D1BA15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539" w:type="dxa"/>
                  <w:vAlign w:val="center"/>
                </w:tcPr>
                <w:p w14:paraId="1319D845">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T</w:t>
                  </w:r>
                </w:p>
              </w:tc>
              <w:tc>
                <w:tcPr>
                  <w:tcW w:w="598" w:type="dxa"/>
                  <w:vAlign w:val="center"/>
                </w:tcPr>
                <w:p w14:paraId="3AF7D3AD">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HW29</w:t>
                  </w:r>
                </w:p>
              </w:tc>
              <w:tc>
                <w:tcPr>
                  <w:tcW w:w="1218" w:type="dxa"/>
                  <w:vAlign w:val="center"/>
                </w:tcPr>
                <w:p w14:paraId="551C78B6">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900-023-29</w:t>
                  </w:r>
                </w:p>
              </w:tc>
              <w:tc>
                <w:tcPr>
                  <w:tcW w:w="657" w:type="dxa"/>
                  <w:vAlign w:val="center"/>
                </w:tcPr>
                <w:p w14:paraId="548AE572">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0.005</w:t>
                  </w:r>
                </w:p>
              </w:tc>
              <w:tc>
                <w:tcPr>
                  <w:tcW w:w="545" w:type="dxa"/>
                  <w:vMerge w:val="restart"/>
                  <w:vAlign w:val="center"/>
                </w:tcPr>
                <w:p w14:paraId="4CDBAD5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委托有资质单位处置</w:t>
                  </w:r>
                </w:p>
              </w:tc>
            </w:tr>
            <w:tr w14:paraId="6086D2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shd w:val="clear" w:color="auto" w:fill="auto"/>
                  <w:vAlign w:val="center"/>
                </w:tcPr>
                <w:p w14:paraId="2C54C98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13</w:t>
                  </w:r>
                </w:p>
              </w:tc>
              <w:tc>
                <w:tcPr>
                  <w:tcW w:w="0" w:type="auto"/>
                  <w:shd w:val="clear" w:color="auto" w:fill="auto"/>
                  <w:vAlign w:val="center"/>
                </w:tcPr>
                <w:p w14:paraId="381218CB">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废机油桶</w:t>
                  </w:r>
                </w:p>
              </w:tc>
              <w:tc>
                <w:tcPr>
                  <w:tcW w:w="484" w:type="dxa"/>
                  <w:vMerge w:val="continue"/>
                  <w:vAlign w:val="center"/>
                </w:tcPr>
                <w:p w14:paraId="3C251CDC">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0" w:type="auto"/>
                  <w:shd w:val="clear" w:color="auto" w:fill="auto"/>
                  <w:vAlign w:val="center"/>
                </w:tcPr>
                <w:p w14:paraId="58DC6358">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0" w:type="auto"/>
                  <w:shd w:val="clear" w:color="auto" w:fill="auto"/>
                  <w:vAlign w:val="center"/>
                </w:tcPr>
                <w:p w14:paraId="5E1597E2">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铁桶、矿物油</w:t>
                  </w:r>
                </w:p>
              </w:tc>
              <w:tc>
                <w:tcPr>
                  <w:tcW w:w="933" w:type="dxa"/>
                  <w:vMerge w:val="continue"/>
                  <w:vAlign w:val="center"/>
                </w:tcPr>
                <w:p w14:paraId="61904E9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539" w:type="dxa"/>
                  <w:vAlign w:val="center"/>
                </w:tcPr>
                <w:p w14:paraId="2CAF09B2">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T,I</w:t>
                  </w:r>
                </w:p>
              </w:tc>
              <w:tc>
                <w:tcPr>
                  <w:tcW w:w="598" w:type="dxa"/>
                  <w:vAlign w:val="center"/>
                </w:tcPr>
                <w:p w14:paraId="184C1423">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HW08</w:t>
                  </w:r>
                </w:p>
              </w:tc>
              <w:tc>
                <w:tcPr>
                  <w:tcW w:w="1218" w:type="dxa"/>
                  <w:vAlign w:val="center"/>
                </w:tcPr>
                <w:p w14:paraId="0FE6066D">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900-249-08</w:t>
                  </w:r>
                </w:p>
              </w:tc>
              <w:tc>
                <w:tcPr>
                  <w:tcW w:w="657" w:type="dxa"/>
                  <w:shd w:val="clear" w:color="auto" w:fill="auto"/>
                  <w:vAlign w:val="center"/>
                </w:tcPr>
                <w:p w14:paraId="4C485AB3">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0.3</w:t>
                  </w:r>
                </w:p>
              </w:tc>
              <w:tc>
                <w:tcPr>
                  <w:tcW w:w="545" w:type="dxa"/>
                  <w:vMerge w:val="continue"/>
                  <w:vAlign w:val="center"/>
                </w:tcPr>
                <w:p w14:paraId="2C3ECD25">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rPr>
                  </w:pPr>
                </w:p>
              </w:tc>
            </w:tr>
            <w:tr w14:paraId="636FA4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shd w:val="clear" w:color="auto" w:fill="auto"/>
                  <w:vAlign w:val="center"/>
                </w:tcPr>
                <w:p w14:paraId="5A4E773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14</w:t>
                  </w:r>
                </w:p>
              </w:tc>
              <w:tc>
                <w:tcPr>
                  <w:tcW w:w="0" w:type="auto"/>
                  <w:shd w:val="clear" w:color="auto" w:fill="auto"/>
                  <w:vAlign w:val="center"/>
                </w:tcPr>
                <w:p w14:paraId="395FAF5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废化学品包装桶</w:t>
                  </w:r>
                </w:p>
              </w:tc>
              <w:tc>
                <w:tcPr>
                  <w:tcW w:w="484" w:type="dxa"/>
                  <w:vMerge w:val="continue"/>
                  <w:vAlign w:val="center"/>
                </w:tcPr>
                <w:p w14:paraId="46716702">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0" w:type="auto"/>
                  <w:shd w:val="clear" w:color="auto" w:fill="auto"/>
                  <w:vAlign w:val="center"/>
                </w:tcPr>
                <w:p w14:paraId="51AC7C5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0" w:type="auto"/>
                  <w:shd w:val="clear" w:color="auto" w:fill="auto"/>
                  <w:vAlign w:val="center"/>
                </w:tcPr>
                <w:p w14:paraId="3A7F3933">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塑料桶、残留化学品</w:t>
                  </w:r>
                </w:p>
              </w:tc>
              <w:tc>
                <w:tcPr>
                  <w:tcW w:w="933" w:type="dxa"/>
                  <w:vMerge w:val="continue"/>
                  <w:vAlign w:val="center"/>
                </w:tcPr>
                <w:p w14:paraId="4386156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539" w:type="dxa"/>
                  <w:vAlign w:val="center"/>
                </w:tcPr>
                <w:p w14:paraId="017A2965">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T</w:t>
                  </w:r>
                </w:p>
              </w:tc>
              <w:tc>
                <w:tcPr>
                  <w:tcW w:w="598" w:type="dxa"/>
                  <w:vAlign w:val="center"/>
                </w:tcPr>
                <w:p w14:paraId="47B057AB">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HW49</w:t>
                  </w:r>
                </w:p>
              </w:tc>
              <w:tc>
                <w:tcPr>
                  <w:tcW w:w="1218" w:type="dxa"/>
                  <w:vAlign w:val="center"/>
                </w:tcPr>
                <w:p w14:paraId="7CF2971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900-041-49</w:t>
                  </w:r>
                </w:p>
              </w:tc>
              <w:tc>
                <w:tcPr>
                  <w:tcW w:w="657" w:type="dxa"/>
                  <w:shd w:val="clear" w:color="auto" w:fill="auto"/>
                  <w:vAlign w:val="center"/>
                </w:tcPr>
                <w:p w14:paraId="7C9744CE">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0.05</w:t>
                  </w:r>
                </w:p>
              </w:tc>
              <w:tc>
                <w:tcPr>
                  <w:tcW w:w="545" w:type="dxa"/>
                  <w:vMerge w:val="continue"/>
                  <w:vAlign w:val="center"/>
                </w:tcPr>
                <w:p w14:paraId="0C477AC4">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rPr>
                  </w:pPr>
                </w:p>
              </w:tc>
            </w:tr>
            <w:tr w14:paraId="678549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shd w:val="clear" w:color="auto" w:fill="auto"/>
                  <w:vAlign w:val="center"/>
                </w:tcPr>
                <w:p w14:paraId="67588FB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15</w:t>
                  </w:r>
                </w:p>
              </w:tc>
              <w:tc>
                <w:tcPr>
                  <w:tcW w:w="0" w:type="auto"/>
                  <w:shd w:val="clear" w:color="auto" w:fill="auto"/>
                  <w:vAlign w:val="center"/>
                </w:tcPr>
                <w:p w14:paraId="5458469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废机油</w:t>
                  </w:r>
                </w:p>
              </w:tc>
              <w:tc>
                <w:tcPr>
                  <w:tcW w:w="484" w:type="dxa"/>
                  <w:vMerge w:val="continue"/>
                  <w:vAlign w:val="center"/>
                </w:tcPr>
                <w:p w14:paraId="4E4D7A01">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0" w:type="auto"/>
                  <w:shd w:val="clear" w:color="auto" w:fill="auto"/>
                  <w:vAlign w:val="center"/>
                </w:tcPr>
                <w:p w14:paraId="34F7FFA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液</w:t>
                  </w:r>
                  <w:r>
                    <w:rPr>
                      <w:rFonts w:hint="eastAsia" w:ascii="Times New Roman" w:hAnsi="Times New Roman" w:eastAsia="宋体"/>
                      <w:color w:val="auto"/>
                      <w:highlight w:val="none"/>
                      <w:lang w:val="en-US" w:eastAsia="zh-CN"/>
                    </w:rPr>
                    <w:t>态</w:t>
                  </w:r>
                </w:p>
              </w:tc>
              <w:tc>
                <w:tcPr>
                  <w:tcW w:w="0" w:type="auto"/>
                  <w:shd w:val="clear" w:color="auto" w:fill="auto"/>
                  <w:vAlign w:val="center"/>
                </w:tcPr>
                <w:p w14:paraId="7B568DF0">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矿物油</w:t>
                  </w:r>
                </w:p>
              </w:tc>
              <w:tc>
                <w:tcPr>
                  <w:tcW w:w="933" w:type="dxa"/>
                  <w:vMerge w:val="continue"/>
                  <w:vAlign w:val="center"/>
                </w:tcPr>
                <w:p w14:paraId="26F9C0C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539" w:type="dxa"/>
                  <w:shd w:val="clear" w:color="auto" w:fill="auto"/>
                  <w:vAlign w:val="center"/>
                </w:tcPr>
                <w:p w14:paraId="771BE79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T,I</w:t>
                  </w:r>
                </w:p>
              </w:tc>
              <w:tc>
                <w:tcPr>
                  <w:tcW w:w="598" w:type="dxa"/>
                  <w:shd w:val="clear" w:color="auto" w:fill="auto"/>
                  <w:vAlign w:val="center"/>
                </w:tcPr>
                <w:p w14:paraId="17947D4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HW08</w:t>
                  </w:r>
                </w:p>
              </w:tc>
              <w:tc>
                <w:tcPr>
                  <w:tcW w:w="1218" w:type="dxa"/>
                  <w:shd w:val="clear" w:color="auto" w:fill="auto"/>
                  <w:vAlign w:val="center"/>
                </w:tcPr>
                <w:p w14:paraId="1DE76685">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900-214-08</w:t>
                  </w:r>
                </w:p>
              </w:tc>
              <w:tc>
                <w:tcPr>
                  <w:tcW w:w="657" w:type="dxa"/>
                  <w:shd w:val="clear" w:color="auto" w:fill="auto"/>
                  <w:vAlign w:val="center"/>
                </w:tcPr>
                <w:p w14:paraId="4B1371E0">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11.4</w:t>
                  </w:r>
                </w:p>
              </w:tc>
              <w:tc>
                <w:tcPr>
                  <w:tcW w:w="545" w:type="dxa"/>
                  <w:vMerge w:val="continue"/>
                  <w:vAlign w:val="center"/>
                </w:tcPr>
                <w:p w14:paraId="23464638">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rPr>
                  </w:pPr>
                </w:p>
              </w:tc>
            </w:tr>
            <w:tr w14:paraId="0FF0E9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shd w:val="clear" w:color="auto" w:fill="auto"/>
                  <w:vAlign w:val="center"/>
                </w:tcPr>
                <w:p w14:paraId="21CDB53C">
                  <w:pPr>
                    <w:pStyle w:val="21"/>
                    <w:keepNext w:val="0"/>
                    <w:keepLines w:val="0"/>
                    <w:suppressLineNumbers w:val="0"/>
                    <w:spacing w:before="0" w:beforeAutospacing="0" w:after="0" w:afterAutospacing="0"/>
                    <w:ind w:left="0" w:leftChars="0" w:right="0" w:rightChars="0" w:firstLine="0" w:firstLineChars="0"/>
                    <w:rPr>
                      <w:rFonts w:hint="eastAsia"/>
                      <w:color w:val="auto"/>
                      <w:highlight w:val="none"/>
                      <w:lang w:val="en-US" w:eastAsia="zh-CN"/>
                    </w:rPr>
                  </w:pPr>
                  <w:r>
                    <w:rPr>
                      <w:rFonts w:hint="eastAsia"/>
                      <w:color w:val="auto"/>
                      <w:highlight w:val="none"/>
                      <w:lang w:val="en-US" w:eastAsia="zh-CN"/>
                    </w:rPr>
                    <w:t>16</w:t>
                  </w:r>
                </w:p>
              </w:tc>
              <w:tc>
                <w:tcPr>
                  <w:tcW w:w="0" w:type="auto"/>
                  <w:shd w:val="clear" w:color="auto" w:fill="auto"/>
                  <w:vAlign w:val="center"/>
                </w:tcPr>
                <w:p w14:paraId="45E8A12B">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含油废液</w:t>
                  </w:r>
                </w:p>
              </w:tc>
              <w:tc>
                <w:tcPr>
                  <w:tcW w:w="484" w:type="dxa"/>
                  <w:vMerge w:val="continue"/>
                  <w:vAlign w:val="center"/>
                </w:tcPr>
                <w:p w14:paraId="71B82C76">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0" w:type="auto"/>
                  <w:shd w:val="clear" w:color="auto" w:fill="auto"/>
                  <w:vAlign w:val="center"/>
                </w:tcPr>
                <w:p w14:paraId="53DB71A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olor w:val="auto"/>
                      <w:highlight w:val="none"/>
                      <w:lang w:val="en-US" w:eastAsia="zh-CN"/>
                    </w:rPr>
                  </w:pPr>
                  <w:r>
                    <w:rPr>
                      <w:rFonts w:hint="eastAsia"/>
                      <w:color w:val="auto"/>
                      <w:highlight w:val="none"/>
                      <w:lang w:val="en-US" w:eastAsia="zh-CN"/>
                    </w:rPr>
                    <w:t>液态</w:t>
                  </w:r>
                </w:p>
              </w:tc>
              <w:tc>
                <w:tcPr>
                  <w:tcW w:w="0" w:type="auto"/>
                  <w:shd w:val="clear" w:color="auto" w:fill="auto"/>
                  <w:vAlign w:val="center"/>
                </w:tcPr>
                <w:p w14:paraId="53036390">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矿物油、水</w:t>
                  </w:r>
                </w:p>
              </w:tc>
              <w:tc>
                <w:tcPr>
                  <w:tcW w:w="933" w:type="dxa"/>
                  <w:vMerge w:val="continue"/>
                  <w:vAlign w:val="center"/>
                </w:tcPr>
                <w:p w14:paraId="7E7AADB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539" w:type="dxa"/>
                  <w:shd w:val="clear" w:color="auto" w:fill="auto"/>
                  <w:vAlign w:val="center"/>
                </w:tcPr>
                <w:p w14:paraId="15D3B6FF">
                  <w:pPr>
                    <w:pStyle w:val="21"/>
                    <w:keepNext w:val="0"/>
                    <w:keepLines w:val="0"/>
                    <w:suppressLineNumbers w:val="0"/>
                    <w:spacing w:before="0" w:beforeAutospacing="0" w:after="0" w:afterAutospacing="0"/>
                    <w:ind w:left="0" w:leftChars="0" w:right="0" w:rightChars="0" w:firstLine="0" w:firstLineChars="0"/>
                    <w:rPr>
                      <w:rFonts w:hint="default"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T</w:t>
                  </w:r>
                </w:p>
              </w:tc>
              <w:tc>
                <w:tcPr>
                  <w:tcW w:w="598" w:type="dxa"/>
                  <w:shd w:val="clear" w:color="auto" w:fill="auto"/>
                  <w:vAlign w:val="center"/>
                </w:tcPr>
                <w:p w14:paraId="322F0153">
                  <w:pPr>
                    <w:pStyle w:val="21"/>
                    <w:keepNext w:val="0"/>
                    <w:keepLines w:val="0"/>
                    <w:suppressLineNumbers w:val="0"/>
                    <w:spacing w:before="0" w:beforeAutospacing="0" w:after="0" w:afterAutospacing="0"/>
                    <w:ind w:left="0" w:leftChars="0" w:right="0" w:rightChars="0" w:firstLine="0" w:firstLineChars="0"/>
                    <w:rPr>
                      <w:rFonts w:hint="default"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HW09</w:t>
                  </w:r>
                </w:p>
              </w:tc>
              <w:tc>
                <w:tcPr>
                  <w:tcW w:w="1218" w:type="dxa"/>
                  <w:shd w:val="clear" w:color="auto" w:fill="auto"/>
                  <w:vAlign w:val="center"/>
                </w:tcPr>
                <w:p w14:paraId="747CC9D3">
                  <w:pPr>
                    <w:pStyle w:val="21"/>
                    <w:keepNext w:val="0"/>
                    <w:keepLines w:val="0"/>
                    <w:suppressLineNumbers w:val="0"/>
                    <w:spacing w:before="0" w:beforeAutospacing="0" w:after="0" w:afterAutospacing="0"/>
                    <w:ind w:left="0" w:leftChars="0" w:right="0" w:rightChars="0" w:firstLine="0" w:firstLineChars="0"/>
                    <w:rPr>
                      <w:rFonts w:hint="default"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900-007-09</w:t>
                  </w:r>
                </w:p>
              </w:tc>
              <w:tc>
                <w:tcPr>
                  <w:tcW w:w="657" w:type="dxa"/>
                  <w:shd w:val="clear" w:color="auto" w:fill="auto"/>
                  <w:vAlign w:val="center"/>
                </w:tcPr>
                <w:p w14:paraId="485AFC1C">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1</w:t>
                  </w:r>
                </w:p>
              </w:tc>
              <w:tc>
                <w:tcPr>
                  <w:tcW w:w="545" w:type="dxa"/>
                  <w:vMerge w:val="continue"/>
                  <w:vAlign w:val="center"/>
                </w:tcPr>
                <w:p w14:paraId="071EEEB5">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rPr>
                  </w:pPr>
                </w:p>
              </w:tc>
            </w:tr>
            <w:tr w14:paraId="2152EE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shd w:val="clear" w:color="auto" w:fill="auto"/>
                  <w:vAlign w:val="center"/>
                </w:tcPr>
                <w:p w14:paraId="36197147">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17</w:t>
                  </w:r>
                </w:p>
              </w:tc>
              <w:tc>
                <w:tcPr>
                  <w:tcW w:w="0" w:type="auto"/>
                  <w:vAlign w:val="center"/>
                </w:tcPr>
                <w:p w14:paraId="7991116E">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废活性炭</w:t>
                  </w:r>
                </w:p>
              </w:tc>
              <w:tc>
                <w:tcPr>
                  <w:tcW w:w="484" w:type="dxa"/>
                  <w:vMerge w:val="continue"/>
                  <w:vAlign w:val="center"/>
                </w:tcPr>
                <w:p w14:paraId="7A1B8557">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0" w:type="auto"/>
                  <w:shd w:val="clear" w:color="auto" w:fill="auto"/>
                  <w:vAlign w:val="center"/>
                </w:tcPr>
                <w:p w14:paraId="3D78D6D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0" w:type="auto"/>
                  <w:shd w:val="clear" w:color="auto" w:fill="auto"/>
                  <w:vAlign w:val="center"/>
                </w:tcPr>
                <w:p w14:paraId="3F2F7F9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活性炭、有机废气</w:t>
                  </w:r>
                </w:p>
              </w:tc>
              <w:tc>
                <w:tcPr>
                  <w:tcW w:w="933" w:type="dxa"/>
                  <w:vMerge w:val="continue"/>
                  <w:vAlign w:val="center"/>
                </w:tcPr>
                <w:p w14:paraId="761E34D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539" w:type="dxa"/>
                  <w:shd w:val="clear" w:color="auto" w:fill="auto"/>
                  <w:vAlign w:val="center"/>
                </w:tcPr>
                <w:p w14:paraId="180B79D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T</w:t>
                  </w:r>
                </w:p>
              </w:tc>
              <w:tc>
                <w:tcPr>
                  <w:tcW w:w="598" w:type="dxa"/>
                  <w:shd w:val="clear" w:color="auto" w:fill="auto"/>
                  <w:vAlign w:val="center"/>
                </w:tcPr>
                <w:p w14:paraId="35F915A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HW49</w:t>
                  </w:r>
                </w:p>
              </w:tc>
              <w:tc>
                <w:tcPr>
                  <w:tcW w:w="1218" w:type="dxa"/>
                  <w:shd w:val="clear" w:color="auto" w:fill="auto"/>
                  <w:vAlign w:val="center"/>
                </w:tcPr>
                <w:p w14:paraId="24F79B7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900-039-49</w:t>
                  </w:r>
                </w:p>
              </w:tc>
              <w:tc>
                <w:tcPr>
                  <w:tcW w:w="657" w:type="dxa"/>
                  <w:shd w:val="clear" w:color="auto" w:fill="auto"/>
                  <w:vAlign w:val="center"/>
                </w:tcPr>
                <w:p w14:paraId="7109668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26.3</w:t>
                  </w:r>
                </w:p>
              </w:tc>
              <w:tc>
                <w:tcPr>
                  <w:tcW w:w="545" w:type="dxa"/>
                  <w:vMerge w:val="continue"/>
                  <w:vAlign w:val="center"/>
                </w:tcPr>
                <w:p w14:paraId="68F1AB68">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rPr>
                  </w:pPr>
                </w:p>
              </w:tc>
            </w:tr>
          </w:tbl>
          <w:p w14:paraId="5209F92E">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本项目危险废物汇总</w:t>
            </w:r>
            <w:r>
              <w:rPr>
                <w:rFonts w:hint="eastAsia" w:ascii="Times New Roman" w:hAnsi="Times New Roman" w:eastAsia="宋体"/>
                <w:color w:val="auto"/>
                <w:highlight w:val="none"/>
                <w:lang w:val="en-US"/>
              </w:rPr>
              <w:t>见下表：</w:t>
            </w:r>
          </w:p>
          <w:p w14:paraId="63A94C80">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表4-</w:t>
            </w:r>
            <w:r>
              <w:rPr>
                <w:rFonts w:hint="eastAsia"/>
                <w:color w:val="auto"/>
                <w:highlight w:val="none"/>
                <w:lang w:val="en-US" w:eastAsia="zh-CN"/>
              </w:rPr>
              <w:t>20</w:t>
            </w:r>
            <w:r>
              <w:rPr>
                <w:rFonts w:hint="default" w:ascii="Times New Roman" w:hAnsi="Times New Roman" w:eastAsia="宋体"/>
                <w:color w:val="auto"/>
                <w:highlight w:val="none"/>
              </w:rPr>
              <w:t>本项目危险废物汇总表</w:t>
            </w:r>
          </w:p>
          <w:tbl>
            <w:tblPr>
              <w:tblStyle w:val="16"/>
              <w:tblW w:w="5001"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08"/>
              <w:gridCol w:w="688"/>
              <w:gridCol w:w="657"/>
              <w:gridCol w:w="736"/>
              <w:gridCol w:w="687"/>
              <w:gridCol w:w="559"/>
              <w:gridCol w:w="432"/>
              <w:gridCol w:w="698"/>
              <w:gridCol w:w="560"/>
              <w:gridCol w:w="692"/>
              <w:gridCol w:w="938"/>
              <w:gridCol w:w="869"/>
            </w:tblGrid>
            <w:tr w14:paraId="1029B9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6" w:type="pct"/>
                  <w:tcBorders>
                    <w:tl2br w:val="nil"/>
                    <w:tr2bl w:val="nil"/>
                  </w:tcBorders>
                  <w:vAlign w:val="center"/>
                </w:tcPr>
                <w:p w14:paraId="70E8AED4">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序号</w:t>
                  </w:r>
                </w:p>
              </w:tc>
              <w:tc>
                <w:tcPr>
                  <w:tcW w:w="439" w:type="pct"/>
                  <w:tcBorders>
                    <w:tl2br w:val="nil"/>
                    <w:tr2bl w:val="nil"/>
                  </w:tcBorders>
                  <w:vAlign w:val="center"/>
                </w:tcPr>
                <w:p w14:paraId="2987DD2C">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危险废物名称</w:t>
                  </w:r>
                </w:p>
              </w:tc>
              <w:tc>
                <w:tcPr>
                  <w:tcW w:w="419" w:type="pct"/>
                  <w:tcBorders>
                    <w:tl2br w:val="nil"/>
                    <w:tr2bl w:val="nil"/>
                  </w:tcBorders>
                  <w:vAlign w:val="center"/>
                </w:tcPr>
                <w:p w14:paraId="5C3CB906">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危险废物类别</w:t>
                  </w:r>
                </w:p>
              </w:tc>
              <w:tc>
                <w:tcPr>
                  <w:tcW w:w="470" w:type="pct"/>
                  <w:tcBorders>
                    <w:tl2br w:val="nil"/>
                    <w:tr2bl w:val="nil"/>
                  </w:tcBorders>
                  <w:vAlign w:val="center"/>
                </w:tcPr>
                <w:p w14:paraId="2093056E">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废物代码</w:t>
                  </w:r>
                </w:p>
              </w:tc>
              <w:tc>
                <w:tcPr>
                  <w:tcW w:w="439" w:type="pct"/>
                  <w:tcBorders>
                    <w:tl2br w:val="nil"/>
                    <w:tr2bl w:val="nil"/>
                  </w:tcBorders>
                  <w:vAlign w:val="center"/>
                </w:tcPr>
                <w:p w14:paraId="4344162A">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产生量</w:t>
                  </w:r>
                </w:p>
                <w:p w14:paraId="261334DB">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eastAsia="zh-CN"/>
                    </w:rPr>
                    <w:t>(</w:t>
                  </w:r>
                  <w:r>
                    <w:rPr>
                      <w:rFonts w:hint="default" w:ascii="Times New Roman" w:hAnsi="Times New Roman" w:eastAsia="宋体"/>
                      <w:b/>
                      <w:bCs/>
                      <w:color w:val="auto"/>
                      <w:highlight w:val="none"/>
                    </w:rPr>
                    <w:t>t/a</w:t>
                  </w:r>
                  <w:r>
                    <w:rPr>
                      <w:rFonts w:hint="eastAsia" w:ascii="Times New Roman" w:hAnsi="Times New Roman" w:eastAsia="宋体"/>
                      <w:b/>
                      <w:bCs/>
                      <w:color w:val="auto"/>
                      <w:highlight w:val="none"/>
                      <w:lang w:eastAsia="zh-CN"/>
                    </w:rPr>
                    <w:t>)</w:t>
                  </w:r>
                </w:p>
              </w:tc>
              <w:tc>
                <w:tcPr>
                  <w:tcW w:w="357" w:type="pct"/>
                  <w:tcBorders>
                    <w:tl2br w:val="nil"/>
                    <w:tr2bl w:val="nil"/>
                  </w:tcBorders>
                  <w:vAlign w:val="center"/>
                </w:tcPr>
                <w:p w14:paraId="49DF891A">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产生</w:t>
                  </w:r>
                </w:p>
                <w:p w14:paraId="1F9B9898">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工序</w:t>
                  </w:r>
                </w:p>
              </w:tc>
              <w:tc>
                <w:tcPr>
                  <w:tcW w:w="276" w:type="pct"/>
                  <w:tcBorders>
                    <w:tl2br w:val="nil"/>
                    <w:tr2bl w:val="nil"/>
                  </w:tcBorders>
                  <w:vAlign w:val="center"/>
                </w:tcPr>
                <w:p w14:paraId="2F39B325">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形态</w:t>
                  </w:r>
                </w:p>
              </w:tc>
              <w:tc>
                <w:tcPr>
                  <w:tcW w:w="446" w:type="pct"/>
                  <w:tcBorders>
                    <w:tl2br w:val="nil"/>
                    <w:tr2bl w:val="nil"/>
                  </w:tcBorders>
                  <w:vAlign w:val="center"/>
                </w:tcPr>
                <w:p w14:paraId="539A678F">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主要</w:t>
                  </w:r>
                </w:p>
                <w:p w14:paraId="6583BFF9">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成分</w:t>
                  </w:r>
                </w:p>
              </w:tc>
              <w:tc>
                <w:tcPr>
                  <w:tcW w:w="357" w:type="pct"/>
                  <w:tcBorders>
                    <w:tl2br w:val="nil"/>
                    <w:tr2bl w:val="nil"/>
                  </w:tcBorders>
                  <w:vAlign w:val="center"/>
                </w:tcPr>
                <w:p w14:paraId="0A68AA4C">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有害成分</w:t>
                  </w:r>
                </w:p>
              </w:tc>
              <w:tc>
                <w:tcPr>
                  <w:tcW w:w="442" w:type="pct"/>
                  <w:tcBorders>
                    <w:tl2br w:val="nil"/>
                    <w:tr2bl w:val="nil"/>
                  </w:tcBorders>
                  <w:vAlign w:val="center"/>
                </w:tcPr>
                <w:p w14:paraId="6C59DC3B">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产废</w:t>
                  </w:r>
                </w:p>
                <w:p w14:paraId="4E62AD3B">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周期</w:t>
                  </w:r>
                </w:p>
              </w:tc>
              <w:tc>
                <w:tcPr>
                  <w:tcW w:w="599" w:type="pct"/>
                  <w:tcBorders>
                    <w:tl2br w:val="nil"/>
                    <w:tr2bl w:val="nil"/>
                  </w:tcBorders>
                  <w:vAlign w:val="center"/>
                </w:tcPr>
                <w:p w14:paraId="3A9C9C8E">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危险特性</w:t>
                  </w:r>
                </w:p>
              </w:tc>
              <w:tc>
                <w:tcPr>
                  <w:tcW w:w="555" w:type="pct"/>
                  <w:tcBorders>
                    <w:tl2br w:val="nil"/>
                    <w:tr2bl w:val="nil"/>
                  </w:tcBorders>
                  <w:vAlign w:val="center"/>
                </w:tcPr>
                <w:p w14:paraId="252ED18C">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污染防治措施</w:t>
                  </w:r>
                </w:p>
              </w:tc>
            </w:tr>
            <w:tr w14:paraId="47CFB6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6" w:type="pct"/>
                  <w:tcBorders>
                    <w:tl2br w:val="nil"/>
                    <w:tr2bl w:val="nil"/>
                  </w:tcBorders>
                  <w:vAlign w:val="center"/>
                </w:tcPr>
                <w:p w14:paraId="2BB1107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1</w:t>
                  </w:r>
                </w:p>
              </w:tc>
              <w:tc>
                <w:tcPr>
                  <w:tcW w:w="439" w:type="pct"/>
                  <w:tcBorders>
                    <w:tl2br w:val="nil"/>
                    <w:tr2bl w:val="nil"/>
                  </w:tcBorders>
                  <w:shd w:val="clear" w:color="auto" w:fill="auto"/>
                  <w:vAlign w:val="center"/>
                </w:tcPr>
                <w:p w14:paraId="42D0A1E2">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废紫外灯管</w:t>
                  </w:r>
                </w:p>
              </w:tc>
              <w:tc>
                <w:tcPr>
                  <w:tcW w:w="419" w:type="pct"/>
                  <w:tcBorders>
                    <w:tl2br w:val="nil"/>
                    <w:tr2bl w:val="nil"/>
                  </w:tcBorders>
                  <w:shd w:val="clear" w:color="auto" w:fill="auto"/>
                  <w:vAlign w:val="center"/>
                </w:tcPr>
                <w:p w14:paraId="58DF24FB">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HW29</w:t>
                  </w:r>
                </w:p>
              </w:tc>
              <w:tc>
                <w:tcPr>
                  <w:tcW w:w="470" w:type="pct"/>
                  <w:tcBorders>
                    <w:tl2br w:val="nil"/>
                    <w:tr2bl w:val="nil"/>
                  </w:tcBorders>
                  <w:shd w:val="clear" w:color="auto" w:fill="auto"/>
                  <w:vAlign w:val="center"/>
                </w:tcPr>
                <w:p w14:paraId="039A8EC6">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900-023-29</w:t>
                  </w:r>
                </w:p>
              </w:tc>
              <w:tc>
                <w:tcPr>
                  <w:tcW w:w="439" w:type="pct"/>
                  <w:tcBorders>
                    <w:tl2br w:val="nil"/>
                    <w:tr2bl w:val="nil"/>
                  </w:tcBorders>
                  <w:shd w:val="clear" w:color="auto" w:fill="auto"/>
                  <w:vAlign w:val="center"/>
                </w:tcPr>
                <w:p w14:paraId="5B63F062">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0.005</w:t>
                  </w:r>
                </w:p>
              </w:tc>
              <w:tc>
                <w:tcPr>
                  <w:tcW w:w="357" w:type="pct"/>
                  <w:tcBorders>
                    <w:tl2br w:val="nil"/>
                    <w:tr2bl w:val="nil"/>
                  </w:tcBorders>
                  <w:vAlign w:val="center"/>
                </w:tcPr>
                <w:p w14:paraId="2409D11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紫外消毒</w:t>
                  </w:r>
                </w:p>
              </w:tc>
              <w:tc>
                <w:tcPr>
                  <w:tcW w:w="276" w:type="pct"/>
                  <w:tcBorders>
                    <w:tl2br w:val="nil"/>
                    <w:tr2bl w:val="nil"/>
                  </w:tcBorders>
                  <w:shd w:val="clear" w:color="auto" w:fill="auto"/>
                  <w:vAlign w:val="center"/>
                </w:tcPr>
                <w:p w14:paraId="27A84CD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446" w:type="pct"/>
                  <w:tcBorders>
                    <w:tl2br w:val="nil"/>
                    <w:tr2bl w:val="nil"/>
                  </w:tcBorders>
                  <w:shd w:val="clear" w:color="auto" w:fill="auto"/>
                  <w:vAlign w:val="center"/>
                </w:tcPr>
                <w:p w14:paraId="7E99490B">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含汞灯管</w:t>
                  </w:r>
                </w:p>
              </w:tc>
              <w:tc>
                <w:tcPr>
                  <w:tcW w:w="357" w:type="pct"/>
                  <w:tcBorders>
                    <w:tl2br w:val="nil"/>
                    <w:tr2bl w:val="nil"/>
                  </w:tcBorders>
                  <w:vAlign w:val="center"/>
                </w:tcPr>
                <w:p w14:paraId="599422E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eastAsia="zh-CN"/>
                    </w:rPr>
                    <w:t>矿物油</w:t>
                  </w:r>
                </w:p>
              </w:tc>
              <w:tc>
                <w:tcPr>
                  <w:tcW w:w="442" w:type="pct"/>
                  <w:tcBorders>
                    <w:tl2br w:val="nil"/>
                    <w:tr2bl w:val="nil"/>
                  </w:tcBorders>
                  <w:vAlign w:val="center"/>
                </w:tcPr>
                <w:p w14:paraId="230B038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一年</w:t>
                  </w:r>
                </w:p>
              </w:tc>
              <w:tc>
                <w:tcPr>
                  <w:tcW w:w="599" w:type="pct"/>
                  <w:tcBorders>
                    <w:tl2br w:val="nil"/>
                    <w:tr2bl w:val="nil"/>
                  </w:tcBorders>
                  <w:shd w:val="clear" w:color="auto" w:fill="auto"/>
                  <w:vAlign w:val="center"/>
                </w:tcPr>
                <w:p w14:paraId="7894350D">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T</w:t>
                  </w:r>
                </w:p>
              </w:tc>
              <w:tc>
                <w:tcPr>
                  <w:tcW w:w="555" w:type="pct"/>
                  <w:vMerge w:val="restart"/>
                  <w:tcBorders>
                    <w:tl2br w:val="nil"/>
                    <w:tr2bl w:val="nil"/>
                  </w:tcBorders>
                  <w:vAlign w:val="center"/>
                </w:tcPr>
                <w:p w14:paraId="68C42516">
                  <w:pPr>
                    <w:pStyle w:val="21"/>
                    <w:keepNext w:val="0"/>
                    <w:keepLines w:val="0"/>
                    <w:suppressLineNumbers w:val="0"/>
                    <w:spacing w:before="0" w:beforeAutospacing="0" w:after="0" w:afterAutospacing="0"/>
                    <w:ind w:left="0" w:right="0"/>
                    <w:jc w:val="center"/>
                    <w:rPr>
                      <w:rFonts w:hint="default" w:ascii="Times New Roman" w:hAnsi="Times New Roman" w:eastAsia="宋体"/>
                      <w:color w:val="auto"/>
                      <w:highlight w:val="none"/>
                    </w:rPr>
                  </w:pPr>
                  <w:r>
                    <w:rPr>
                      <w:rFonts w:hint="eastAsia"/>
                      <w:color w:val="auto"/>
                      <w:highlight w:val="none"/>
                      <w:lang w:val="en-US" w:eastAsia="zh-CN"/>
                    </w:rPr>
                    <w:t>项目所在厂区危废库暂存</w:t>
                  </w:r>
                  <w:r>
                    <w:rPr>
                      <w:rFonts w:hint="default" w:ascii="Times New Roman" w:hAnsi="Times New Roman" w:eastAsia="宋体"/>
                      <w:color w:val="auto"/>
                      <w:highlight w:val="none"/>
                    </w:rPr>
                    <w:t>，</w:t>
                  </w:r>
                  <w:r>
                    <w:rPr>
                      <w:rFonts w:hint="eastAsia"/>
                      <w:color w:val="auto"/>
                      <w:highlight w:val="none"/>
                      <w:lang w:val="en-US" w:eastAsia="zh-CN"/>
                    </w:rPr>
                    <w:t>定期</w:t>
                  </w:r>
                  <w:r>
                    <w:rPr>
                      <w:rFonts w:hint="default" w:ascii="Times New Roman" w:hAnsi="Times New Roman" w:eastAsia="宋体"/>
                      <w:color w:val="auto"/>
                      <w:highlight w:val="none"/>
                    </w:rPr>
                    <w:t>委托有资质单位处置</w:t>
                  </w:r>
                </w:p>
              </w:tc>
            </w:tr>
            <w:tr w14:paraId="518AD9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vAlign w:val="center"/>
                </w:tcPr>
                <w:p w14:paraId="5324D0EE">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color w:val="auto"/>
                      <w:highlight w:val="none"/>
                      <w:lang w:val="en-US" w:eastAsia="zh-CN"/>
                    </w:rPr>
                    <w:t>2</w:t>
                  </w:r>
                </w:p>
              </w:tc>
              <w:tc>
                <w:tcPr>
                  <w:tcW w:w="0" w:type="auto"/>
                  <w:shd w:val="clear" w:color="auto" w:fill="auto"/>
                  <w:vAlign w:val="center"/>
                </w:tcPr>
                <w:p w14:paraId="5E5BB6B2">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废机油桶</w:t>
                  </w:r>
                </w:p>
              </w:tc>
              <w:tc>
                <w:tcPr>
                  <w:tcW w:w="0" w:type="auto"/>
                  <w:shd w:val="clear" w:color="auto" w:fill="auto"/>
                  <w:vAlign w:val="center"/>
                </w:tcPr>
                <w:p w14:paraId="45970CFB">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HW08</w:t>
                  </w:r>
                </w:p>
              </w:tc>
              <w:tc>
                <w:tcPr>
                  <w:tcW w:w="0" w:type="auto"/>
                  <w:shd w:val="clear" w:color="auto" w:fill="auto"/>
                  <w:vAlign w:val="center"/>
                </w:tcPr>
                <w:p w14:paraId="6C666345">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900-249-08</w:t>
                  </w:r>
                </w:p>
              </w:tc>
              <w:tc>
                <w:tcPr>
                  <w:tcW w:w="0" w:type="auto"/>
                  <w:shd w:val="clear" w:color="auto" w:fill="auto"/>
                  <w:vAlign w:val="center"/>
                </w:tcPr>
                <w:p w14:paraId="1B4174E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0.3</w:t>
                  </w:r>
                </w:p>
              </w:tc>
              <w:tc>
                <w:tcPr>
                  <w:tcW w:w="357" w:type="pct"/>
                  <w:vMerge w:val="restart"/>
                  <w:vAlign w:val="center"/>
                </w:tcPr>
                <w:p w14:paraId="7354ADE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原料包装</w:t>
                  </w:r>
                </w:p>
              </w:tc>
              <w:tc>
                <w:tcPr>
                  <w:tcW w:w="0" w:type="auto"/>
                  <w:shd w:val="clear" w:color="auto" w:fill="auto"/>
                  <w:vAlign w:val="center"/>
                </w:tcPr>
                <w:p w14:paraId="36CE0DCA">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0" w:type="auto"/>
                  <w:shd w:val="clear" w:color="auto" w:fill="auto"/>
                  <w:vAlign w:val="center"/>
                </w:tcPr>
                <w:p w14:paraId="4BB4C70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铁桶、矿物油</w:t>
                  </w:r>
                </w:p>
              </w:tc>
              <w:tc>
                <w:tcPr>
                  <w:tcW w:w="0" w:type="auto"/>
                  <w:vAlign w:val="center"/>
                </w:tcPr>
                <w:p w14:paraId="527095C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color w:val="auto"/>
                      <w:highlight w:val="none"/>
                      <w:lang w:val="en-US" w:eastAsia="zh-CN"/>
                    </w:rPr>
                    <w:t>矿物油</w:t>
                  </w:r>
                </w:p>
              </w:tc>
              <w:tc>
                <w:tcPr>
                  <w:tcW w:w="442" w:type="pct"/>
                  <w:vAlign w:val="center"/>
                </w:tcPr>
                <w:p w14:paraId="314D11F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一个月</w:t>
                  </w:r>
                </w:p>
              </w:tc>
              <w:tc>
                <w:tcPr>
                  <w:tcW w:w="599" w:type="pct"/>
                  <w:shd w:val="clear" w:color="auto" w:fill="auto"/>
                  <w:vAlign w:val="center"/>
                </w:tcPr>
                <w:p w14:paraId="357F448E">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T,I</w:t>
                  </w:r>
                </w:p>
              </w:tc>
              <w:tc>
                <w:tcPr>
                  <w:tcW w:w="555" w:type="pct"/>
                  <w:vMerge w:val="continue"/>
                  <w:vAlign w:val="center"/>
                </w:tcPr>
                <w:p w14:paraId="336A80E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382C4C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vAlign w:val="center"/>
                </w:tcPr>
                <w:p w14:paraId="194008D0">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color w:val="auto"/>
                      <w:highlight w:val="none"/>
                      <w:lang w:val="en-US" w:eastAsia="zh-CN"/>
                    </w:rPr>
                    <w:t>3</w:t>
                  </w:r>
                </w:p>
              </w:tc>
              <w:tc>
                <w:tcPr>
                  <w:tcW w:w="0" w:type="auto"/>
                  <w:shd w:val="clear" w:color="auto" w:fill="auto"/>
                  <w:vAlign w:val="center"/>
                </w:tcPr>
                <w:p w14:paraId="3D19A392">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废化学品包装桶</w:t>
                  </w:r>
                </w:p>
              </w:tc>
              <w:tc>
                <w:tcPr>
                  <w:tcW w:w="0" w:type="auto"/>
                  <w:shd w:val="clear" w:color="auto" w:fill="auto"/>
                  <w:vAlign w:val="center"/>
                </w:tcPr>
                <w:p w14:paraId="18986C92">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HW49</w:t>
                  </w:r>
                </w:p>
              </w:tc>
              <w:tc>
                <w:tcPr>
                  <w:tcW w:w="0" w:type="auto"/>
                  <w:shd w:val="clear" w:color="auto" w:fill="auto"/>
                  <w:vAlign w:val="center"/>
                </w:tcPr>
                <w:p w14:paraId="1270DD62">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900-041-49</w:t>
                  </w:r>
                </w:p>
              </w:tc>
              <w:tc>
                <w:tcPr>
                  <w:tcW w:w="0" w:type="auto"/>
                  <w:shd w:val="clear" w:color="auto" w:fill="auto"/>
                  <w:vAlign w:val="center"/>
                </w:tcPr>
                <w:p w14:paraId="6D144E4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0.05</w:t>
                  </w:r>
                </w:p>
              </w:tc>
              <w:tc>
                <w:tcPr>
                  <w:tcW w:w="357" w:type="pct"/>
                  <w:vMerge w:val="continue"/>
                  <w:vAlign w:val="center"/>
                </w:tcPr>
                <w:p w14:paraId="7602A65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c>
                <w:tcPr>
                  <w:tcW w:w="0" w:type="auto"/>
                  <w:shd w:val="clear" w:color="auto" w:fill="auto"/>
                  <w:vAlign w:val="center"/>
                </w:tcPr>
                <w:p w14:paraId="48FE96A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0" w:type="auto"/>
                  <w:shd w:val="clear" w:color="auto" w:fill="auto"/>
                  <w:vAlign w:val="center"/>
                </w:tcPr>
                <w:p w14:paraId="1DDC59E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塑料桶、残留化学品</w:t>
                  </w:r>
                </w:p>
              </w:tc>
              <w:tc>
                <w:tcPr>
                  <w:tcW w:w="0" w:type="auto"/>
                  <w:vAlign w:val="center"/>
                </w:tcPr>
                <w:p w14:paraId="7B51934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color w:val="auto"/>
                      <w:highlight w:val="none"/>
                      <w:lang w:val="en-US" w:eastAsia="zh-CN"/>
                    </w:rPr>
                    <w:t>残留化学品</w:t>
                  </w:r>
                </w:p>
              </w:tc>
              <w:tc>
                <w:tcPr>
                  <w:tcW w:w="442" w:type="pct"/>
                  <w:vAlign w:val="center"/>
                </w:tcPr>
                <w:p w14:paraId="10DEC10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一个月</w:t>
                  </w:r>
                </w:p>
              </w:tc>
              <w:tc>
                <w:tcPr>
                  <w:tcW w:w="599" w:type="pct"/>
                  <w:shd w:val="clear" w:color="auto" w:fill="auto"/>
                  <w:vAlign w:val="center"/>
                </w:tcPr>
                <w:p w14:paraId="28213614">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T</w:t>
                  </w:r>
                </w:p>
              </w:tc>
              <w:tc>
                <w:tcPr>
                  <w:tcW w:w="555" w:type="pct"/>
                  <w:vMerge w:val="continue"/>
                  <w:vAlign w:val="center"/>
                </w:tcPr>
                <w:p w14:paraId="5A7D535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470CB9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vAlign w:val="center"/>
                </w:tcPr>
                <w:p w14:paraId="1DCDD01F">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color w:val="auto"/>
                      <w:highlight w:val="none"/>
                      <w:lang w:val="en-US" w:eastAsia="zh-CN"/>
                    </w:rPr>
                    <w:t>4</w:t>
                  </w:r>
                </w:p>
              </w:tc>
              <w:tc>
                <w:tcPr>
                  <w:tcW w:w="0" w:type="auto"/>
                  <w:shd w:val="clear" w:color="auto" w:fill="auto"/>
                  <w:vAlign w:val="center"/>
                </w:tcPr>
                <w:p w14:paraId="66AAF06F">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废机油</w:t>
                  </w:r>
                </w:p>
              </w:tc>
              <w:tc>
                <w:tcPr>
                  <w:tcW w:w="0" w:type="auto"/>
                  <w:shd w:val="clear" w:color="auto" w:fill="auto"/>
                  <w:vAlign w:val="center"/>
                </w:tcPr>
                <w:p w14:paraId="63C43533">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HW08</w:t>
                  </w:r>
                </w:p>
              </w:tc>
              <w:tc>
                <w:tcPr>
                  <w:tcW w:w="0" w:type="auto"/>
                  <w:shd w:val="clear" w:color="auto" w:fill="auto"/>
                  <w:vAlign w:val="center"/>
                </w:tcPr>
                <w:p w14:paraId="6E798748">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900-214-08</w:t>
                  </w:r>
                </w:p>
              </w:tc>
              <w:tc>
                <w:tcPr>
                  <w:tcW w:w="0" w:type="auto"/>
                  <w:shd w:val="clear" w:color="auto" w:fill="auto"/>
                  <w:vAlign w:val="center"/>
                </w:tcPr>
                <w:p w14:paraId="55C6929D">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11.4</w:t>
                  </w:r>
                </w:p>
              </w:tc>
              <w:tc>
                <w:tcPr>
                  <w:tcW w:w="0" w:type="auto"/>
                  <w:vAlign w:val="center"/>
                </w:tcPr>
                <w:p w14:paraId="545AD8F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设备维护</w:t>
                  </w:r>
                </w:p>
              </w:tc>
              <w:tc>
                <w:tcPr>
                  <w:tcW w:w="0" w:type="auto"/>
                  <w:shd w:val="clear" w:color="auto" w:fill="auto"/>
                  <w:vAlign w:val="center"/>
                </w:tcPr>
                <w:p w14:paraId="09907540">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液</w:t>
                  </w:r>
                  <w:r>
                    <w:rPr>
                      <w:rFonts w:hint="eastAsia" w:ascii="Times New Roman" w:hAnsi="Times New Roman" w:eastAsia="宋体"/>
                      <w:color w:val="auto"/>
                      <w:highlight w:val="none"/>
                      <w:lang w:val="en-US" w:eastAsia="zh-CN"/>
                    </w:rPr>
                    <w:t>态</w:t>
                  </w:r>
                </w:p>
              </w:tc>
              <w:tc>
                <w:tcPr>
                  <w:tcW w:w="0" w:type="auto"/>
                  <w:shd w:val="clear" w:color="auto" w:fill="auto"/>
                  <w:vAlign w:val="center"/>
                </w:tcPr>
                <w:p w14:paraId="1F09416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矿物油</w:t>
                  </w:r>
                </w:p>
              </w:tc>
              <w:tc>
                <w:tcPr>
                  <w:tcW w:w="0" w:type="auto"/>
                  <w:vAlign w:val="center"/>
                </w:tcPr>
                <w:p w14:paraId="256DF92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color w:val="auto"/>
                      <w:highlight w:val="none"/>
                      <w:lang w:val="en-US" w:eastAsia="zh-CN"/>
                    </w:rPr>
                    <w:t>矿物油</w:t>
                  </w:r>
                </w:p>
              </w:tc>
              <w:tc>
                <w:tcPr>
                  <w:tcW w:w="442" w:type="pct"/>
                  <w:vAlign w:val="center"/>
                </w:tcPr>
                <w:p w14:paraId="28E7B5C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一个月</w:t>
                  </w:r>
                </w:p>
              </w:tc>
              <w:tc>
                <w:tcPr>
                  <w:tcW w:w="599" w:type="pct"/>
                  <w:shd w:val="clear" w:color="auto" w:fill="auto"/>
                  <w:vAlign w:val="center"/>
                </w:tcPr>
                <w:p w14:paraId="78A961B6">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T,I</w:t>
                  </w:r>
                </w:p>
              </w:tc>
              <w:tc>
                <w:tcPr>
                  <w:tcW w:w="555" w:type="pct"/>
                  <w:vMerge w:val="continue"/>
                  <w:vAlign w:val="center"/>
                </w:tcPr>
                <w:p w14:paraId="02DDE48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475BB0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vAlign w:val="center"/>
                </w:tcPr>
                <w:p w14:paraId="226B1315">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5</w:t>
                  </w:r>
                </w:p>
              </w:tc>
              <w:tc>
                <w:tcPr>
                  <w:tcW w:w="0" w:type="auto"/>
                  <w:shd w:val="clear" w:color="auto" w:fill="auto"/>
                  <w:vAlign w:val="center"/>
                </w:tcPr>
                <w:p w14:paraId="7760CFC6">
                  <w:pPr>
                    <w:pStyle w:val="21"/>
                    <w:keepNext w:val="0"/>
                    <w:keepLines w:val="0"/>
                    <w:suppressLineNumbers w:val="0"/>
                    <w:spacing w:before="0" w:beforeAutospacing="0" w:after="0" w:afterAutospacing="0"/>
                    <w:ind w:left="0" w:leftChars="0" w:right="0" w:rightChars="0" w:firstLine="0" w:firstLineChars="0"/>
                    <w:rPr>
                      <w:rFonts w:hint="eastAsia"/>
                      <w:color w:val="auto"/>
                      <w:highlight w:val="none"/>
                      <w:lang w:val="en-US" w:eastAsia="zh-CN"/>
                    </w:rPr>
                  </w:pPr>
                  <w:r>
                    <w:rPr>
                      <w:rFonts w:hint="eastAsia"/>
                      <w:color w:val="auto"/>
                      <w:highlight w:val="none"/>
                      <w:lang w:val="en-US" w:eastAsia="zh-CN"/>
                    </w:rPr>
                    <w:t>含油废液</w:t>
                  </w:r>
                </w:p>
              </w:tc>
              <w:tc>
                <w:tcPr>
                  <w:tcW w:w="0" w:type="auto"/>
                  <w:shd w:val="clear" w:color="auto" w:fill="auto"/>
                  <w:vAlign w:val="center"/>
                </w:tcPr>
                <w:p w14:paraId="42234E30">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HW09</w:t>
                  </w:r>
                </w:p>
              </w:tc>
              <w:tc>
                <w:tcPr>
                  <w:tcW w:w="0" w:type="auto"/>
                  <w:shd w:val="clear" w:color="auto" w:fill="auto"/>
                  <w:vAlign w:val="center"/>
                </w:tcPr>
                <w:p w14:paraId="6A1850C0">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900-007-09</w:t>
                  </w:r>
                </w:p>
              </w:tc>
              <w:tc>
                <w:tcPr>
                  <w:tcW w:w="0" w:type="auto"/>
                  <w:shd w:val="clear" w:color="auto" w:fill="auto"/>
                  <w:vAlign w:val="center"/>
                </w:tcPr>
                <w:p w14:paraId="587DB209">
                  <w:pPr>
                    <w:pStyle w:val="21"/>
                    <w:keepNext w:val="0"/>
                    <w:keepLines w:val="0"/>
                    <w:suppressLineNumbers w:val="0"/>
                    <w:spacing w:before="0" w:beforeAutospacing="0" w:after="0" w:afterAutospacing="0"/>
                    <w:ind w:left="0" w:leftChars="0" w:right="0" w:rightChars="0" w:firstLine="0" w:firstLineChars="0"/>
                    <w:rPr>
                      <w:rFonts w:hint="eastAsia"/>
                      <w:color w:val="auto"/>
                      <w:highlight w:val="none"/>
                      <w:lang w:val="en-US" w:eastAsia="zh-CN"/>
                    </w:rPr>
                  </w:pPr>
                  <w:r>
                    <w:rPr>
                      <w:rFonts w:hint="eastAsia"/>
                      <w:color w:val="auto"/>
                      <w:highlight w:val="none"/>
                      <w:lang w:val="en-US" w:eastAsia="zh-CN"/>
                    </w:rPr>
                    <w:t>1</w:t>
                  </w:r>
                </w:p>
              </w:tc>
              <w:tc>
                <w:tcPr>
                  <w:tcW w:w="0" w:type="auto"/>
                  <w:vAlign w:val="center"/>
                </w:tcPr>
                <w:p w14:paraId="218A977B">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设备运行</w:t>
                  </w:r>
                </w:p>
              </w:tc>
              <w:tc>
                <w:tcPr>
                  <w:tcW w:w="0" w:type="auto"/>
                  <w:shd w:val="clear" w:color="auto" w:fill="auto"/>
                  <w:vAlign w:val="center"/>
                </w:tcPr>
                <w:p w14:paraId="4DE1C8F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液态</w:t>
                  </w:r>
                </w:p>
              </w:tc>
              <w:tc>
                <w:tcPr>
                  <w:tcW w:w="0" w:type="auto"/>
                  <w:shd w:val="clear" w:color="auto" w:fill="auto"/>
                  <w:vAlign w:val="center"/>
                </w:tcPr>
                <w:p w14:paraId="63A03AB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矿物油、水</w:t>
                  </w:r>
                </w:p>
              </w:tc>
              <w:tc>
                <w:tcPr>
                  <w:tcW w:w="0" w:type="auto"/>
                  <w:vAlign w:val="center"/>
                </w:tcPr>
                <w:p w14:paraId="361350EA">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矿物油</w:t>
                  </w:r>
                </w:p>
              </w:tc>
              <w:tc>
                <w:tcPr>
                  <w:tcW w:w="442" w:type="pct"/>
                  <w:vAlign w:val="center"/>
                </w:tcPr>
                <w:p w14:paraId="535F1616">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一个月</w:t>
                  </w:r>
                </w:p>
              </w:tc>
              <w:tc>
                <w:tcPr>
                  <w:tcW w:w="599" w:type="pct"/>
                  <w:shd w:val="clear" w:color="auto" w:fill="auto"/>
                  <w:vAlign w:val="center"/>
                </w:tcPr>
                <w:p w14:paraId="2B705285">
                  <w:pPr>
                    <w:pStyle w:val="21"/>
                    <w:keepNext w:val="0"/>
                    <w:keepLines w:val="0"/>
                    <w:suppressLineNumbers w:val="0"/>
                    <w:spacing w:before="0" w:beforeAutospacing="0" w:after="0" w:afterAutospacing="0"/>
                    <w:ind w:left="0" w:leftChars="0" w:right="0" w:rightChars="0" w:firstLine="0" w:firstLineChars="0"/>
                    <w:rPr>
                      <w:rFonts w:hint="eastAsia"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T</w:t>
                  </w:r>
                </w:p>
              </w:tc>
              <w:tc>
                <w:tcPr>
                  <w:tcW w:w="555" w:type="pct"/>
                  <w:vMerge w:val="continue"/>
                  <w:vAlign w:val="center"/>
                </w:tcPr>
                <w:p w14:paraId="0737C83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0BBB0E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vAlign w:val="center"/>
                </w:tcPr>
                <w:p w14:paraId="1A1C8B3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6</w:t>
                  </w:r>
                </w:p>
              </w:tc>
              <w:tc>
                <w:tcPr>
                  <w:tcW w:w="0" w:type="auto"/>
                  <w:shd w:val="clear" w:color="auto" w:fill="auto"/>
                  <w:vAlign w:val="center"/>
                </w:tcPr>
                <w:p w14:paraId="2EA1F71C">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废活性炭</w:t>
                  </w:r>
                </w:p>
              </w:tc>
              <w:tc>
                <w:tcPr>
                  <w:tcW w:w="0" w:type="auto"/>
                  <w:shd w:val="clear" w:color="auto" w:fill="auto"/>
                  <w:vAlign w:val="center"/>
                </w:tcPr>
                <w:p w14:paraId="14C5A63A">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HW49</w:t>
                  </w:r>
                </w:p>
              </w:tc>
              <w:tc>
                <w:tcPr>
                  <w:tcW w:w="0" w:type="auto"/>
                  <w:shd w:val="clear" w:color="auto" w:fill="auto"/>
                  <w:vAlign w:val="center"/>
                </w:tcPr>
                <w:p w14:paraId="1014421F">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900-039-49</w:t>
                  </w:r>
                </w:p>
              </w:tc>
              <w:tc>
                <w:tcPr>
                  <w:tcW w:w="0" w:type="auto"/>
                  <w:shd w:val="clear" w:color="auto" w:fill="auto"/>
                  <w:vAlign w:val="center"/>
                </w:tcPr>
                <w:p w14:paraId="3A443923">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26.3</w:t>
                  </w:r>
                </w:p>
              </w:tc>
              <w:tc>
                <w:tcPr>
                  <w:tcW w:w="0" w:type="auto"/>
                  <w:vAlign w:val="center"/>
                </w:tcPr>
                <w:p w14:paraId="059720A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废气处理</w:t>
                  </w:r>
                </w:p>
              </w:tc>
              <w:tc>
                <w:tcPr>
                  <w:tcW w:w="0" w:type="auto"/>
                  <w:shd w:val="clear" w:color="auto" w:fill="auto"/>
                  <w:vAlign w:val="center"/>
                </w:tcPr>
                <w:p w14:paraId="3B7A84F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固</w:t>
                  </w:r>
                  <w:r>
                    <w:rPr>
                      <w:rFonts w:hint="eastAsia" w:ascii="Times New Roman" w:hAnsi="Times New Roman" w:eastAsia="宋体"/>
                      <w:color w:val="auto"/>
                      <w:highlight w:val="none"/>
                      <w:lang w:val="en-US" w:eastAsia="zh-CN"/>
                    </w:rPr>
                    <w:t>态</w:t>
                  </w:r>
                </w:p>
              </w:tc>
              <w:tc>
                <w:tcPr>
                  <w:tcW w:w="0" w:type="auto"/>
                  <w:shd w:val="clear" w:color="auto" w:fill="auto"/>
                  <w:vAlign w:val="center"/>
                </w:tcPr>
                <w:p w14:paraId="0988D1A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活性炭、有机废气</w:t>
                  </w:r>
                </w:p>
              </w:tc>
              <w:tc>
                <w:tcPr>
                  <w:tcW w:w="0" w:type="auto"/>
                  <w:vAlign w:val="center"/>
                </w:tcPr>
                <w:p w14:paraId="240294F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color w:val="auto"/>
                      <w:highlight w:val="none"/>
                      <w:lang w:val="en-US" w:eastAsia="zh-CN"/>
                    </w:rPr>
                    <w:t>有机废气</w:t>
                  </w:r>
                </w:p>
              </w:tc>
              <w:tc>
                <w:tcPr>
                  <w:tcW w:w="442" w:type="pct"/>
                  <w:vAlign w:val="center"/>
                </w:tcPr>
                <w:p w14:paraId="5580995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lang w:val="en-US" w:eastAsia="zh-CN"/>
                    </w:rPr>
                    <w:t>两个月</w:t>
                  </w:r>
                </w:p>
              </w:tc>
              <w:tc>
                <w:tcPr>
                  <w:tcW w:w="599" w:type="pct"/>
                  <w:shd w:val="clear" w:color="auto" w:fill="auto"/>
                  <w:vAlign w:val="center"/>
                </w:tcPr>
                <w:p w14:paraId="1764B86D">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T</w:t>
                  </w:r>
                </w:p>
              </w:tc>
              <w:tc>
                <w:tcPr>
                  <w:tcW w:w="555" w:type="pct"/>
                  <w:vMerge w:val="continue"/>
                  <w:vAlign w:val="center"/>
                </w:tcPr>
                <w:p w14:paraId="56FCD6A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bl>
          <w:p w14:paraId="29909858">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（4）一般固体废物环境影响分析</w:t>
            </w:r>
          </w:p>
          <w:p w14:paraId="1AE1BD72">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bCs/>
                <w:color w:val="auto"/>
                <w:sz w:val="24"/>
                <w:highlight w:val="none"/>
                <w:lang w:val="en-US" w:eastAsia="zh-CN"/>
              </w:rPr>
              <w:t>南京娃哈哈饮料有限公司厂区内现有</w:t>
            </w:r>
            <w:r>
              <w:rPr>
                <w:rFonts w:hint="eastAsia"/>
                <w:color w:val="auto"/>
                <w:highlight w:val="none"/>
                <w:lang w:val="en-US" w:eastAsia="zh-CN"/>
              </w:rPr>
              <w:t>430</w:t>
            </w:r>
            <w:r>
              <w:rPr>
                <w:rFonts w:hint="default" w:ascii="Times New Roman" w:hAnsi="Times New Roman" w:eastAsia="宋体"/>
                <w:color w:val="auto"/>
                <w:highlight w:val="none"/>
                <w:lang w:val="en-US"/>
              </w:rPr>
              <w:t>m</w:t>
            </w:r>
            <w:r>
              <w:rPr>
                <w:rFonts w:hint="default" w:ascii="Times New Roman" w:hAnsi="Times New Roman" w:eastAsia="宋体"/>
                <w:color w:val="auto"/>
                <w:highlight w:val="none"/>
                <w:vertAlign w:val="superscript"/>
                <w:lang w:val="en-US"/>
              </w:rPr>
              <w:t>2</w:t>
            </w:r>
            <w:r>
              <w:rPr>
                <w:rFonts w:hint="eastAsia" w:ascii="Times New Roman" w:hAnsi="Times New Roman" w:eastAsia="宋体"/>
                <w:color w:val="auto"/>
                <w:highlight w:val="none"/>
                <w:lang w:val="en-US" w:eastAsia="zh-CN"/>
              </w:rPr>
              <w:t>一般工业固废仓库</w:t>
            </w:r>
            <w:r>
              <w:rPr>
                <w:rFonts w:hint="eastAsia"/>
                <w:color w:val="auto"/>
                <w:highlight w:val="none"/>
                <w:lang w:val="en-US" w:eastAsia="zh-CN"/>
              </w:rPr>
              <w:t>一间</w:t>
            </w:r>
            <w:r>
              <w:rPr>
                <w:rFonts w:hint="default" w:ascii="Times New Roman" w:hAnsi="Times New Roman" w:eastAsia="宋体"/>
                <w:color w:val="auto"/>
                <w:highlight w:val="none"/>
                <w:lang w:val="en-US"/>
              </w:rPr>
              <w:t>，最大储存量约</w:t>
            </w:r>
            <w:r>
              <w:rPr>
                <w:rFonts w:hint="eastAsia"/>
                <w:color w:val="auto"/>
                <w:highlight w:val="none"/>
                <w:lang w:val="en-US" w:eastAsia="zh-CN"/>
              </w:rPr>
              <w:t>10</w:t>
            </w:r>
            <w:r>
              <w:rPr>
                <w:rFonts w:hint="eastAsia" w:ascii="Times New Roman" w:hAnsi="Times New Roman" w:eastAsia="宋体"/>
                <w:color w:val="auto"/>
                <w:highlight w:val="none"/>
                <w:lang w:val="en-US" w:eastAsia="zh-CN"/>
              </w:rPr>
              <w:t>00</w:t>
            </w:r>
            <w:r>
              <w:rPr>
                <w:rFonts w:hint="default" w:ascii="Times New Roman" w:hAnsi="Times New Roman" w:eastAsia="宋体"/>
                <w:color w:val="auto"/>
                <w:highlight w:val="none"/>
                <w:lang w:val="en-US"/>
              </w:rPr>
              <w:t>t，</w:t>
            </w:r>
            <w:r>
              <w:rPr>
                <w:rFonts w:hint="eastAsia"/>
                <w:color w:val="auto"/>
                <w:highlight w:val="none"/>
                <w:lang w:val="en-US" w:eastAsia="zh-CN"/>
              </w:rPr>
              <w:t>剩余储存量约500t，每月定期清理，</w:t>
            </w:r>
            <w:r>
              <w:rPr>
                <w:rFonts w:hint="eastAsia" w:ascii="Times New Roman" w:hAnsi="Times New Roman" w:eastAsia="宋体"/>
                <w:color w:val="auto"/>
                <w:highlight w:val="none"/>
                <w:lang w:val="en-US" w:eastAsia="zh-CN"/>
              </w:rPr>
              <w:t>本项目</w:t>
            </w:r>
            <w:r>
              <w:rPr>
                <w:rFonts w:hint="default" w:ascii="Times New Roman" w:hAnsi="Times New Roman" w:eastAsia="宋体"/>
                <w:color w:val="auto"/>
                <w:highlight w:val="none"/>
                <w:lang w:val="en-US"/>
              </w:rPr>
              <w:t>一般固废的产生量为</w:t>
            </w:r>
            <w:r>
              <w:rPr>
                <w:rFonts w:hint="eastAsia"/>
                <w:color w:val="auto"/>
                <w:highlight w:val="none"/>
                <w:lang w:val="en-US" w:eastAsia="zh-CN"/>
              </w:rPr>
              <w:t>159.4</w:t>
            </w:r>
            <w:r>
              <w:rPr>
                <w:rFonts w:hint="default" w:ascii="Times New Roman" w:hAnsi="Times New Roman" w:eastAsia="宋体"/>
                <w:color w:val="auto"/>
                <w:highlight w:val="none"/>
                <w:lang w:val="en-US"/>
              </w:rPr>
              <w:t>t/a，在定期清理的情况下，可以</w:t>
            </w:r>
            <w:r>
              <w:rPr>
                <w:rFonts w:hint="eastAsia"/>
                <w:color w:val="auto"/>
                <w:highlight w:val="none"/>
                <w:lang w:val="en-US" w:eastAsia="zh-CN"/>
              </w:rPr>
              <w:t>依托</w:t>
            </w:r>
            <w:r>
              <w:rPr>
                <w:rFonts w:hint="eastAsia"/>
                <w:bCs/>
                <w:color w:val="auto"/>
                <w:sz w:val="24"/>
                <w:highlight w:val="none"/>
                <w:lang w:val="en-US" w:eastAsia="zh-CN"/>
              </w:rPr>
              <w:t>南京娃哈哈饮料有限公司厂区内现有</w:t>
            </w:r>
            <w:r>
              <w:rPr>
                <w:rFonts w:hint="eastAsia" w:ascii="Times New Roman" w:hAnsi="Times New Roman" w:eastAsia="宋体"/>
                <w:color w:val="auto"/>
                <w:highlight w:val="none"/>
                <w:lang w:val="en-US" w:eastAsia="zh-CN"/>
              </w:rPr>
              <w:t>一般工业固废仓库</w:t>
            </w:r>
            <w:r>
              <w:rPr>
                <w:rFonts w:hint="eastAsia"/>
                <w:color w:val="auto"/>
                <w:highlight w:val="none"/>
                <w:lang w:val="en-US" w:eastAsia="zh-CN"/>
              </w:rPr>
              <w:t>储存</w:t>
            </w:r>
            <w:r>
              <w:rPr>
                <w:rFonts w:hint="default" w:ascii="Times New Roman" w:hAnsi="Times New Roman" w:eastAsia="宋体"/>
                <w:color w:val="auto"/>
                <w:highlight w:val="none"/>
                <w:lang w:val="en-US"/>
              </w:rPr>
              <w:t>。</w:t>
            </w:r>
            <w:r>
              <w:rPr>
                <w:rFonts w:hint="eastAsia"/>
                <w:bCs/>
                <w:color w:val="auto"/>
                <w:sz w:val="24"/>
                <w:highlight w:val="none"/>
                <w:lang w:val="en-US" w:eastAsia="zh-CN"/>
              </w:rPr>
              <w:t>南京娃哈哈饮料有限公司厂区</w:t>
            </w:r>
            <w:r>
              <w:rPr>
                <w:rFonts w:hint="default" w:ascii="Times New Roman" w:hAnsi="Times New Roman" w:eastAsia="宋体"/>
                <w:color w:val="auto"/>
                <w:highlight w:val="none"/>
                <w:lang w:val="en-US"/>
              </w:rPr>
              <w:t>一般工业固体废物</w:t>
            </w:r>
            <w:r>
              <w:rPr>
                <w:rFonts w:hint="eastAsia"/>
                <w:color w:val="auto"/>
                <w:highlight w:val="none"/>
                <w:lang w:val="en-US" w:eastAsia="zh-CN"/>
              </w:rPr>
              <w:t>已采取</w:t>
            </w:r>
            <w:r>
              <w:rPr>
                <w:rFonts w:hint="default" w:ascii="Times New Roman" w:hAnsi="Times New Roman" w:eastAsia="宋体"/>
                <w:color w:val="auto"/>
                <w:highlight w:val="none"/>
                <w:lang w:val="en-US"/>
              </w:rPr>
              <w:t>相应防渗漏、防雨淋、防扬尘等环境保护要求。</w:t>
            </w:r>
          </w:p>
          <w:p w14:paraId="612D6F7E">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（5）危废暂存间环境影响分析</w:t>
            </w:r>
          </w:p>
          <w:p w14:paraId="271B0DA4">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本次评价按照《建设项目危险废物环境影响评价指南》（2017年10月1日实施）要求进行本项目危险废物的环境影响分析。主要包括危险废物贮存场所（设施）环境影响分析、运输过程的环境影响分析、委托处置的环境影响分析三大方面。</w:t>
            </w:r>
          </w:p>
          <w:p w14:paraId="53E7106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1）危险废物贮存场所环境影响分析</w:t>
            </w:r>
          </w:p>
          <w:p w14:paraId="626C8E90">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①危险废物贮存场所的能力分析</w:t>
            </w:r>
          </w:p>
          <w:p w14:paraId="79A61A07">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本项目</w:t>
            </w:r>
            <w:r>
              <w:rPr>
                <w:rFonts w:hint="eastAsia"/>
                <w:color w:val="auto"/>
                <w:highlight w:val="none"/>
                <w:lang w:val="en-US" w:eastAsia="zh-CN"/>
              </w:rPr>
              <w:t>依托</w:t>
            </w:r>
            <w:r>
              <w:rPr>
                <w:rFonts w:hint="eastAsia"/>
                <w:bCs/>
                <w:color w:val="auto"/>
                <w:sz w:val="24"/>
                <w:highlight w:val="none"/>
                <w:lang w:val="en-US" w:eastAsia="zh-CN"/>
              </w:rPr>
              <w:t>南京娃哈哈饮料有限公司厂区内现有危废仓库贮存危险废物</w:t>
            </w:r>
            <w:r>
              <w:rPr>
                <w:rFonts w:hint="eastAsia"/>
                <w:color w:val="auto"/>
                <w:highlight w:val="none"/>
                <w:lang w:val="en-US" w:eastAsia="zh-CN"/>
              </w:rPr>
              <w:t>，</w:t>
            </w:r>
            <w:r>
              <w:rPr>
                <w:rFonts w:hint="eastAsia"/>
                <w:bCs/>
                <w:color w:val="auto"/>
                <w:sz w:val="24"/>
                <w:highlight w:val="none"/>
                <w:lang w:val="en-US" w:eastAsia="zh-CN"/>
              </w:rPr>
              <w:t>南京娃哈哈饮料有限公司厂区现有</w:t>
            </w:r>
            <w:r>
              <w:rPr>
                <w:rFonts w:hint="eastAsia"/>
                <w:color w:val="auto"/>
                <w:highlight w:val="none"/>
                <w:lang w:val="en-US" w:eastAsia="zh-CN"/>
              </w:rPr>
              <w:t>30</w:t>
            </w:r>
            <w:r>
              <w:rPr>
                <w:rFonts w:hint="default" w:ascii="Times New Roman" w:hAnsi="Times New Roman" w:eastAsia="宋体"/>
                <w:color w:val="auto"/>
                <w:highlight w:val="none"/>
                <w:lang w:val="en-US"/>
              </w:rPr>
              <w:t>m</w:t>
            </w:r>
            <w:r>
              <w:rPr>
                <w:rFonts w:hint="default" w:ascii="Times New Roman" w:hAnsi="Times New Roman" w:eastAsia="宋体"/>
                <w:color w:val="auto"/>
                <w:highlight w:val="none"/>
                <w:vertAlign w:val="superscript"/>
                <w:lang w:val="en-US"/>
              </w:rPr>
              <w:t>2</w:t>
            </w:r>
            <w:r>
              <w:rPr>
                <w:rFonts w:hint="eastAsia"/>
                <w:color w:val="auto"/>
                <w:highlight w:val="none"/>
                <w:lang w:val="en-US" w:eastAsia="zh-CN"/>
              </w:rPr>
              <w:t>危废仓库一间</w:t>
            </w:r>
            <w:r>
              <w:rPr>
                <w:rFonts w:hint="default" w:ascii="Times New Roman" w:hAnsi="Times New Roman" w:eastAsia="宋体"/>
                <w:color w:val="auto"/>
                <w:highlight w:val="none"/>
                <w:lang w:val="en-US"/>
              </w:rPr>
              <w:t>，</w:t>
            </w:r>
            <w:r>
              <w:rPr>
                <w:rFonts w:hint="eastAsia"/>
                <w:color w:val="auto"/>
                <w:highlight w:val="none"/>
                <w:lang w:val="en-US" w:eastAsia="zh-CN"/>
              </w:rPr>
              <w:t>厂区现有企业已占用20m</w:t>
            </w:r>
            <w:r>
              <w:rPr>
                <w:rFonts w:hint="eastAsia"/>
                <w:color w:val="auto"/>
                <w:highlight w:val="none"/>
                <w:vertAlign w:val="superscript"/>
                <w:lang w:val="en-US" w:eastAsia="zh-CN"/>
              </w:rPr>
              <w:t>2</w:t>
            </w:r>
            <w:r>
              <w:rPr>
                <w:rFonts w:hint="eastAsia"/>
                <w:color w:val="auto"/>
                <w:highlight w:val="none"/>
                <w:vertAlign w:val="baseline"/>
                <w:lang w:val="en-US" w:eastAsia="zh-CN"/>
              </w:rPr>
              <w:t>，剩余10</w:t>
            </w:r>
            <w:r>
              <w:rPr>
                <w:rFonts w:hint="eastAsia"/>
                <w:color w:val="auto"/>
                <w:highlight w:val="none"/>
                <w:lang w:val="en-US" w:eastAsia="zh-CN"/>
              </w:rPr>
              <w:t>m</w:t>
            </w:r>
            <w:r>
              <w:rPr>
                <w:rFonts w:hint="eastAsia"/>
                <w:color w:val="auto"/>
                <w:highlight w:val="none"/>
                <w:vertAlign w:val="superscript"/>
                <w:lang w:val="en-US" w:eastAsia="zh-CN"/>
              </w:rPr>
              <w:t>2</w:t>
            </w:r>
            <w:r>
              <w:rPr>
                <w:rFonts w:hint="eastAsia"/>
                <w:color w:val="auto"/>
                <w:highlight w:val="none"/>
                <w:vertAlign w:val="baseline"/>
                <w:lang w:val="en-US" w:eastAsia="zh-CN"/>
              </w:rPr>
              <w:t>用于本项目危废贮存，</w:t>
            </w:r>
            <w:r>
              <w:rPr>
                <w:rFonts w:hint="default" w:ascii="Times New Roman" w:hAnsi="Times New Roman" w:eastAsia="宋体"/>
                <w:color w:val="auto"/>
                <w:highlight w:val="none"/>
                <w:lang w:val="en-US"/>
              </w:rPr>
              <w:t>最大储存能力约为</w:t>
            </w:r>
            <w:r>
              <w:rPr>
                <w:rFonts w:hint="eastAsia"/>
                <w:color w:val="auto"/>
                <w:highlight w:val="none"/>
                <w:lang w:val="en-US" w:eastAsia="zh-CN"/>
              </w:rPr>
              <w:t>8</w:t>
            </w:r>
            <w:r>
              <w:rPr>
                <w:rFonts w:hint="default" w:ascii="Times New Roman" w:hAnsi="Times New Roman" w:eastAsia="宋体"/>
                <w:color w:val="auto"/>
                <w:highlight w:val="none"/>
                <w:lang w:val="en-US"/>
              </w:rPr>
              <w:t>t，</w:t>
            </w:r>
            <w:r>
              <w:rPr>
                <w:rFonts w:hint="eastAsia"/>
                <w:color w:val="auto"/>
                <w:highlight w:val="none"/>
                <w:lang w:val="en-US" w:eastAsia="zh-CN"/>
              </w:rPr>
              <w:t>厂区现本项目</w:t>
            </w:r>
            <w:r>
              <w:rPr>
                <w:rFonts w:hint="default" w:ascii="Times New Roman" w:hAnsi="Times New Roman" w:eastAsia="宋体"/>
                <w:color w:val="auto"/>
                <w:highlight w:val="none"/>
                <w:lang w:val="en-US"/>
              </w:rPr>
              <w:t>危废产生量为</w:t>
            </w:r>
            <w:r>
              <w:rPr>
                <w:rFonts w:hint="eastAsia"/>
                <w:color w:val="auto"/>
                <w:highlight w:val="none"/>
                <w:lang w:val="en-US" w:eastAsia="zh-CN"/>
              </w:rPr>
              <w:t>39.055</w:t>
            </w:r>
            <w:r>
              <w:rPr>
                <w:rFonts w:hint="default" w:ascii="Times New Roman" w:hAnsi="Times New Roman" w:eastAsia="宋体"/>
                <w:color w:val="auto"/>
                <w:highlight w:val="none"/>
                <w:lang w:val="en-US"/>
              </w:rPr>
              <w:t>t/a，每</w:t>
            </w:r>
            <w:r>
              <w:rPr>
                <w:rFonts w:hint="eastAsia"/>
                <w:color w:val="auto"/>
                <w:highlight w:val="none"/>
                <w:lang w:val="en-US" w:eastAsia="zh-CN"/>
              </w:rPr>
              <w:t>月</w:t>
            </w:r>
            <w:r>
              <w:rPr>
                <w:rFonts w:hint="default" w:ascii="Times New Roman" w:hAnsi="Times New Roman" w:eastAsia="宋体"/>
                <w:color w:val="auto"/>
                <w:highlight w:val="none"/>
                <w:lang w:val="en-US"/>
              </w:rPr>
              <w:t>清理一次，在定期处置前提下，</w:t>
            </w:r>
            <w:r>
              <w:rPr>
                <w:rFonts w:hint="eastAsia" w:ascii="Times New Roman" w:hAnsi="Times New Roman" w:eastAsia="宋体"/>
                <w:color w:val="auto"/>
                <w:highlight w:val="none"/>
                <w:lang w:val="en-US"/>
              </w:rPr>
              <w:t>危废仓库</w:t>
            </w:r>
            <w:r>
              <w:rPr>
                <w:rFonts w:hint="default" w:ascii="Times New Roman" w:hAnsi="Times New Roman" w:eastAsia="宋体"/>
                <w:color w:val="auto"/>
                <w:highlight w:val="none"/>
                <w:lang w:val="en-US"/>
              </w:rPr>
              <w:t>可以满足危废暂存的需求。</w:t>
            </w:r>
          </w:p>
          <w:p w14:paraId="7441781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②选址可行性分析</w:t>
            </w:r>
          </w:p>
          <w:p w14:paraId="0EA862B9">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本项目位于</w:t>
            </w:r>
            <w:r>
              <w:rPr>
                <w:rFonts w:hint="default" w:ascii="Times New Roman" w:hAnsi="Times New Roman" w:eastAsia="宋体"/>
                <w:color w:val="auto"/>
                <w:highlight w:val="none"/>
              </w:rPr>
              <w:t>南京江宁区空港工业园东西京路以东、双塘路以南（吴歌路36号）</w:t>
            </w:r>
            <w:r>
              <w:rPr>
                <w:rFonts w:hint="default" w:ascii="Times New Roman" w:hAnsi="Times New Roman" w:eastAsia="宋体"/>
                <w:color w:val="auto"/>
                <w:highlight w:val="none"/>
                <w:lang w:val="en-US"/>
              </w:rPr>
              <w:t>，地质结构稳定，地质情况满足《危险废物贮存污染控制标准》（GB18597-2023）的要求。</w:t>
            </w:r>
          </w:p>
          <w:p w14:paraId="6CE00362">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本项目危险废物暂存</w:t>
            </w:r>
            <w:r>
              <w:rPr>
                <w:rFonts w:hint="eastAsia"/>
                <w:color w:val="auto"/>
                <w:highlight w:val="none"/>
                <w:lang w:val="en-US" w:eastAsia="zh-CN"/>
              </w:rPr>
              <w:t>点</w:t>
            </w:r>
            <w:r>
              <w:rPr>
                <w:rFonts w:hint="default" w:ascii="Times New Roman" w:hAnsi="Times New Roman" w:eastAsia="宋体"/>
                <w:color w:val="auto"/>
                <w:highlight w:val="none"/>
                <w:lang w:val="en-US"/>
              </w:rPr>
              <w:t>情况与《危险废物贮存污染控制标准》（GB18597-2023）对危险废物贮存设施的选址提出要求对比</w:t>
            </w:r>
            <w:r>
              <w:rPr>
                <w:rFonts w:hint="eastAsia" w:ascii="Times New Roman" w:hAnsi="Times New Roman" w:eastAsia="宋体"/>
                <w:color w:val="auto"/>
                <w:highlight w:val="none"/>
                <w:lang w:val="en-US"/>
              </w:rPr>
              <w:t>见下表：</w:t>
            </w:r>
          </w:p>
          <w:p w14:paraId="68EEBEEF">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表4-</w:t>
            </w:r>
            <w:r>
              <w:rPr>
                <w:rFonts w:hint="eastAsia" w:ascii="Times New Roman" w:hAnsi="Times New Roman" w:eastAsia="宋体"/>
                <w:color w:val="auto"/>
                <w:highlight w:val="none"/>
                <w:lang w:val="en-US" w:eastAsia="zh-CN"/>
              </w:rPr>
              <w:t>2</w:t>
            </w:r>
            <w:r>
              <w:rPr>
                <w:rFonts w:hint="eastAsia"/>
                <w:color w:val="auto"/>
                <w:highlight w:val="none"/>
                <w:lang w:val="en-US" w:eastAsia="zh-CN"/>
              </w:rPr>
              <w:t>1</w:t>
            </w:r>
            <w:r>
              <w:rPr>
                <w:rFonts w:hint="default" w:ascii="Times New Roman" w:hAnsi="Times New Roman" w:eastAsia="宋体"/>
                <w:color w:val="auto"/>
                <w:highlight w:val="none"/>
              </w:rPr>
              <w:t>危废</w:t>
            </w:r>
            <w:r>
              <w:rPr>
                <w:rFonts w:hint="eastAsia"/>
                <w:color w:val="auto"/>
                <w:highlight w:val="none"/>
                <w:lang w:val="en-US" w:eastAsia="zh-CN"/>
              </w:rPr>
              <w:t>暂存点</w:t>
            </w:r>
            <w:r>
              <w:rPr>
                <w:rFonts w:hint="default" w:ascii="Times New Roman" w:hAnsi="Times New Roman" w:eastAsia="宋体"/>
                <w:color w:val="auto"/>
                <w:highlight w:val="none"/>
              </w:rPr>
              <w:t>选址分析一览表</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54"/>
              <w:gridCol w:w="3445"/>
              <w:gridCol w:w="2831"/>
              <w:gridCol w:w="892"/>
            </w:tblGrid>
            <w:tr w14:paraId="25BD87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81" w:type="dxa"/>
                  <w:tcBorders>
                    <w:tl2br w:val="nil"/>
                    <w:tr2bl w:val="nil"/>
                  </w:tcBorders>
                  <w:vAlign w:val="center"/>
                </w:tcPr>
                <w:p w14:paraId="2A1FCC3D">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序号</w:t>
                  </w:r>
                </w:p>
              </w:tc>
              <w:tc>
                <w:tcPr>
                  <w:tcW w:w="3591" w:type="dxa"/>
                  <w:tcBorders>
                    <w:tl2br w:val="nil"/>
                    <w:tr2bl w:val="nil"/>
                  </w:tcBorders>
                  <w:vAlign w:val="center"/>
                </w:tcPr>
                <w:p w14:paraId="20EB0BD7">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《危险废物贮存污染控制标准》（GB18597-20</w:t>
                  </w:r>
                  <w:r>
                    <w:rPr>
                      <w:rFonts w:hint="eastAsia" w:ascii="Times New Roman" w:hAnsi="Times New Roman" w:eastAsia="宋体"/>
                      <w:b/>
                      <w:bCs/>
                      <w:color w:val="auto"/>
                      <w:highlight w:val="none"/>
                      <w:lang w:val="en-US"/>
                    </w:rPr>
                    <w:t>23</w:t>
                  </w:r>
                  <w:r>
                    <w:rPr>
                      <w:rFonts w:hint="default" w:ascii="Times New Roman" w:hAnsi="Times New Roman" w:eastAsia="宋体"/>
                      <w:b/>
                      <w:bCs/>
                      <w:color w:val="auto"/>
                      <w:highlight w:val="none"/>
                    </w:rPr>
                    <w:t>）</w:t>
                  </w:r>
                </w:p>
              </w:tc>
              <w:tc>
                <w:tcPr>
                  <w:tcW w:w="2950" w:type="dxa"/>
                  <w:tcBorders>
                    <w:tl2br w:val="nil"/>
                    <w:tr2bl w:val="nil"/>
                  </w:tcBorders>
                  <w:vAlign w:val="center"/>
                </w:tcPr>
                <w:p w14:paraId="7431FC1D">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本</w:t>
                  </w:r>
                  <w:r>
                    <w:rPr>
                      <w:rFonts w:hint="default" w:ascii="Times New Roman" w:hAnsi="Times New Roman" w:eastAsia="宋体"/>
                      <w:b/>
                      <w:bCs/>
                      <w:color w:val="auto"/>
                      <w:highlight w:val="none"/>
                    </w:rPr>
                    <w:t>项目危险废物暂存间情况</w:t>
                  </w:r>
                </w:p>
              </w:tc>
              <w:tc>
                <w:tcPr>
                  <w:tcW w:w="929" w:type="dxa"/>
                  <w:tcBorders>
                    <w:tl2br w:val="nil"/>
                    <w:tr2bl w:val="nil"/>
                  </w:tcBorders>
                  <w:vAlign w:val="center"/>
                </w:tcPr>
                <w:p w14:paraId="3CA1C98A">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建设</w:t>
                  </w:r>
                  <w:r>
                    <w:rPr>
                      <w:rFonts w:hint="default" w:ascii="Times New Roman" w:hAnsi="Times New Roman" w:eastAsia="宋体"/>
                      <w:b/>
                      <w:bCs/>
                      <w:color w:val="auto"/>
                      <w:highlight w:val="none"/>
                    </w:rPr>
                    <w:t>可行性</w:t>
                  </w:r>
                </w:p>
              </w:tc>
            </w:tr>
            <w:tr w14:paraId="7B86E0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81" w:type="dxa"/>
                  <w:tcBorders>
                    <w:tl2br w:val="nil"/>
                    <w:tr2bl w:val="nil"/>
                  </w:tcBorders>
                  <w:vAlign w:val="center"/>
                </w:tcPr>
                <w:p w14:paraId="72FB87F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1</w:t>
                  </w:r>
                </w:p>
              </w:tc>
              <w:tc>
                <w:tcPr>
                  <w:tcW w:w="3591" w:type="dxa"/>
                  <w:tcBorders>
                    <w:tl2br w:val="nil"/>
                    <w:tr2bl w:val="nil"/>
                  </w:tcBorders>
                  <w:vAlign w:val="center"/>
                </w:tcPr>
                <w:p w14:paraId="369BA1B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贮存设施选址应满足生态环境保护法律法规、规划和“三线一单”生态环境分区管控的要求，建设项目应依法进行环境影响评价。</w:t>
                  </w:r>
                </w:p>
              </w:tc>
              <w:tc>
                <w:tcPr>
                  <w:tcW w:w="2950" w:type="dxa"/>
                  <w:tcBorders>
                    <w:tl2br w:val="nil"/>
                    <w:tr2bl w:val="nil"/>
                  </w:tcBorders>
                  <w:vAlign w:val="center"/>
                </w:tcPr>
                <w:p w14:paraId="0B96B52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本项目危废</w:t>
                  </w:r>
                  <w:r>
                    <w:rPr>
                      <w:rFonts w:hint="eastAsia"/>
                      <w:color w:val="auto"/>
                      <w:highlight w:val="none"/>
                      <w:lang w:val="en-US" w:eastAsia="zh-CN"/>
                    </w:rPr>
                    <w:t>暂存点</w:t>
                  </w:r>
                  <w:r>
                    <w:rPr>
                      <w:rFonts w:hint="eastAsia" w:ascii="Times New Roman" w:hAnsi="Times New Roman" w:eastAsia="宋体"/>
                      <w:color w:val="auto"/>
                      <w:highlight w:val="none"/>
                      <w:lang w:val="en-US"/>
                    </w:rPr>
                    <w:t>选址满足选址生态环境保护法律法规、规划和“三线一单”生态环境分区管控的要求，</w:t>
                  </w:r>
                  <w:r>
                    <w:rPr>
                      <w:rFonts w:hint="eastAsia" w:ascii="Times New Roman" w:hAnsi="Times New Roman" w:eastAsia="宋体"/>
                      <w:color w:val="auto"/>
                      <w:highlight w:val="none"/>
                      <w:lang w:val="en-US" w:eastAsia="zh-CN"/>
                    </w:rPr>
                    <w:t>本次</w:t>
                  </w:r>
                  <w:r>
                    <w:rPr>
                      <w:rFonts w:hint="eastAsia" w:ascii="Times New Roman" w:hAnsi="Times New Roman" w:eastAsia="宋体"/>
                      <w:color w:val="auto"/>
                      <w:highlight w:val="none"/>
                      <w:lang w:val="en-US"/>
                    </w:rPr>
                    <w:t>环评依法进行环境影响评价</w:t>
                  </w:r>
                </w:p>
              </w:tc>
              <w:tc>
                <w:tcPr>
                  <w:tcW w:w="929" w:type="dxa"/>
                  <w:tcBorders>
                    <w:tl2br w:val="nil"/>
                    <w:tr2bl w:val="nil"/>
                  </w:tcBorders>
                  <w:vAlign w:val="center"/>
                </w:tcPr>
                <w:p w14:paraId="2FAF84D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可行</w:t>
                  </w:r>
                </w:p>
              </w:tc>
            </w:tr>
            <w:tr w14:paraId="279BE3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81" w:type="dxa"/>
                  <w:tcBorders>
                    <w:tl2br w:val="nil"/>
                    <w:tr2bl w:val="nil"/>
                  </w:tcBorders>
                  <w:vAlign w:val="center"/>
                </w:tcPr>
                <w:p w14:paraId="0060610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2</w:t>
                  </w:r>
                </w:p>
              </w:tc>
              <w:tc>
                <w:tcPr>
                  <w:tcW w:w="3591" w:type="dxa"/>
                  <w:tcBorders>
                    <w:tl2br w:val="nil"/>
                    <w:tr2bl w:val="nil"/>
                  </w:tcBorders>
                  <w:vAlign w:val="center"/>
                </w:tcPr>
                <w:p w14:paraId="0C77163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集中贮存设施不应选在生态保护红线区域、永久基本农田和其他需要特别保护的区域内，不应建在溶洞区或易遭受洪水、滑坡、泥石流、潮汐等严重自然灾害影响的地区。</w:t>
                  </w:r>
                </w:p>
              </w:tc>
              <w:tc>
                <w:tcPr>
                  <w:tcW w:w="2950" w:type="dxa"/>
                  <w:tcBorders>
                    <w:tl2br w:val="nil"/>
                    <w:tr2bl w:val="nil"/>
                  </w:tcBorders>
                  <w:vAlign w:val="center"/>
                </w:tcPr>
                <w:p w14:paraId="4F9B4F0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本项目危废</w:t>
                  </w:r>
                  <w:r>
                    <w:rPr>
                      <w:rFonts w:hint="eastAsia"/>
                      <w:color w:val="auto"/>
                      <w:highlight w:val="none"/>
                      <w:lang w:val="en-US" w:eastAsia="zh-CN"/>
                    </w:rPr>
                    <w:t>暂存点</w:t>
                  </w:r>
                  <w:r>
                    <w:rPr>
                      <w:rFonts w:hint="eastAsia" w:ascii="Times New Roman" w:hAnsi="Times New Roman" w:eastAsia="宋体"/>
                      <w:color w:val="auto"/>
                      <w:highlight w:val="none"/>
                      <w:lang w:val="en-US"/>
                    </w:rPr>
                    <w:t>不位于</w:t>
                  </w:r>
                  <w:r>
                    <w:rPr>
                      <w:rFonts w:hint="eastAsia" w:ascii="Times New Roman" w:hAnsi="Times New Roman" w:eastAsia="宋体"/>
                      <w:color w:val="auto"/>
                      <w:highlight w:val="none"/>
                    </w:rPr>
                    <w:t>生态保护红线区域、永久基本农田和其他需要特别保护的区域内，不建在溶洞区或易遭受洪水、滑坡、泥石流、潮汐等严重自然灾害影响的地区</w:t>
                  </w:r>
                </w:p>
              </w:tc>
              <w:tc>
                <w:tcPr>
                  <w:tcW w:w="929" w:type="dxa"/>
                  <w:tcBorders>
                    <w:tl2br w:val="nil"/>
                    <w:tr2bl w:val="nil"/>
                  </w:tcBorders>
                  <w:vAlign w:val="center"/>
                </w:tcPr>
                <w:p w14:paraId="1433F07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可行</w:t>
                  </w:r>
                </w:p>
              </w:tc>
            </w:tr>
            <w:tr w14:paraId="3B0DE5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81" w:type="dxa"/>
                  <w:tcBorders>
                    <w:tl2br w:val="nil"/>
                    <w:tr2bl w:val="nil"/>
                  </w:tcBorders>
                  <w:vAlign w:val="center"/>
                </w:tcPr>
                <w:p w14:paraId="2286189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3</w:t>
                  </w:r>
                </w:p>
              </w:tc>
              <w:tc>
                <w:tcPr>
                  <w:tcW w:w="3591" w:type="dxa"/>
                  <w:tcBorders>
                    <w:tl2br w:val="nil"/>
                    <w:tr2bl w:val="nil"/>
                  </w:tcBorders>
                  <w:vAlign w:val="center"/>
                </w:tcPr>
                <w:p w14:paraId="0D69E46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贮存设施不应选在江河、湖泊、运河、渠道、水库及其最高水位线以下的滩地和岸坡，以及法律法规规定禁止贮存危险废物的其他地点。</w:t>
                  </w:r>
                </w:p>
              </w:tc>
              <w:tc>
                <w:tcPr>
                  <w:tcW w:w="2950" w:type="dxa"/>
                  <w:tcBorders>
                    <w:tl2br w:val="nil"/>
                    <w:tr2bl w:val="nil"/>
                  </w:tcBorders>
                  <w:vAlign w:val="center"/>
                </w:tcPr>
                <w:p w14:paraId="326BCF7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本项目危废</w:t>
                  </w:r>
                  <w:r>
                    <w:rPr>
                      <w:rFonts w:hint="eastAsia"/>
                      <w:color w:val="auto"/>
                      <w:highlight w:val="none"/>
                      <w:lang w:val="en-US" w:eastAsia="zh-CN"/>
                    </w:rPr>
                    <w:t>暂存点</w:t>
                  </w:r>
                  <w:r>
                    <w:rPr>
                      <w:rFonts w:hint="eastAsia" w:ascii="Times New Roman" w:hAnsi="Times New Roman" w:eastAsia="宋体"/>
                      <w:color w:val="auto"/>
                      <w:highlight w:val="none"/>
                      <w:lang w:val="en-US"/>
                    </w:rPr>
                    <w:t>建设位置不在</w:t>
                  </w:r>
                  <w:r>
                    <w:rPr>
                      <w:rFonts w:hint="eastAsia" w:ascii="Times New Roman" w:hAnsi="Times New Roman" w:eastAsia="宋体"/>
                      <w:color w:val="auto"/>
                      <w:highlight w:val="none"/>
                    </w:rPr>
                    <w:t>江河、湖泊、运河、渠道、水库及其最高水位线以下的滩地和岸坡，</w:t>
                  </w:r>
                  <w:r>
                    <w:rPr>
                      <w:rFonts w:hint="eastAsia" w:ascii="Times New Roman" w:hAnsi="Times New Roman" w:eastAsia="宋体"/>
                      <w:color w:val="auto"/>
                      <w:highlight w:val="none"/>
                      <w:lang w:val="en-US"/>
                    </w:rPr>
                    <w:t>不属于</w:t>
                  </w:r>
                  <w:r>
                    <w:rPr>
                      <w:rFonts w:hint="eastAsia" w:ascii="Times New Roman" w:hAnsi="Times New Roman" w:eastAsia="宋体"/>
                      <w:color w:val="auto"/>
                      <w:highlight w:val="none"/>
                    </w:rPr>
                    <w:t>法律法规规定禁止贮存危险废物的其他地点</w:t>
                  </w:r>
                </w:p>
              </w:tc>
              <w:tc>
                <w:tcPr>
                  <w:tcW w:w="929" w:type="dxa"/>
                  <w:tcBorders>
                    <w:tl2br w:val="nil"/>
                    <w:tr2bl w:val="nil"/>
                  </w:tcBorders>
                  <w:vAlign w:val="center"/>
                </w:tcPr>
                <w:p w14:paraId="6D0384E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可行</w:t>
                  </w:r>
                </w:p>
              </w:tc>
            </w:tr>
            <w:tr w14:paraId="39E7A3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81" w:type="dxa"/>
                  <w:tcBorders>
                    <w:tl2br w:val="nil"/>
                    <w:tr2bl w:val="nil"/>
                  </w:tcBorders>
                  <w:vAlign w:val="center"/>
                </w:tcPr>
                <w:p w14:paraId="1F1E2B7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4</w:t>
                  </w:r>
                </w:p>
              </w:tc>
              <w:tc>
                <w:tcPr>
                  <w:tcW w:w="3591" w:type="dxa"/>
                  <w:tcBorders>
                    <w:tl2br w:val="nil"/>
                    <w:tr2bl w:val="nil"/>
                  </w:tcBorders>
                  <w:vAlign w:val="center"/>
                </w:tcPr>
                <w:p w14:paraId="63775E6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贮存设施场址的位置以及其与周围环境敏感目标的距离应依据环境影响评价文件确定。</w:t>
                  </w:r>
                </w:p>
              </w:tc>
              <w:tc>
                <w:tcPr>
                  <w:tcW w:w="2950" w:type="dxa"/>
                  <w:tcBorders>
                    <w:tl2br w:val="nil"/>
                    <w:tr2bl w:val="nil"/>
                  </w:tcBorders>
                  <w:vAlign w:val="center"/>
                </w:tcPr>
                <w:p w14:paraId="756EA41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本环评已对危废</w:t>
                  </w:r>
                  <w:r>
                    <w:rPr>
                      <w:rFonts w:hint="eastAsia"/>
                      <w:color w:val="auto"/>
                      <w:highlight w:val="none"/>
                      <w:lang w:val="en-US" w:eastAsia="zh-CN"/>
                    </w:rPr>
                    <w:t>暂存点</w:t>
                  </w:r>
                  <w:r>
                    <w:rPr>
                      <w:rFonts w:hint="eastAsia" w:ascii="Times New Roman" w:hAnsi="Times New Roman" w:eastAsia="宋体"/>
                      <w:color w:val="auto"/>
                      <w:highlight w:val="none"/>
                      <w:lang w:val="en-US"/>
                    </w:rPr>
                    <w:t>位置进行了规定</w:t>
                  </w:r>
                </w:p>
              </w:tc>
              <w:tc>
                <w:tcPr>
                  <w:tcW w:w="929" w:type="dxa"/>
                  <w:tcBorders>
                    <w:tl2br w:val="nil"/>
                    <w:tr2bl w:val="nil"/>
                  </w:tcBorders>
                  <w:vAlign w:val="center"/>
                </w:tcPr>
                <w:p w14:paraId="309AB39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可行</w:t>
                  </w:r>
                </w:p>
              </w:tc>
            </w:tr>
          </w:tbl>
          <w:p w14:paraId="72F1FDDB">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③规范化管理要求</w:t>
            </w:r>
          </w:p>
          <w:p w14:paraId="3FA890EE">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根据《省生态环境厅关于印发〈江苏省危险废物集中收集体系建设工作方案（试行）〉的通知》（苏环办〔2021〕290号）将危险废物及危险废物产生单位进行分级管理。</w:t>
            </w:r>
          </w:p>
          <w:p w14:paraId="176A6E9A">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危险废物环境风险分级：</w:t>
            </w:r>
          </w:p>
          <w:p w14:paraId="2016CF5B">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根据危险废物的危险特性（感染性除外），评估其环境风险，按从高到低，将危险废物划分为I级、Ⅱ级和Ⅲ级三个等级。</w:t>
            </w:r>
          </w:p>
          <w:p w14:paraId="28C929F6">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①Ⅰ级危险废物指可环境无害化利用或处置，且被所有者申报废弃的危险化学品；具有反应性（R）的其他危险废物。</w:t>
            </w:r>
          </w:p>
          <w:p w14:paraId="66E9F633">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②Ⅱ级危险废物指具有易燃性（I）的危险废物。</w:t>
            </w:r>
          </w:p>
          <w:p w14:paraId="25F71DB9">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③Ⅲ级危险废物指具有腐蚀性（C）或毒性（T）的危险废物。</w:t>
            </w:r>
          </w:p>
          <w:p w14:paraId="79F1253B">
            <w:pPr>
              <w:pStyle w:val="23"/>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default" w:ascii="Times New Roman" w:hAnsi="Times New Roman" w:eastAsia="宋体"/>
                <w:color w:val="auto"/>
                <w:highlight w:val="none"/>
              </w:rPr>
              <w:t>表4-</w:t>
            </w:r>
            <w:r>
              <w:rPr>
                <w:rFonts w:hint="eastAsia" w:ascii="Times New Roman" w:hAnsi="Times New Roman" w:eastAsia="宋体"/>
                <w:color w:val="auto"/>
                <w:highlight w:val="none"/>
                <w:lang w:val="en-US" w:eastAsia="zh-CN"/>
              </w:rPr>
              <w:t>2</w:t>
            </w:r>
            <w:r>
              <w:rPr>
                <w:rFonts w:hint="eastAsia"/>
                <w:color w:val="auto"/>
                <w:highlight w:val="none"/>
                <w:lang w:val="en-US" w:eastAsia="zh-CN"/>
              </w:rPr>
              <w:t>2园区危险废物分级表</w:t>
            </w:r>
          </w:p>
          <w:tbl>
            <w:tblPr>
              <w:tblStyle w:val="16"/>
              <w:tblW w:w="5000" w:type="pct"/>
              <w:tblInd w:w="-108" w:type="dxa"/>
              <w:tblBorders>
                <w:top w:val="single" w:color="auto" w:sz="12" w:space="0"/>
                <w:left w:val="none" w:color="auto" w:sz="6" w:space="0"/>
                <w:bottom w:val="single" w:color="auto" w:sz="12" w:space="0"/>
                <w:right w:val="none" w:color="auto" w:sz="6" w:space="0"/>
                <w:insideH w:val="single" w:color="auto" w:sz="6" w:space="0"/>
                <w:insideV w:val="single" w:color="auto" w:sz="6" w:space="0"/>
              </w:tblBorders>
              <w:shd w:val="clear" w:color="auto" w:fill="auto"/>
              <w:tblLayout w:type="fixed"/>
              <w:tblCellMar>
                <w:top w:w="0" w:type="dxa"/>
                <w:left w:w="108" w:type="dxa"/>
                <w:bottom w:w="0" w:type="dxa"/>
                <w:right w:w="108" w:type="dxa"/>
              </w:tblCellMar>
            </w:tblPr>
            <w:tblGrid>
              <w:gridCol w:w="1915"/>
              <w:gridCol w:w="1254"/>
              <w:gridCol w:w="1025"/>
              <w:gridCol w:w="1135"/>
              <w:gridCol w:w="1140"/>
              <w:gridCol w:w="1353"/>
            </w:tblGrid>
            <w:tr w14:paraId="0A565F82">
              <w:tblPrEx>
                <w:tblBorders>
                  <w:top w:val="single" w:color="auto" w:sz="12" w:space="0"/>
                  <w:left w:val="none" w:color="auto" w:sz="6" w:space="0"/>
                  <w:bottom w:val="single" w:color="auto" w:sz="12" w:space="0"/>
                  <w:right w:val="none" w:color="auto" w:sz="6"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238" w:hRule="atLeast"/>
              </w:trPr>
              <w:tc>
                <w:tcPr>
                  <w:tcW w:w="1224" w:type="pct"/>
                  <w:tcBorders>
                    <w:top w:val="single" w:color="auto" w:sz="12" w:space="0"/>
                    <w:left w:val="nil"/>
                    <w:bottom w:val="single" w:color="auto" w:sz="6" w:space="0"/>
                    <w:right w:val="single" w:color="auto" w:sz="6" w:space="0"/>
                  </w:tcBorders>
                  <w:shd w:val="clear" w:color="auto" w:fill="auto"/>
                  <w:vAlign w:val="center"/>
                </w:tcPr>
                <w:p w14:paraId="3CACAF65">
                  <w:pPr>
                    <w:pStyle w:val="21"/>
                    <w:keepNext w:val="0"/>
                    <w:keepLines w:val="0"/>
                    <w:suppressLineNumbers w:val="0"/>
                    <w:bidi w:val="0"/>
                    <w:spacing w:before="0" w:beforeAutospacing="0" w:after="0" w:afterAutospacing="0"/>
                    <w:ind w:left="0" w:right="0"/>
                    <w:rPr>
                      <w:rFonts w:hint="default"/>
                      <w:b/>
                      <w:bCs/>
                      <w:color w:val="auto"/>
                    </w:rPr>
                  </w:pPr>
                  <w:r>
                    <w:rPr>
                      <w:rFonts w:hint="eastAsia"/>
                      <w:b/>
                      <w:bCs/>
                      <w:color w:val="auto"/>
                      <w:lang w:val="en-US" w:eastAsia="zh-CN"/>
                    </w:rPr>
                    <w:t>危废种类</w:t>
                  </w:r>
                </w:p>
              </w:tc>
              <w:tc>
                <w:tcPr>
                  <w:tcW w:w="801" w:type="pct"/>
                  <w:tcBorders>
                    <w:top w:val="single" w:color="auto" w:sz="12" w:space="0"/>
                    <w:left w:val="single" w:color="auto" w:sz="6" w:space="0"/>
                    <w:bottom w:val="single" w:color="auto" w:sz="6" w:space="0"/>
                    <w:right w:val="single" w:color="auto" w:sz="6" w:space="0"/>
                  </w:tcBorders>
                  <w:shd w:val="clear" w:color="auto" w:fill="auto"/>
                  <w:vAlign w:val="center"/>
                </w:tcPr>
                <w:p w14:paraId="037E9A8A">
                  <w:pPr>
                    <w:pStyle w:val="21"/>
                    <w:keepNext w:val="0"/>
                    <w:keepLines w:val="0"/>
                    <w:suppressLineNumbers w:val="0"/>
                    <w:bidi w:val="0"/>
                    <w:spacing w:before="0" w:beforeAutospacing="0" w:after="0" w:afterAutospacing="0"/>
                    <w:ind w:left="0" w:right="0"/>
                    <w:rPr>
                      <w:rFonts w:hint="default"/>
                      <w:b/>
                      <w:bCs/>
                      <w:color w:val="auto"/>
                    </w:rPr>
                  </w:pPr>
                  <w:r>
                    <w:rPr>
                      <w:rFonts w:hint="eastAsia"/>
                      <w:b/>
                      <w:bCs/>
                      <w:color w:val="auto"/>
                      <w:lang w:val="en-US" w:eastAsia="zh-CN"/>
                    </w:rPr>
                    <w:t>数量（</w:t>
                  </w:r>
                  <w:r>
                    <w:rPr>
                      <w:rFonts w:hint="default"/>
                      <w:b/>
                      <w:bCs/>
                      <w:color w:val="auto"/>
                      <w:lang w:val="en-US" w:eastAsia="zh-CN"/>
                    </w:rPr>
                    <w:t>t/a</w:t>
                  </w:r>
                  <w:r>
                    <w:rPr>
                      <w:rFonts w:hint="eastAsia"/>
                      <w:b/>
                      <w:bCs/>
                      <w:color w:val="auto"/>
                      <w:lang w:val="en-US" w:eastAsia="zh-CN"/>
                    </w:rPr>
                    <w:t>）</w:t>
                  </w:r>
                </w:p>
              </w:tc>
              <w:tc>
                <w:tcPr>
                  <w:tcW w:w="655" w:type="pct"/>
                  <w:tcBorders>
                    <w:top w:val="single" w:color="auto" w:sz="12" w:space="0"/>
                    <w:left w:val="single" w:color="auto" w:sz="6" w:space="0"/>
                    <w:bottom w:val="single" w:color="auto" w:sz="6" w:space="0"/>
                    <w:right w:val="single" w:color="auto" w:sz="6" w:space="0"/>
                  </w:tcBorders>
                  <w:shd w:val="clear" w:color="auto" w:fill="auto"/>
                  <w:vAlign w:val="center"/>
                </w:tcPr>
                <w:p w14:paraId="0C14C2E5">
                  <w:pPr>
                    <w:pStyle w:val="21"/>
                    <w:keepNext w:val="0"/>
                    <w:keepLines w:val="0"/>
                    <w:suppressLineNumbers w:val="0"/>
                    <w:bidi w:val="0"/>
                    <w:spacing w:before="0" w:beforeAutospacing="0" w:after="0" w:afterAutospacing="0"/>
                    <w:ind w:left="0" w:right="0"/>
                    <w:rPr>
                      <w:rFonts w:hint="default"/>
                      <w:b/>
                      <w:bCs/>
                      <w:color w:val="auto"/>
                    </w:rPr>
                  </w:pPr>
                  <w:r>
                    <w:rPr>
                      <w:rFonts w:hint="eastAsia"/>
                      <w:b/>
                      <w:bCs/>
                      <w:color w:val="auto"/>
                      <w:lang w:val="en-US" w:eastAsia="zh-CN"/>
                    </w:rPr>
                    <w:t>危险特性</w:t>
                  </w:r>
                </w:p>
              </w:tc>
              <w:tc>
                <w:tcPr>
                  <w:tcW w:w="725" w:type="pct"/>
                  <w:tcBorders>
                    <w:top w:val="single" w:color="auto" w:sz="12" w:space="0"/>
                    <w:left w:val="single" w:color="auto" w:sz="6" w:space="0"/>
                    <w:bottom w:val="single" w:color="auto" w:sz="6" w:space="0"/>
                    <w:right w:val="single" w:color="auto" w:sz="6" w:space="0"/>
                  </w:tcBorders>
                  <w:shd w:val="clear" w:color="auto" w:fill="auto"/>
                  <w:vAlign w:val="center"/>
                </w:tcPr>
                <w:p w14:paraId="38B6BEF8">
                  <w:pPr>
                    <w:pStyle w:val="21"/>
                    <w:keepNext w:val="0"/>
                    <w:keepLines w:val="0"/>
                    <w:suppressLineNumbers w:val="0"/>
                    <w:bidi w:val="0"/>
                    <w:spacing w:before="0" w:beforeAutospacing="0" w:after="0" w:afterAutospacing="0"/>
                    <w:ind w:left="0" w:right="0"/>
                    <w:rPr>
                      <w:rFonts w:hint="default"/>
                      <w:b/>
                      <w:bCs/>
                      <w:color w:val="auto"/>
                    </w:rPr>
                  </w:pPr>
                  <w:r>
                    <w:rPr>
                      <w:rFonts w:hint="default"/>
                      <w:b/>
                      <w:bCs/>
                      <w:color w:val="auto"/>
                      <w:lang w:val="en-US" w:eastAsia="zh-CN"/>
                    </w:rPr>
                    <w:t>Ⅰ</w:t>
                  </w:r>
                  <w:r>
                    <w:rPr>
                      <w:rFonts w:hint="eastAsia"/>
                      <w:b/>
                      <w:bCs/>
                      <w:color w:val="auto"/>
                      <w:lang w:val="en-US" w:eastAsia="zh-CN"/>
                    </w:rPr>
                    <w:t>级（</w:t>
                  </w:r>
                  <w:r>
                    <w:rPr>
                      <w:rFonts w:hint="default"/>
                      <w:b/>
                      <w:bCs/>
                      <w:color w:val="auto"/>
                      <w:lang w:val="en-US" w:eastAsia="zh-CN"/>
                    </w:rPr>
                    <w:t>R</w:t>
                  </w:r>
                  <w:r>
                    <w:rPr>
                      <w:rFonts w:hint="eastAsia"/>
                      <w:b/>
                      <w:bCs/>
                      <w:color w:val="auto"/>
                      <w:lang w:val="en-US" w:eastAsia="zh-CN"/>
                    </w:rPr>
                    <w:t>）（</w:t>
                  </w:r>
                  <w:r>
                    <w:rPr>
                      <w:rFonts w:hint="default"/>
                      <w:b/>
                      <w:bCs/>
                      <w:color w:val="auto"/>
                      <w:lang w:val="en-US" w:eastAsia="zh-CN"/>
                    </w:rPr>
                    <w:t>t/a</w:t>
                  </w:r>
                  <w:r>
                    <w:rPr>
                      <w:rFonts w:hint="eastAsia"/>
                      <w:b/>
                      <w:bCs/>
                      <w:color w:val="auto"/>
                      <w:lang w:val="en-US" w:eastAsia="zh-CN"/>
                    </w:rPr>
                    <w:t>）</w:t>
                  </w:r>
                </w:p>
              </w:tc>
              <w:tc>
                <w:tcPr>
                  <w:tcW w:w="728" w:type="pct"/>
                  <w:tcBorders>
                    <w:top w:val="single" w:color="auto" w:sz="12" w:space="0"/>
                    <w:left w:val="single" w:color="auto" w:sz="6" w:space="0"/>
                    <w:bottom w:val="single" w:color="auto" w:sz="6" w:space="0"/>
                    <w:right w:val="single" w:color="auto" w:sz="6" w:space="0"/>
                  </w:tcBorders>
                  <w:shd w:val="clear" w:color="auto" w:fill="auto"/>
                  <w:vAlign w:val="center"/>
                </w:tcPr>
                <w:p w14:paraId="63E18F47">
                  <w:pPr>
                    <w:pStyle w:val="21"/>
                    <w:keepNext w:val="0"/>
                    <w:keepLines w:val="0"/>
                    <w:suppressLineNumbers w:val="0"/>
                    <w:bidi w:val="0"/>
                    <w:spacing w:before="0" w:beforeAutospacing="0" w:after="0" w:afterAutospacing="0"/>
                    <w:ind w:left="0" w:right="0"/>
                    <w:rPr>
                      <w:rFonts w:hint="default"/>
                      <w:b/>
                      <w:bCs/>
                      <w:color w:val="auto"/>
                    </w:rPr>
                  </w:pPr>
                  <w:r>
                    <w:rPr>
                      <w:rFonts w:hint="default"/>
                      <w:b/>
                      <w:bCs/>
                      <w:color w:val="auto"/>
                      <w:lang w:val="en-US" w:eastAsia="zh-CN"/>
                    </w:rPr>
                    <w:t>Ⅱ</w:t>
                  </w:r>
                  <w:r>
                    <w:rPr>
                      <w:rFonts w:hint="eastAsia"/>
                      <w:b/>
                      <w:bCs/>
                      <w:color w:val="auto"/>
                      <w:lang w:val="en-US" w:eastAsia="zh-CN"/>
                    </w:rPr>
                    <w:t>级（</w:t>
                  </w:r>
                  <w:r>
                    <w:rPr>
                      <w:rFonts w:hint="default"/>
                      <w:b/>
                      <w:bCs/>
                      <w:color w:val="auto"/>
                      <w:lang w:val="en-US" w:eastAsia="zh-CN"/>
                    </w:rPr>
                    <w:t>I</w:t>
                  </w:r>
                  <w:r>
                    <w:rPr>
                      <w:rFonts w:hint="eastAsia"/>
                      <w:b/>
                      <w:bCs/>
                      <w:color w:val="auto"/>
                      <w:lang w:val="en-US" w:eastAsia="zh-CN"/>
                    </w:rPr>
                    <w:t>）（</w:t>
                  </w:r>
                  <w:r>
                    <w:rPr>
                      <w:rFonts w:hint="default"/>
                      <w:b/>
                      <w:bCs/>
                      <w:color w:val="auto"/>
                      <w:lang w:val="en-US" w:eastAsia="zh-CN"/>
                    </w:rPr>
                    <w:t>t/a</w:t>
                  </w:r>
                  <w:r>
                    <w:rPr>
                      <w:rFonts w:hint="eastAsia"/>
                      <w:b/>
                      <w:bCs/>
                      <w:color w:val="auto"/>
                      <w:lang w:val="en-US" w:eastAsia="zh-CN"/>
                    </w:rPr>
                    <w:t>）</w:t>
                  </w:r>
                </w:p>
              </w:tc>
              <w:tc>
                <w:tcPr>
                  <w:tcW w:w="864" w:type="pct"/>
                  <w:tcBorders>
                    <w:top w:val="single" w:color="auto" w:sz="12" w:space="0"/>
                    <w:left w:val="single" w:color="auto" w:sz="6" w:space="0"/>
                    <w:bottom w:val="single" w:color="auto" w:sz="6" w:space="0"/>
                    <w:right w:val="nil"/>
                  </w:tcBorders>
                  <w:shd w:val="clear" w:color="auto" w:fill="auto"/>
                  <w:vAlign w:val="center"/>
                </w:tcPr>
                <w:p w14:paraId="5A8CAFC4">
                  <w:pPr>
                    <w:pStyle w:val="21"/>
                    <w:keepNext w:val="0"/>
                    <w:keepLines w:val="0"/>
                    <w:suppressLineNumbers w:val="0"/>
                    <w:bidi w:val="0"/>
                    <w:spacing w:before="0" w:beforeAutospacing="0" w:after="0" w:afterAutospacing="0"/>
                    <w:ind w:left="0" w:right="0"/>
                    <w:rPr>
                      <w:rFonts w:hint="default"/>
                      <w:b/>
                      <w:bCs/>
                      <w:color w:val="auto"/>
                    </w:rPr>
                  </w:pPr>
                  <w:r>
                    <w:rPr>
                      <w:rFonts w:hint="default"/>
                      <w:b/>
                      <w:bCs/>
                      <w:color w:val="auto"/>
                      <w:lang w:val="en-US" w:eastAsia="zh-CN"/>
                    </w:rPr>
                    <w:t>Ⅲ</w:t>
                  </w:r>
                  <w:r>
                    <w:rPr>
                      <w:rFonts w:hint="eastAsia"/>
                      <w:b/>
                      <w:bCs/>
                      <w:color w:val="auto"/>
                      <w:lang w:val="en-US" w:eastAsia="zh-CN"/>
                    </w:rPr>
                    <w:t>级（</w:t>
                  </w:r>
                  <w:r>
                    <w:rPr>
                      <w:rFonts w:hint="default"/>
                      <w:b/>
                      <w:bCs/>
                      <w:color w:val="auto"/>
                      <w:lang w:val="en-US" w:eastAsia="zh-CN"/>
                    </w:rPr>
                    <w:t>C/T</w:t>
                  </w:r>
                  <w:r>
                    <w:rPr>
                      <w:rFonts w:hint="eastAsia"/>
                      <w:b/>
                      <w:bCs/>
                      <w:color w:val="auto"/>
                      <w:lang w:val="en-US" w:eastAsia="zh-CN"/>
                    </w:rPr>
                    <w:t>）（</w:t>
                  </w:r>
                  <w:r>
                    <w:rPr>
                      <w:rFonts w:hint="default"/>
                      <w:b/>
                      <w:bCs/>
                      <w:color w:val="auto"/>
                      <w:lang w:val="en-US" w:eastAsia="zh-CN"/>
                    </w:rPr>
                    <w:t>t/a</w:t>
                  </w:r>
                  <w:r>
                    <w:rPr>
                      <w:rFonts w:hint="eastAsia"/>
                      <w:b/>
                      <w:bCs/>
                      <w:color w:val="auto"/>
                      <w:lang w:val="en-US" w:eastAsia="zh-CN"/>
                    </w:rPr>
                    <w:t>）</w:t>
                  </w:r>
                </w:p>
              </w:tc>
            </w:tr>
            <w:tr w14:paraId="3450ECE6">
              <w:tblPrEx>
                <w:tblBorders>
                  <w:top w:val="single" w:color="auto" w:sz="12" w:space="0"/>
                  <w:left w:val="none" w:color="auto" w:sz="6" w:space="0"/>
                  <w:bottom w:val="single" w:color="auto" w:sz="12" w:space="0"/>
                  <w:right w:val="none" w:color="auto" w:sz="6"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240" w:hRule="atLeast"/>
              </w:trPr>
              <w:tc>
                <w:tcPr>
                  <w:tcW w:w="1224" w:type="pct"/>
                  <w:tcBorders>
                    <w:top w:val="single" w:color="auto" w:sz="6" w:space="0"/>
                    <w:left w:val="nil"/>
                    <w:bottom w:val="single" w:color="auto" w:sz="6" w:space="0"/>
                    <w:right w:val="single" w:color="auto" w:sz="6" w:space="0"/>
                  </w:tcBorders>
                  <w:shd w:val="clear" w:color="auto" w:fill="auto"/>
                  <w:vAlign w:val="center"/>
                </w:tcPr>
                <w:p w14:paraId="7DDC4DB7">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废紫外灯管</w:t>
                  </w:r>
                </w:p>
              </w:tc>
              <w:tc>
                <w:tcPr>
                  <w:tcW w:w="801" w:type="pct"/>
                  <w:tcBorders>
                    <w:top w:val="single" w:color="auto" w:sz="6" w:space="0"/>
                    <w:left w:val="single" w:color="auto" w:sz="6" w:space="0"/>
                    <w:bottom w:val="single" w:color="auto" w:sz="6" w:space="0"/>
                    <w:right w:val="single" w:color="auto" w:sz="6" w:space="0"/>
                  </w:tcBorders>
                  <w:shd w:val="clear" w:color="auto" w:fill="auto"/>
                  <w:vAlign w:val="center"/>
                </w:tcPr>
                <w:p w14:paraId="74EAD1FF">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0.005</w:t>
                  </w:r>
                </w:p>
              </w:tc>
              <w:tc>
                <w:tcPr>
                  <w:tcW w:w="655" w:type="pct"/>
                  <w:tcBorders>
                    <w:top w:val="single" w:color="auto" w:sz="6" w:space="0"/>
                    <w:left w:val="single" w:color="auto" w:sz="6" w:space="0"/>
                    <w:bottom w:val="single" w:color="auto" w:sz="6" w:space="0"/>
                    <w:right w:val="single" w:color="auto" w:sz="6" w:space="0"/>
                  </w:tcBorders>
                  <w:shd w:val="clear" w:color="auto" w:fill="auto"/>
                  <w:vAlign w:val="center"/>
                </w:tcPr>
                <w:p w14:paraId="6F8397DD">
                  <w:pPr>
                    <w:pStyle w:val="21"/>
                    <w:keepNext w:val="0"/>
                    <w:keepLines w:val="0"/>
                    <w:suppressLineNumbers w:val="0"/>
                    <w:spacing w:before="0" w:beforeAutospacing="0" w:after="0" w:afterAutospacing="0"/>
                    <w:ind w:left="0" w:leftChars="0" w:right="0" w:rightChars="0" w:firstLine="0" w:firstLineChars="0"/>
                    <w:rPr>
                      <w:rFonts w:hint="eastAsia"/>
                      <w:color w:val="auto"/>
                    </w:rPr>
                  </w:pPr>
                  <w:r>
                    <w:rPr>
                      <w:rFonts w:hint="eastAsia" w:cs="Times New Roman"/>
                      <w:color w:val="auto"/>
                      <w:sz w:val="21"/>
                      <w:szCs w:val="24"/>
                      <w:highlight w:val="none"/>
                      <w:lang w:val="en-US" w:eastAsia="zh-CN" w:bidi="zh-CN"/>
                    </w:rPr>
                    <w:t>T</w:t>
                  </w:r>
                </w:p>
              </w:tc>
              <w:tc>
                <w:tcPr>
                  <w:tcW w:w="725" w:type="pct"/>
                  <w:tcBorders>
                    <w:top w:val="single" w:color="auto" w:sz="6" w:space="0"/>
                    <w:left w:val="single" w:color="auto" w:sz="6" w:space="0"/>
                    <w:bottom w:val="single" w:color="auto" w:sz="6" w:space="0"/>
                    <w:right w:val="single" w:color="auto" w:sz="6" w:space="0"/>
                  </w:tcBorders>
                  <w:shd w:val="clear" w:color="auto" w:fill="auto"/>
                  <w:vAlign w:val="center"/>
                </w:tcPr>
                <w:p w14:paraId="13C9AF60">
                  <w:pPr>
                    <w:pStyle w:val="21"/>
                    <w:keepNext w:val="0"/>
                    <w:keepLines w:val="0"/>
                    <w:suppressLineNumbers w:val="0"/>
                    <w:bidi w:val="0"/>
                    <w:spacing w:before="0" w:beforeAutospacing="0" w:after="0" w:afterAutospacing="0"/>
                    <w:ind w:left="0" w:right="0"/>
                    <w:rPr>
                      <w:rFonts w:hint="eastAsia"/>
                      <w:color w:val="auto"/>
                    </w:rPr>
                  </w:pPr>
                  <w:r>
                    <w:rPr>
                      <w:rFonts w:hint="default"/>
                      <w:color w:val="auto"/>
                      <w:lang w:val="en-US" w:eastAsia="zh-CN"/>
                    </w:rPr>
                    <w:t>/</w:t>
                  </w:r>
                </w:p>
              </w:tc>
              <w:tc>
                <w:tcPr>
                  <w:tcW w:w="728" w:type="pct"/>
                  <w:tcBorders>
                    <w:top w:val="single" w:color="auto" w:sz="6" w:space="0"/>
                    <w:left w:val="single" w:color="auto" w:sz="6" w:space="0"/>
                    <w:bottom w:val="single" w:color="auto" w:sz="6" w:space="0"/>
                    <w:right w:val="single" w:color="auto" w:sz="6" w:space="0"/>
                  </w:tcBorders>
                  <w:shd w:val="clear" w:color="auto" w:fill="auto"/>
                  <w:vAlign w:val="center"/>
                </w:tcPr>
                <w:p w14:paraId="57153223">
                  <w:pPr>
                    <w:pStyle w:val="21"/>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w:t>
                  </w:r>
                </w:p>
              </w:tc>
              <w:tc>
                <w:tcPr>
                  <w:tcW w:w="864" w:type="pct"/>
                  <w:tcBorders>
                    <w:top w:val="single" w:color="auto" w:sz="6" w:space="0"/>
                    <w:left w:val="single" w:color="auto" w:sz="6" w:space="0"/>
                    <w:bottom w:val="single" w:color="auto" w:sz="6" w:space="0"/>
                    <w:right w:val="nil"/>
                  </w:tcBorders>
                  <w:shd w:val="clear" w:color="auto" w:fill="auto"/>
                  <w:vAlign w:val="center"/>
                </w:tcPr>
                <w:p w14:paraId="56CA7536">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0.005</w:t>
                  </w:r>
                </w:p>
              </w:tc>
            </w:tr>
            <w:tr w14:paraId="6E141137">
              <w:tblPrEx>
                <w:tblBorders>
                  <w:top w:val="single" w:color="auto" w:sz="12" w:space="0"/>
                  <w:left w:val="none" w:color="auto" w:sz="6" w:space="0"/>
                  <w:bottom w:val="single" w:color="auto" w:sz="12" w:space="0"/>
                  <w:right w:val="none" w:color="auto" w:sz="6"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290" w:hRule="atLeast"/>
              </w:trPr>
              <w:tc>
                <w:tcPr>
                  <w:tcW w:w="1224" w:type="pct"/>
                  <w:tcBorders>
                    <w:top w:val="single" w:color="auto" w:sz="6" w:space="0"/>
                    <w:left w:val="nil"/>
                    <w:bottom w:val="single" w:color="auto" w:sz="6" w:space="0"/>
                    <w:right w:val="single" w:color="auto" w:sz="6" w:space="0"/>
                  </w:tcBorders>
                  <w:shd w:val="clear" w:color="auto" w:fill="auto"/>
                  <w:vAlign w:val="center"/>
                </w:tcPr>
                <w:p w14:paraId="13927B1B">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废机油桶</w:t>
                  </w:r>
                </w:p>
              </w:tc>
              <w:tc>
                <w:tcPr>
                  <w:tcW w:w="801" w:type="pct"/>
                  <w:tcBorders>
                    <w:top w:val="single" w:color="auto" w:sz="6" w:space="0"/>
                    <w:left w:val="single" w:color="auto" w:sz="6" w:space="0"/>
                    <w:bottom w:val="single" w:color="auto" w:sz="6" w:space="0"/>
                    <w:right w:val="single" w:color="auto" w:sz="6" w:space="0"/>
                  </w:tcBorders>
                  <w:shd w:val="clear" w:color="auto" w:fill="auto"/>
                  <w:vAlign w:val="center"/>
                </w:tcPr>
                <w:p w14:paraId="1704DFF0">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0.3</w:t>
                  </w:r>
                </w:p>
              </w:tc>
              <w:tc>
                <w:tcPr>
                  <w:tcW w:w="655" w:type="pct"/>
                  <w:tcBorders>
                    <w:top w:val="single" w:color="auto" w:sz="6" w:space="0"/>
                    <w:left w:val="single" w:color="auto" w:sz="6" w:space="0"/>
                    <w:bottom w:val="single" w:color="auto" w:sz="6" w:space="0"/>
                    <w:right w:val="single" w:color="auto" w:sz="6" w:space="0"/>
                  </w:tcBorders>
                  <w:shd w:val="clear" w:color="auto" w:fill="auto"/>
                  <w:vAlign w:val="center"/>
                </w:tcPr>
                <w:p w14:paraId="73C1DE6B">
                  <w:pPr>
                    <w:pStyle w:val="21"/>
                    <w:keepNext w:val="0"/>
                    <w:keepLines w:val="0"/>
                    <w:suppressLineNumbers w:val="0"/>
                    <w:spacing w:before="0" w:beforeAutospacing="0" w:after="0" w:afterAutospacing="0"/>
                    <w:ind w:left="0" w:leftChars="0" w:right="0" w:rightChars="0" w:firstLine="0" w:firstLineChars="0"/>
                    <w:rPr>
                      <w:rFonts w:hint="eastAsia"/>
                      <w:color w:val="auto"/>
                    </w:rPr>
                  </w:pPr>
                  <w:r>
                    <w:rPr>
                      <w:rFonts w:hint="eastAsia" w:cs="Times New Roman"/>
                      <w:color w:val="auto"/>
                      <w:sz w:val="21"/>
                      <w:szCs w:val="24"/>
                      <w:highlight w:val="none"/>
                      <w:lang w:val="en-US" w:eastAsia="zh-CN" w:bidi="zh-CN"/>
                    </w:rPr>
                    <w:t>T,I</w:t>
                  </w:r>
                </w:p>
              </w:tc>
              <w:tc>
                <w:tcPr>
                  <w:tcW w:w="725" w:type="pct"/>
                  <w:tcBorders>
                    <w:top w:val="single" w:color="auto" w:sz="6" w:space="0"/>
                    <w:left w:val="single" w:color="auto" w:sz="6" w:space="0"/>
                    <w:bottom w:val="single" w:color="auto" w:sz="6" w:space="0"/>
                    <w:right w:val="single" w:color="auto" w:sz="6" w:space="0"/>
                  </w:tcBorders>
                  <w:shd w:val="clear" w:color="auto" w:fill="auto"/>
                  <w:vAlign w:val="center"/>
                </w:tcPr>
                <w:p w14:paraId="7E8F30C2">
                  <w:pPr>
                    <w:pStyle w:val="21"/>
                    <w:keepNext w:val="0"/>
                    <w:keepLines w:val="0"/>
                    <w:suppressLineNumbers w:val="0"/>
                    <w:bidi w:val="0"/>
                    <w:spacing w:before="0" w:beforeAutospacing="0" w:after="0" w:afterAutospacing="0"/>
                    <w:ind w:left="0" w:right="0"/>
                    <w:rPr>
                      <w:rFonts w:hint="eastAsia"/>
                      <w:color w:val="auto"/>
                    </w:rPr>
                  </w:pPr>
                  <w:r>
                    <w:rPr>
                      <w:rFonts w:hint="default"/>
                      <w:color w:val="auto"/>
                      <w:lang w:val="en-US" w:eastAsia="zh-CN"/>
                    </w:rPr>
                    <w:t>/</w:t>
                  </w:r>
                </w:p>
              </w:tc>
              <w:tc>
                <w:tcPr>
                  <w:tcW w:w="728" w:type="pct"/>
                  <w:tcBorders>
                    <w:top w:val="single" w:color="auto" w:sz="6" w:space="0"/>
                    <w:left w:val="single" w:color="auto" w:sz="6" w:space="0"/>
                    <w:bottom w:val="single" w:color="auto" w:sz="6" w:space="0"/>
                    <w:right w:val="single" w:color="auto" w:sz="6" w:space="0"/>
                  </w:tcBorders>
                  <w:shd w:val="clear" w:color="auto" w:fill="auto"/>
                  <w:vAlign w:val="center"/>
                </w:tcPr>
                <w:p w14:paraId="1C3F324A">
                  <w:pPr>
                    <w:pStyle w:val="21"/>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1</w:t>
                  </w:r>
                </w:p>
              </w:tc>
              <w:tc>
                <w:tcPr>
                  <w:tcW w:w="864" w:type="pct"/>
                  <w:tcBorders>
                    <w:top w:val="single" w:color="auto" w:sz="6" w:space="0"/>
                    <w:left w:val="single" w:color="auto" w:sz="6" w:space="0"/>
                    <w:bottom w:val="single" w:color="auto" w:sz="6" w:space="0"/>
                    <w:right w:val="nil"/>
                  </w:tcBorders>
                  <w:shd w:val="clear" w:color="auto" w:fill="auto"/>
                  <w:vAlign w:val="center"/>
                </w:tcPr>
                <w:p w14:paraId="2ABA165A">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0.3</w:t>
                  </w:r>
                </w:p>
              </w:tc>
            </w:tr>
            <w:tr w14:paraId="3A0026D0">
              <w:tblPrEx>
                <w:tblBorders>
                  <w:top w:val="single" w:color="auto" w:sz="12" w:space="0"/>
                  <w:left w:val="none" w:color="auto" w:sz="6" w:space="0"/>
                  <w:bottom w:val="single" w:color="auto" w:sz="12" w:space="0"/>
                  <w:right w:val="none" w:color="auto" w:sz="6"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240" w:hRule="atLeast"/>
              </w:trPr>
              <w:tc>
                <w:tcPr>
                  <w:tcW w:w="1224" w:type="pct"/>
                  <w:tcBorders>
                    <w:top w:val="single" w:color="auto" w:sz="6" w:space="0"/>
                    <w:left w:val="nil"/>
                    <w:bottom w:val="single" w:color="auto" w:sz="6" w:space="0"/>
                    <w:right w:val="single" w:color="auto" w:sz="6" w:space="0"/>
                  </w:tcBorders>
                  <w:shd w:val="clear" w:color="auto" w:fill="auto"/>
                  <w:vAlign w:val="center"/>
                </w:tcPr>
                <w:p w14:paraId="71F15E96">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废化学品包装桶</w:t>
                  </w:r>
                </w:p>
              </w:tc>
              <w:tc>
                <w:tcPr>
                  <w:tcW w:w="801" w:type="pct"/>
                  <w:tcBorders>
                    <w:top w:val="single" w:color="auto" w:sz="6" w:space="0"/>
                    <w:left w:val="single" w:color="auto" w:sz="6" w:space="0"/>
                    <w:bottom w:val="single" w:color="auto" w:sz="6" w:space="0"/>
                    <w:right w:val="single" w:color="auto" w:sz="6" w:space="0"/>
                  </w:tcBorders>
                  <w:shd w:val="clear" w:color="auto" w:fill="auto"/>
                  <w:vAlign w:val="center"/>
                </w:tcPr>
                <w:p w14:paraId="3B696BA4">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0.05</w:t>
                  </w:r>
                </w:p>
              </w:tc>
              <w:tc>
                <w:tcPr>
                  <w:tcW w:w="655" w:type="pct"/>
                  <w:tcBorders>
                    <w:top w:val="single" w:color="auto" w:sz="6" w:space="0"/>
                    <w:left w:val="single" w:color="auto" w:sz="6" w:space="0"/>
                    <w:bottom w:val="single" w:color="auto" w:sz="6" w:space="0"/>
                    <w:right w:val="single" w:color="auto" w:sz="6" w:space="0"/>
                  </w:tcBorders>
                  <w:shd w:val="clear" w:color="auto" w:fill="auto"/>
                  <w:vAlign w:val="center"/>
                </w:tcPr>
                <w:p w14:paraId="3A7B0E1D">
                  <w:pPr>
                    <w:pStyle w:val="21"/>
                    <w:keepNext w:val="0"/>
                    <w:keepLines w:val="0"/>
                    <w:suppressLineNumbers w:val="0"/>
                    <w:spacing w:before="0" w:beforeAutospacing="0" w:after="0" w:afterAutospacing="0"/>
                    <w:ind w:left="0" w:leftChars="0" w:right="0" w:rightChars="0" w:firstLine="0" w:firstLineChars="0"/>
                    <w:rPr>
                      <w:rFonts w:hint="default"/>
                      <w:color w:val="auto"/>
                    </w:rPr>
                  </w:pPr>
                  <w:r>
                    <w:rPr>
                      <w:rFonts w:hint="eastAsia" w:cs="Times New Roman"/>
                      <w:color w:val="auto"/>
                      <w:sz w:val="21"/>
                      <w:szCs w:val="24"/>
                      <w:highlight w:val="none"/>
                      <w:lang w:val="en-US" w:eastAsia="zh-CN" w:bidi="zh-CN"/>
                    </w:rPr>
                    <w:t>T</w:t>
                  </w:r>
                </w:p>
              </w:tc>
              <w:tc>
                <w:tcPr>
                  <w:tcW w:w="725" w:type="pct"/>
                  <w:tcBorders>
                    <w:top w:val="single" w:color="auto" w:sz="6" w:space="0"/>
                    <w:left w:val="single" w:color="auto" w:sz="6" w:space="0"/>
                    <w:bottom w:val="single" w:color="auto" w:sz="6" w:space="0"/>
                    <w:right w:val="single" w:color="auto" w:sz="6" w:space="0"/>
                  </w:tcBorders>
                  <w:shd w:val="clear" w:color="auto" w:fill="auto"/>
                  <w:vAlign w:val="center"/>
                </w:tcPr>
                <w:p w14:paraId="0F015720">
                  <w:pPr>
                    <w:pStyle w:val="21"/>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w:t>
                  </w:r>
                </w:p>
              </w:tc>
              <w:tc>
                <w:tcPr>
                  <w:tcW w:w="728" w:type="pct"/>
                  <w:tcBorders>
                    <w:top w:val="single" w:color="auto" w:sz="6" w:space="0"/>
                    <w:left w:val="single" w:color="auto" w:sz="6" w:space="0"/>
                    <w:bottom w:val="single" w:color="auto" w:sz="6" w:space="0"/>
                    <w:right w:val="single" w:color="auto" w:sz="6" w:space="0"/>
                  </w:tcBorders>
                  <w:shd w:val="clear" w:color="auto" w:fill="auto"/>
                  <w:vAlign w:val="center"/>
                </w:tcPr>
                <w:p w14:paraId="3C96B318">
                  <w:pPr>
                    <w:pStyle w:val="21"/>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w:t>
                  </w:r>
                </w:p>
              </w:tc>
              <w:tc>
                <w:tcPr>
                  <w:tcW w:w="864" w:type="pct"/>
                  <w:tcBorders>
                    <w:top w:val="single" w:color="auto" w:sz="6" w:space="0"/>
                    <w:left w:val="single" w:color="auto" w:sz="6" w:space="0"/>
                    <w:bottom w:val="single" w:color="auto" w:sz="6" w:space="0"/>
                    <w:right w:val="nil"/>
                  </w:tcBorders>
                  <w:shd w:val="clear" w:color="auto" w:fill="auto"/>
                  <w:vAlign w:val="center"/>
                </w:tcPr>
                <w:p w14:paraId="0D458E79">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0.05</w:t>
                  </w:r>
                </w:p>
              </w:tc>
            </w:tr>
            <w:tr w14:paraId="050EE386">
              <w:tblPrEx>
                <w:tblBorders>
                  <w:top w:val="single" w:color="auto" w:sz="12" w:space="0"/>
                  <w:left w:val="none" w:color="auto" w:sz="6" w:space="0"/>
                  <w:bottom w:val="single" w:color="auto" w:sz="12" w:space="0"/>
                  <w:right w:val="none" w:color="auto" w:sz="6"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240" w:hRule="atLeast"/>
              </w:trPr>
              <w:tc>
                <w:tcPr>
                  <w:tcW w:w="1224" w:type="pct"/>
                  <w:tcBorders>
                    <w:top w:val="single" w:color="auto" w:sz="6" w:space="0"/>
                    <w:left w:val="nil"/>
                    <w:bottom w:val="single" w:color="auto" w:sz="6" w:space="0"/>
                    <w:right w:val="single" w:color="auto" w:sz="6" w:space="0"/>
                  </w:tcBorders>
                  <w:shd w:val="clear" w:color="auto" w:fill="auto"/>
                  <w:vAlign w:val="center"/>
                </w:tcPr>
                <w:p w14:paraId="5EFF2EDD">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废机油</w:t>
                  </w:r>
                </w:p>
              </w:tc>
              <w:tc>
                <w:tcPr>
                  <w:tcW w:w="801" w:type="pct"/>
                  <w:tcBorders>
                    <w:top w:val="single" w:color="auto" w:sz="6" w:space="0"/>
                    <w:left w:val="single" w:color="auto" w:sz="6" w:space="0"/>
                    <w:bottom w:val="single" w:color="auto" w:sz="6" w:space="0"/>
                    <w:right w:val="single" w:color="auto" w:sz="6" w:space="0"/>
                  </w:tcBorders>
                  <w:shd w:val="clear" w:color="auto" w:fill="auto"/>
                  <w:vAlign w:val="center"/>
                </w:tcPr>
                <w:p w14:paraId="59F1399B">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11.4</w:t>
                  </w:r>
                </w:p>
              </w:tc>
              <w:tc>
                <w:tcPr>
                  <w:tcW w:w="655" w:type="pct"/>
                  <w:tcBorders>
                    <w:top w:val="single" w:color="auto" w:sz="6" w:space="0"/>
                    <w:left w:val="single" w:color="auto" w:sz="6" w:space="0"/>
                    <w:bottom w:val="single" w:color="auto" w:sz="6" w:space="0"/>
                    <w:right w:val="single" w:color="auto" w:sz="6" w:space="0"/>
                  </w:tcBorders>
                  <w:shd w:val="clear" w:color="auto" w:fill="auto"/>
                  <w:vAlign w:val="center"/>
                </w:tcPr>
                <w:p w14:paraId="1C531DE8">
                  <w:pPr>
                    <w:pStyle w:val="21"/>
                    <w:keepNext w:val="0"/>
                    <w:keepLines w:val="0"/>
                    <w:suppressLineNumbers w:val="0"/>
                    <w:spacing w:before="0" w:beforeAutospacing="0" w:after="0" w:afterAutospacing="0"/>
                    <w:ind w:left="0" w:leftChars="0" w:right="0" w:rightChars="0" w:firstLine="0" w:firstLineChars="0"/>
                    <w:rPr>
                      <w:rFonts w:hint="default"/>
                      <w:color w:val="auto"/>
                    </w:rPr>
                  </w:pPr>
                  <w:r>
                    <w:rPr>
                      <w:rFonts w:hint="eastAsia" w:cs="Times New Roman"/>
                      <w:color w:val="auto"/>
                      <w:sz w:val="21"/>
                      <w:szCs w:val="24"/>
                      <w:highlight w:val="none"/>
                      <w:lang w:val="en-US" w:eastAsia="zh-CN" w:bidi="zh-CN"/>
                    </w:rPr>
                    <w:t>T,I</w:t>
                  </w:r>
                </w:p>
              </w:tc>
              <w:tc>
                <w:tcPr>
                  <w:tcW w:w="725" w:type="pct"/>
                  <w:tcBorders>
                    <w:top w:val="single" w:color="auto" w:sz="6" w:space="0"/>
                    <w:left w:val="single" w:color="auto" w:sz="6" w:space="0"/>
                    <w:bottom w:val="single" w:color="auto" w:sz="6" w:space="0"/>
                    <w:right w:val="single" w:color="auto" w:sz="6" w:space="0"/>
                  </w:tcBorders>
                  <w:shd w:val="clear" w:color="auto" w:fill="auto"/>
                  <w:vAlign w:val="center"/>
                </w:tcPr>
                <w:p w14:paraId="032AA9EF">
                  <w:pPr>
                    <w:pStyle w:val="21"/>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w:t>
                  </w:r>
                </w:p>
              </w:tc>
              <w:tc>
                <w:tcPr>
                  <w:tcW w:w="728" w:type="pct"/>
                  <w:tcBorders>
                    <w:top w:val="single" w:color="auto" w:sz="6" w:space="0"/>
                    <w:left w:val="single" w:color="auto" w:sz="6" w:space="0"/>
                    <w:bottom w:val="single" w:color="auto" w:sz="6" w:space="0"/>
                    <w:right w:val="single" w:color="auto" w:sz="6" w:space="0"/>
                  </w:tcBorders>
                  <w:shd w:val="clear" w:color="auto" w:fill="auto"/>
                  <w:vAlign w:val="center"/>
                </w:tcPr>
                <w:p w14:paraId="26AD2CC6">
                  <w:pPr>
                    <w:pStyle w:val="21"/>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0.5</w:t>
                  </w:r>
                </w:p>
              </w:tc>
              <w:tc>
                <w:tcPr>
                  <w:tcW w:w="864" w:type="pct"/>
                  <w:tcBorders>
                    <w:top w:val="single" w:color="auto" w:sz="6" w:space="0"/>
                    <w:left w:val="single" w:color="auto" w:sz="6" w:space="0"/>
                    <w:bottom w:val="single" w:color="auto" w:sz="6" w:space="0"/>
                    <w:right w:val="nil"/>
                  </w:tcBorders>
                  <w:shd w:val="clear" w:color="auto" w:fill="auto"/>
                  <w:vAlign w:val="center"/>
                </w:tcPr>
                <w:p w14:paraId="6AA531C7">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11.4</w:t>
                  </w:r>
                </w:p>
              </w:tc>
            </w:tr>
            <w:tr w14:paraId="2700C078">
              <w:tblPrEx>
                <w:tblBorders>
                  <w:top w:val="single" w:color="auto" w:sz="12" w:space="0"/>
                  <w:left w:val="none" w:color="auto" w:sz="6" w:space="0"/>
                  <w:bottom w:val="single" w:color="auto" w:sz="12" w:space="0"/>
                  <w:right w:val="none" w:color="auto" w:sz="6"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240" w:hRule="atLeast"/>
              </w:trPr>
              <w:tc>
                <w:tcPr>
                  <w:tcW w:w="1224" w:type="pct"/>
                  <w:tcBorders>
                    <w:top w:val="single" w:color="auto" w:sz="6" w:space="0"/>
                    <w:left w:val="nil"/>
                    <w:bottom w:val="single" w:color="auto" w:sz="6" w:space="0"/>
                    <w:right w:val="single" w:color="auto" w:sz="6" w:space="0"/>
                  </w:tcBorders>
                  <w:shd w:val="clear" w:color="auto" w:fill="auto"/>
                  <w:vAlign w:val="center"/>
                </w:tcPr>
                <w:p w14:paraId="091F9F4E">
                  <w:pPr>
                    <w:pStyle w:val="21"/>
                    <w:keepNext w:val="0"/>
                    <w:keepLines w:val="0"/>
                    <w:suppressLineNumbers w:val="0"/>
                    <w:spacing w:before="0" w:beforeAutospacing="0" w:after="0" w:afterAutospacing="0"/>
                    <w:ind w:left="0" w:leftChars="0" w:right="0" w:rightChars="0" w:firstLine="0" w:firstLineChars="0"/>
                    <w:rPr>
                      <w:rFonts w:hint="eastAsia"/>
                      <w:color w:val="auto"/>
                      <w:highlight w:val="none"/>
                      <w:lang w:val="en-US" w:eastAsia="zh-CN"/>
                    </w:rPr>
                  </w:pPr>
                  <w:r>
                    <w:rPr>
                      <w:rFonts w:hint="eastAsia"/>
                      <w:color w:val="auto"/>
                      <w:highlight w:val="none"/>
                      <w:lang w:val="en-US" w:eastAsia="zh-CN"/>
                    </w:rPr>
                    <w:t>含油废液</w:t>
                  </w:r>
                </w:p>
              </w:tc>
              <w:tc>
                <w:tcPr>
                  <w:tcW w:w="801" w:type="pct"/>
                  <w:tcBorders>
                    <w:top w:val="single" w:color="auto" w:sz="6" w:space="0"/>
                    <w:left w:val="single" w:color="auto" w:sz="6" w:space="0"/>
                    <w:bottom w:val="single" w:color="auto" w:sz="6" w:space="0"/>
                    <w:right w:val="single" w:color="auto" w:sz="6" w:space="0"/>
                  </w:tcBorders>
                  <w:shd w:val="clear" w:color="auto" w:fill="auto"/>
                  <w:vAlign w:val="center"/>
                </w:tcPr>
                <w:p w14:paraId="719A9D30">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w:t>
                  </w:r>
                </w:p>
              </w:tc>
              <w:tc>
                <w:tcPr>
                  <w:tcW w:w="655" w:type="pct"/>
                  <w:tcBorders>
                    <w:top w:val="single" w:color="auto" w:sz="6" w:space="0"/>
                    <w:left w:val="single" w:color="auto" w:sz="6" w:space="0"/>
                    <w:bottom w:val="single" w:color="auto" w:sz="6" w:space="0"/>
                    <w:right w:val="single" w:color="auto" w:sz="6" w:space="0"/>
                  </w:tcBorders>
                  <w:shd w:val="clear" w:color="auto" w:fill="auto"/>
                  <w:vAlign w:val="center"/>
                </w:tcPr>
                <w:p w14:paraId="200BCD57">
                  <w:pPr>
                    <w:pStyle w:val="21"/>
                    <w:keepNext w:val="0"/>
                    <w:keepLines w:val="0"/>
                    <w:suppressLineNumbers w:val="0"/>
                    <w:spacing w:before="0" w:beforeAutospacing="0" w:after="0" w:afterAutospacing="0"/>
                    <w:ind w:left="0" w:leftChars="0" w:right="0" w:rightChars="0" w:firstLine="0" w:firstLineChars="0"/>
                    <w:rPr>
                      <w:rFonts w:hint="eastAsia"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T</w:t>
                  </w:r>
                </w:p>
              </w:tc>
              <w:tc>
                <w:tcPr>
                  <w:tcW w:w="725" w:type="pct"/>
                  <w:tcBorders>
                    <w:top w:val="single" w:color="auto" w:sz="6" w:space="0"/>
                    <w:left w:val="single" w:color="auto" w:sz="6" w:space="0"/>
                    <w:bottom w:val="single" w:color="auto" w:sz="6" w:space="0"/>
                    <w:right w:val="single" w:color="auto" w:sz="6" w:space="0"/>
                  </w:tcBorders>
                  <w:shd w:val="clear" w:color="auto" w:fill="auto"/>
                  <w:vAlign w:val="center"/>
                </w:tcPr>
                <w:p w14:paraId="74E081A9">
                  <w:pPr>
                    <w:pStyle w:val="21"/>
                    <w:keepNext w:val="0"/>
                    <w:keepLines w:val="0"/>
                    <w:suppressLineNumbers w:val="0"/>
                    <w:bidi w:val="0"/>
                    <w:spacing w:before="0" w:beforeAutospacing="0" w:after="0" w:afterAutospacing="0"/>
                    <w:ind w:left="0" w:right="0"/>
                    <w:rPr>
                      <w:rFonts w:hint="default"/>
                      <w:color w:val="auto"/>
                      <w:lang w:val="en-US" w:eastAsia="zh-CN"/>
                    </w:rPr>
                  </w:pPr>
                </w:p>
              </w:tc>
              <w:tc>
                <w:tcPr>
                  <w:tcW w:w="728" w:type="pct"/>
                  <w:tcBorders>
                    <w:top w:val="single" w:color="auto" w:sz="6" w:space="0"/>
                    <w:left w:val="single" w:color="auto" w:sz="6" w:space="0"/>
                    <w:bottom w:val="single" w:color="auto" w:sz="6" w:space="0"/>
                    <w:right w:val="single" w:color="auto" w:sz="6" w:space="0"/>
                  </w:tcBorders>
                  <w:shd w:val="clear" w:color="auto" w:fill="auto"/>
                  <w:vAlign w:val="center"/>
                </w:tcPr>
                <w:p w14:paraId="4E4421DA">
                  <w:pPr>
                    <w:pStyle w:val="21"/>
                    <w:keepNext w:val="0"/>
                    <w:keepLines w:val="0"/>
                    <w:suppressLineNumbers w:val="0"/>
                    <w:bidi w:val="0"/>
                    <w:spacing w:before="0" w:beforeAutospacing="0" w:after="0" w:afterAutospacing="0"/>
                    <w:ind w:left="0" w:right="0"/>
                    <w:rPr>
                      <w:rFonts w:hint="default"/>
                      <w:color w:val="auto"/>
                      <w:lang w:val="en-US" w:eastAsia="zh-CN"/>
                    </w:rPr>
                  </w:pPr>
                </w:p>
              </w:tc>
              <w:tc>
                <w:tcPr>
                  <w:tcW w:w="864" w:type="pct"/>
                  <w:tcBorders>
                    <w:top w:val="single" w:color="auto" w:sz="6" w:space="0"/>
                    <w:left w:val="single" w:color="auto" w:sz="6" w:space="0"/>
                    <w:bottom w:val="single" w:color="auto" w:sz="6" w:space="0"/>
                    <w:right w:val="nil"/>
                  </w:tcBorders>
                  <w:shd w:val="clear" w:color="auto" w:fill="auto"/>
                  <w:vAlign w:val="center"/>
                </w:tcPr>
                <w:p w14:paraId="67518530">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w:t>
                  </w:r>
                </w:p>
              </w:tc>
            </w:tr>
            <w:tr w14:paraId="24EF4FB6">
              <w:tblPrEx>
                <w:tblBorders>
                  <w:top w:val="single" w:color="auto" w:sz="12" w:space="0"/>
                  <w:left w:val="none" w:color="auto" w:sz="6" w:space="0"/>
                  <w:bottom w:val="single" w:color="auto" w:sz="12" w:space="0"/>
                  <w:right w:val="none" w:color="auto" w:sz="6"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240" w:hRule="atLeast"/>
              </w:trPr>
              <w:tc>
                <w:tcPr>
                  <w:tcW w:w="1224" w:type="pct"/>
                  <w:tcBorders>
                    <w:top w:val="single" w:color="auto" w:sz="6" w:space="0"/>
                    <w:left w:val="nil"/>
                    <w:bottom w:val="single" w:color="auto" w:sz="6" w:space="0"/>
                    <w:right w:val="single" w:color="auto" w:sz="6" w:space="0"/>
                  </w:tcBorders>
                  <w:shd w:val="clear" w:color="auto" w:fill="auto"/>
                  <w:vAlign w:val="center"/>
                </w:tcPr>
                <w:p w14:paraId="214B6D5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废活性炭</w:t>
                  </w:r>
                </w:p>
              </w:tc>
              <w:tc>
                <w:tcPr>
                  <w:tcW w:w="801" w:type="pct"/>
                  <w:tcBorders>
                    <w:top w:val="single" w:color="auto" w:sz="6" w:space="0"/>
                    <w:left w:val="single" w:color="auto" w:sz="6" w:space="0"/>
                    <w:bottom w:val="single" w:color="auto" w:sz="6" w:space="0"/>
                    <w:right w:val="single" w:color="auto" w:sz="6" w:space="0"/>
                  </w:tcBorders>
                  <w:shd w:val="clear" w:color="auto" w:fill="auto"/>
                  <w:vAlign w:val="center"/>
                </w:tcPr>
                <w:p w14:paraId="071A457A">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26.3</w:t>
                  </w:r>
                </w:p>
              </w:tc>
              <w:tc>
                <w:tcPr>
                  <w:tcW w:w="655" w:type="pct"/>
                  <w:tcBorders>
                    <w:top w:val="single" w:color="auto" w:sz="6" w:space="0"/>
                    <w:left w:val="single" w:color="auto" w:sz="6" w:space="0"/>
                    <w:bottom w:val="single" w:color="auto" w:sz="6" w:space="0"/>
                    <w:right w:val="single" w:color="auto" w:sz="6" w:space="0"/>
                  </w:tcBorders>
                  <w:shd w:val="clear" w:color="auto" w:fill="auto"/>
                  <w:vAlign w:val="center"/>
                </w:tcPr>
                <w:p w14:paraId="130C42EE">
                  <w:pPr>
                    <w:pStyle w:val="21"/>
                    <w:keepNext w:val="0"/>
                    <w:keepLines w:val="0"/>
                    <w:suppressLineNumbers w:val="0"/>
                    <w:spacing w:before="0" w:beforeAutospacing="0" w:after="0" w:afterAutospacing="0"/>
                    <w:ind w:left="0" w:leftChars="0" w:right="0" w:rightChars="0" w:firstLine="0" w:firstLineChars="0"/>
                    <w:rPr>
                      <w:rFonts w:hint="eastAsia"/>
                      <w:color w:val="auto"/>
                    </w:rPr>
                  </w:pPr>
                  <w:r>
                    <w:rPr>
                      <w:rFonts w:hint="eastAsia" w:cs="Times New Roman"/>
                      <w:color w:val="auto"/>
                      <w:sz w:val="21"/>
                      <w:szCs w:val="24"/>
                      <w:highlight w:val="none"/>
                      <w:lang w:val="en-US" w:eastAsia="zh-CN" w:bidi="zh-CN"/>
                    </w:rPr>
                    <w:t>T</w:t>
                  </w:r>
                </w:p>
              </w:tc>
              <w:tc>
                <w:tcPr>
                  <w:tcW w:w="725" w:type="pct"/>
                  <w:tcBorders>
                    <w:top w:val="single" w:color="auto" w:sz="6" w:space="0"/>
                    <w:left w:val="single" w:color="auto" w:sz="6" w:space="0"/>
                    <w:bottom w:val="single" w:color="auto" w:sz="6" w:space="0"/>
                    <w:right w:val="single" w:color="auto" w:sz="6" w:space="0"/>
                  </w:tcBorders>
                  <w:shd w:val="clear" w:color="auto" w:fill="auto"/>
                  <w:vAlign w:val="center"/>
                </w:tcPr>
                <w:p w14:paraId="18E5B703">
                  <w:pPr>
                    <w:pStyle w:val="21"/>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w:t>
                  </w:r>
                </w:p>
              </w:tc>
              <w:tc>
                <w:tcPr>
                  <w:tcW w:w="728" w:type="pct"/>
                  <w:tcBorders>
                    <w:top w:val="single" w:color="auto" w:sz="6" w:space="0"/>
                    <w:left w:val="single" w:color="auto" w:sz="6" w:space="0"/>
                    <w:bottom w:val="single" w:color="auto" w:sz="6" w:space="0"/>
                    <w:right w:val="single" w:color="auto" w:sz="6" w:space="0"/>
                  </w:tcBorders>
                  <w:shd w:val="clear" w:color="auto" w:fill="auto"/>
                  <w:vAlign w:val="center"/>
                </w:tcPr>
                <w:p w14:paraId="7CC18EA1">
                  <w:pPr>
                    <w:pStyle w:val="21"/>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w:t>
                  </w:r>
                </w:p>
              </w:tc>
              <w:tc>
                <w:tcPr>
                  <w:tcW w:w="864" w:type="pct"/>
                  <w:tcBorders>
                    <w:top w:val="single" w:color="auto" w:sz="6" w:space="0"/>
                    <w:left w:val="single" w:color="auto" w:sz="6" w:space="0"/>
                    <w:bottom w:val="single" w:color="auto" w:sz="6" w:space="0"/>
                    <w:right w:val="nil"/>
                  </w:tcBorders>
                  <w:shd w:val="clear" w:color="auto" w:fill="auto"/>
                  <w:vAlign w:val="center"/>
                </w:tcPr>
                <w:p w14:paraId="23A52FBE">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26.3</w:t>
                  </w:r>
                </w:p>
              </w:tc>
            </w:tr>
          </w:tbl>
          <w:p w14:paraId="5E3EF299">
            <w:pPr>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对照《江苏省危险废物集中收集体系建设工作方案（试行）》（苏环办〔2021〕290号）附录2《危险废物产生单位分类管理要求》，属于重点源单位。</w:t>
            </w:r>
          </w:p>
          <w:p w14:paraId="6C7EE1BC">
            <w:pPr>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重点源单位危险废物管理要求：</w:t>
            </w:r>
          </w:p>
          <w:p w14:paraId="6CAD3CF8">
            <w:pPr>
              <w:keepNext w:val="0"/>
              <w:keepLines w:val="0"/>
              <w:suppressLineNumbers w:val="0"/>
              <w:bidi w:val="0"/>
              <w:spacing w:before="0" w:beforeAutospacing="0" w:after="0" w:afterAutospacing="0"/>
              <w:ind w:left="0" w:right="0"/>
              <w:rPr>
                <w:rFonts w:hint="eastAsia"/>
                <w:color w:val="auto"/>
                <w:lang w:eastAsia="zh-CN"/>
              </w:rPr>
            </w:pPr>
            <w:r>
              <w:rPr>
                <w:rFonts w:hint="eastAsia"/>
                <w:color w:val="auto"/>
                <w:lang w:eastAsia="zh-CN"/>
              </w:rPr>
              <w:t>危险废物重点源单位应严格按照国家和地方相关法律法规、制度标准、技术规范等规定进行管理。与此同时，满足下列要求：</w:t>
            </w:r>
          </w:p>
          <w:p w14:paraId="5544A230">
            <w:pPr>
              <w:keepNext w:val="0"/>
              <w:keepLines w:val="0"/>
              <w:suppressLineNumbers w:val="0"/>
              <w:bidi w:val="0"/>
              <w:spacing w:before="0" w:beforeAutospacing="0" w:after="0" w:afterAutospacing="0"/>
              <w:ind w:left="0" w:right="0"/>
              <w:rPr>
                <w:rFonts w:hint="eastAsia"/>
                <w:color w:val="auto"/>
                <w:lang w:eastAsia="zh-CN"/>
              </w:rPr>
            </w:pPr>
            <w:r>
              <w:rPr>
                <w:rFonts w:hint="eastAsia"/>
                <w:color w:val="auto"/>
                <w:lang w:eastAsia="zh-CN"/>
              </w:rPr>
              <w:t>①产生工业固体废物的单位应当建立、健全污染环境防治责任制度，采取防治工业固体废物污染环境的措施；</w:t>
            </w:r>
          </w:p>
          <w:p w14:paraId="65538F4C">
            <w:pPr>
              <w:keepNext w:val="0"/>
              <w:keepLines w:val="0"/>
              <w:suppressLineNumbers w:val="0"/>
              <w:bidi w:val="0"/>
              <w:spacing w:before="0" w:beforeAutospacing="0" w:after="0" w:afterAutospacing="0"/>
              <w:ind w:left="0" w:right="0"/>
              <w:rPr>
                <w:rFonts w:hint="eastAsia"/>
                <w:color w:val="auto"/>
                <w:lang w:eastAsia="zh-CN"/>
              </w:rPr>
            </w:pPr>
            <w:r>
              <w:rPr>
                <w:rFonts w:hint="eastAsia"/>
                <w:color w:val="auto"/>
                <w:lang w:eastAsia="zh-CN"/>
              </w:rPr>
              <w:t>②危险废物的容器和包装物必须设置危险废物识别标志；</w:t>
            </w:r>
          </w:p>
          <w:p w14:paraId="50E6213C">
            <w:pPr>
              <w:keepNext w:val="0"/>
              <w:keepLines w:val="0"/>
              <w:suppressLineNumbers w:val="0"/>
              <w:bidi w:val="0"/>
              <w:spacing w:before="0" w:beforeAutospacing="0" w:after="0" w:afterAutospacing="0"/>
              <w:ind w:left="0" w:right="0"/>
              <w:rPr>
                <w:rFonts w:hint="eastAsia"/>
                <w:color w:val="auto"/>
                <w:lang w:eastAsia="zh-CN"/>
              </w:rPr>
            </w:pPr>
            <w:r>
              <w:rPr>
                <w:rFonts w:hint="eastAsia"/>
                <w:color w:val="auto"/>
                <w:lang w:eastAsia="zh-CN"/>
              </w:rPr>
              <w:t>③收集、贮存、运输、利用、处置危险废物的设施、场所，必须设置危险废物识别标志；</w:t>
            </w:r>
          </w:p>
          <w:p w14:paraId="7266724E">
            <w:pPr>
              <w:keepNext w:val="0"/>
              <w:keepLines w:val="0"/>
              <w:suppressLineNumbers w:val="0"/>
              <w:bidi w:val="0"/>
              <w:spacing w:before="0" w:beforeAutospacing="0" w:after="0" w:afterAutospacing="0"/>
              <w:ind w:left="0" w:right="0"/>
              <w:rPr>
                <w:rFonts w:hint="eastAsia"/>
                <w:color w:val="auto"/>
                <w:lang w:eastAsia="zh-CN"/>
              </w:rPr>
            </w:pPr>
            <w:r>
              <w:rPr>
                <w:rFonts w:hint="eastAsia"/>
                <w:color w:val="auto"/>
                <w:lang w:eastAsia="zh-CN"/>
              </w:rPr>
              <w:t>④如实地向所在地县级以上地方人民政府环境保护行政主管部门申报危险废物的种类、产生量、流向、贮存、处置等有关资料；</w:t>
            </w:r>
          </w:p>
          <w:p w14:paraId="02CC8F0E">
            <w:pPr>
              <w:keepNext w:val="0"/>
              <w:keepLines w:val="0"/>
              <w:suppressLineNumbers w:val="0"/>
              <w:bidi w:val="0"/>
              <w:spacing w:before="0" w:beforeAutospacing="0" w:after="0" w:afterAutospacing="0"/>
              <w:ind w:left="0" w:right="0"/>
              <w:rPr>
                <w:rFonts w:hint="eastAsia"/>
                <w:color w:val="auto"/>
                <w:lang w:eastAsia="zh-CN"/>
              </w:rPr>
            </w:pPr>
            <w:r>
              <w:rPr>
                <w:rFonts w:hint="eastAsia"/>
                <w:color w:val="auto"/>
                <w:lang w:eastAsia="zh-CN"/>
              </w:rPr>
              <w:t>⑤按照危险废物特性分类进行收集、贮存；</w:t>
            </w:r>
          </w:p>
          <w:p w14:paraId="28860E26">
            <w:pPr>
              <w:keepNext w:val="0"/>
              <w:keepLines w:val="0"/>
              <w:suppressLineNumbers w:val="0"/>
              <w:bidi w:val="0"/>
              <w:spacing w:before="0" w:beforeAutospacing="0" w:after="0" w:afterAutospacing="0"/>
              <w:ind w:left="0" w:right="0"/>
              <w:rPr>
                <w:rFonts w:hint="eastAsia"/>
                <w:color w:val="auto"/>
                <w:lang w:eastAsia="zh-CN"/>
              </w:rPr>
            </w:pPr>
            <w:r>
              <w:rPr>
                <w:rFonts w:hint="eastAsia"/>
                <w:color w:val="auto"/>
                <w:lang w:eastAsia="zh-CN"/>
              </w:rPr>
              <w:t>⑥在转移危险废物前，向环保部门报批危险废物转移计划，并得到批准；</w:t>
            </w:r>
          </w:p>
          <w:p w14:paraId="5F386F5B">
            <w:pPr>
              <w:keepNext w:val="0"/>
              <w:keepLines w:val="0"/>
              <w:suppressLineNumbers w:val="0"/>
              <w:bidi w:val="0"/>
              <w:spacing w:before="0" w:beforeAutospacing="0" w:after="0" w:afterAutospacing="0"/>
              <w:ind w:left="0" w:right="0"/>
              <w:rPr>
                <w:rFonts w:hint="eastAsia"/>
                <w:color w:val="auto"/>
                <w:lang w:eastAsia="zh-CN"/>
              </w:rPr>
            </w:pPr>
            <w:r>
              <w:rPr>
                <w:rFonts w:hint="eastAsia"/>
                <w:color w:val="auto"/>
                <w:lang w:eastAsia="zh-CN"/>
              </w:rPr>
              <w:t>⑦转移危险废物的，按照《危险废物转移管理办法》（部令第23号）有关规定，如实填写转移联单中产生单位栏目，并加盖公章，转移联单保存齐全；</w:t>
            </w:r>
          </w:p>
          <w:p w14:paraId="688C2898">
            <w:pPr>
              <w:keepNext w:val="0"/>
              <w:keepLines w:val="0"/>
              <w:suppressLineNumbers w:val="0"/>
              <w:bidi w:val="0"/>
              <w:spacing w:before="0" w:beforeAutospacing="0" w:after="0" w:afterAutospacing="0"/>
              <w:ind w:left="0" w:right="0"/>
              <w:rPr>
                <w:rFonts w:hint="eastAsia"/>
                <w:color w:val="auto"/>
                <w:lang w:eastAsia="zh-CN"/>
              </w:rPr>
            </w:pPr>
            <w:r>
              <w:rPr>
                <w:rFonts w:hint="eastAsia"/>
                <w:color w:val="auto"/>
                <w:lang w:eastAsia="zh-CN"/>
              </w:rPr>
              <w:t>⑧转移的危险废物，全部提供或委托给持危险废物经营许可证的单位从事收集、贮存、利用、处置的活动；</w:t>
            </w:r>
          </w:p>
          <w:p w14:paraId="7F9D2751">
            <w:pPr>
              <w:keepNext w:val="0"/>
              <w:keepLines w:val="0"/>
              <w:suppressLineNumbers w:val="0"/>
              <w:bidi w:val="0"/>
              <w:spacing w:before="0" w:beforeAutospacing="0" w:after="0" w:afterAutospacing="0"/>
              <w:ind w:left="0" w:right="0"/>
              <w:rPr>
                <w:rFonts w:hint="eastAsia"/>
                <w:color w:val="auto"/>
                <w:lang w:eastAsia="zh-CN"/>
              </w:rPr>
            </w:pPr>
            <w:r>
              <w:rPr>
                <w:rFonts w:hint="eastAsia"/>
                <w:color w:val="auto"/>
                <w:lang w:eastAsia="zh-CN"/>
              </w:rPr>
              <w:t>⑨贮存期限不超过一年，延长贮存期限的，报经环保部门批准。</w:t>
            </w:r>
          </w:p>
          <w:p w14:paraId="06655BB2">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2）运输过程的环境影响分析</w:t>
            </w:r>
          </w:p>
          <w:p w14:paraId="797B7894">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①厂区内产生环节运输到贮存场所过程</w:t>
            </w:r>
          </w:p>
          <w:p w14:paraId="10CDB975">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厂区内运输必须将先将危废密闭置于专用包装物、容器内，防止散落、泄漏；厂区地面均为水泥硬化，一旦因管理疏漏或包装物破损而发生散落、泄漏，要进行及时清理，以免产生二次污染。</w:t>
            </w:r>
          </w:p>
          <w:p w14:paraId="3F50825D">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②危废外运过程</w:t>
            </w:r>
          </w:p>
          <w:p w14:paraId="0EA600DB">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根据《危险废物收集贮存运输技术规范》（HJ2025-2012）、《危险废物转移管理办法》（2022年</w:t>
            </w:r>
            <w:r>
              <w:rPr>
                <w:rFonts w:hint="eastAsia"/>
                <w:color w:val="auto"/>
                <w:lang w:val="en-US"/>
              </w:rPr>
              <w:t>1</w:t>
            </w:r>
            <w:r>
              <w:rPr>
                <w:rFonts w:hint="default"/>
                <w:color w:val="auto"/>
                <w:lang w:val="en-US"/>
              </w:rPr>
              <w:t>月1日）的有关规定，在危险废物外运至处置单位时必须严格遵守以下要求：</w:t>
            </w:r>
          </w:p>
          <w:p w14:paraId="117B8796">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A.《危险废物收集贮存运输技术规范》（HJ2025-2012）</w:t>
            </w:r>
          </w:p>
          <w:p w14:paraId="4B0D378B">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本项目危险废物严格按照《危险废物收集贮存运输技术规范》（HJ2025-2012）中相关要求运输，在厂区内部从产生环节运输到</w:t>
            </w:r>
            <w:r>
              <w:rPr>
                <w:rFonts w:hint="eastAsia"/>
                <w:color w:val="auto"/>
                <w:lang w:val="en-US"/>
              </w:rPr>
              <w:t>危废</w:t>
            </w:r>
            <w:r>
              <w:rPr>
                <w:rFonts w:hint="eastAsia"/>
                <w:color w:val="auto"/>
                <w:lang w:val="en-US" w:eastAsia="zh-CN"/>
              </w:rPr>
              <w:t>暂存点</w:t>
            </w:r>
            <w:r>
              <w:rPr>
                <w:rFonts w:hint="default"/>
                <w:color w:val="auto"/>
                <w:lang w:val="en-US"/>
              </w:rPr>
              <w:t>过程中，由于项目生产车间和</w:t>
            </w:r>
            <w:r>
              <w:rPr>
                <w:rFonts w:hint="eastAsia"/>
                <w:color w:val="auto"/>
                <w:lang w:val="en-US"/>
              </w:rPr>
              <w:t>危废</w:t>
            </w:r>
            <w:r>
              <w:rPr>
                <w:rFonts w:hint="eastAsia"/>
                <w:color w:val="auto"/>
                <w:lang w:val="en-US" w:eastAsia="zh-CN"/>
              </w:rPr>
              <w:t>暂存点</w:t>
            </w:r>
            <w:r>
              <w:rPr>
                <w:rFonts w:hint="default"/>
                <w:color w:val="auto"/>
                <w:lang w:val="en-US"/>
              </w:rPr>
              <w:t>位于同一个</w:t>
            </w:r>
            <w:r>
              <w:rPr>
                <w:rFonts w:hint="eastAsia"/>
                <w:color w:val="auto"/>
                <w:lang w:val="en-US" w:eastAsia="zh-CN"/>
              </w:rPr>
              <w:t>厂房</w:t>
            </w:r>
            <w:r>
              <w:rPr>
                <w:rFonts w:hint="default"/>
                <w:color w:val="auto"/>
                <w:lang w:val="en-US"/>
              </w:rPr>
              <w:t>内，厂内运输过程中严格采取措施防止散落、泄漏</w:t>
            </w:r>
            <w:r>
              <w:rPr>
                <w:rFonts w:hint="eastAsia"/>
                <w:color w:val="auto"/>
                <w:lang w:val="en-US" w:eastAsia="zh-CN"/>
              </w:rPr>
              <w:t>，</w:t>
            </w:r>
            <w:r>
              <w:rPr>
                <w:rFonts w:hint="default"/>
                <w:color w:val="auto"/>
                <w:lang w:val="en-US"/>
              </w:rPr>
              <w:t>不会对人员及</w:t>
            </w:r>
            <w:r>
              <w:rPr>
                <w:rFonts w:hint="eastAsia"/>
                <w:color w:val="auto"/>
                <w:lang w:val="en-US"/>
              </w:rPr>
              <w:t>周边环境</w:t>
            </w:r>
            <w:r>
              <w:rPr>
                <w:rFonts w:hint="default"/>
                <w:color w:val="auto"/>
                <w:lang w:val="en-US"/>
              </w:rPr>
              <w:t>产生影响。</w:t>
            </w:r>
          </w:p>
          <w:p w14:paraId="5518B639">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危险废物从项目厂区运输至有资质的处置单位过程中，将严格按照《危险废物收集贮存运输技术规范》（HJ2025-2012）要求，确保运输过程中不会对运输沿线的敏感点产生影响。</w:t>
            </w:r>
          </w:p>
          <w:p w14:paraId="301383AC">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B.</w:t>
            </w:r>
            <w:r>
              <w:rPr>
                <w:rFonts w:hint="default"/>
                <w:color w:val="auto"/>
                <w:lang w:val="en-US"/>
              </w:rPr>
              <w:t>《危险废物转移管理办法》（2022年</w:t>
            </w:r>
            <w:r>
              <w:rPr>
                <w:rFonts w:hint="eastAsia"/>
                <w:color w:val="auto"/>
                <w:lang w:val="en-US"/>
              </w:rPr>
              <w:t>1</w:t>
            </w:r>
            <w:r>
              <w:rPr>
                <w:rFonts w:hint="default"/>
                <w:color w:val="auto"/>
                <w:lang w:val="en-US"/>
              </w:rPr>
              <w:t>月1日）</w:t>
            </w:r>
          </w:p>
          <w:p w14:paraId="77AF2497">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a.企业危险废物转移须严格按照《危险废物转移管理办法》（2022年</w:t>
            </w:r>
            <w:r>
              <w:rPr>
                <w:rFonts w:hint="eastAsia"/>
                <w:color w:val="auto"/>
                <w:lang w:val="en-US"/>
              </w:rPr>
              <w:t>1</w:t>
            </w:r>
            <w:r>
              <w:rPr>
                <w:rFonts w:hint="default"/>
                <w:color w:val="auto"/>
                <w:lang w:val="en-US"/>
              </w:rPr>
              <w:t>月1日）中相关要求管理。</w:t>
            </w:r>
          </w:p>
          <w:p w14:paraId="151B9D29">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b.对承运人或者</w:t>
            </w:r>
            <w:r>
              <w:rPr>
                <w:rFonts w:hint="eastAsia"/>
                <w:color w:val="auto"/>
                <w:lang w:val="en-US" w:eastAsia="zh-CN"/>
              </w:rPr>
              <w:t>接收</w:t>
            </w:r>
            <w:r>
              <w:rPr>
                <w:rFonts w:hint="default"/>
                <w:color w:val="auto"/>
                <w:lang w:val="en-US"/>
              </w:rPr>
              <w:t>人的主体资格和技术能力进行核实，依法签订书面合同，并在合同中约定运输、贮存、利用、处置危险废物的污染防治要求及相关责任；</w:t>
            </w:r>
          </w:p>
          <w:p w14:paraId="5F68DB60">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c.制定危险废物管理计划，明确拟转移危险废物的种类、重量（数量）和流向等信息；</w:t>
            </w:r>
          </w:p>
          <w:p w14:paraId="54B4D587">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d.建立危险废物管理台账，对转移的危险废物进行计量称重，如实记录、妥善保管转移危险废物的种类、重量（数量）和接收人等相关信息；</w:t>
            </w:r>
          </w:p>
          <w:p w14:paraId="38708C36">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e.填写、运行危险废物转移联单，在危险废物转移联单中如实填写移出人、承运人、</w:t>
            </w:r>
            <w:r>
              <w:rPr>
                <w:rFonts w:hint="eastAsia"/>
                <w:color w:val="auto"/>
                <w:lang w:val="en-US"/>
              </w:rPr>
              <w:t>接收</w:t>
            </w:r>
            <w:r>
              <w:rPr>
                <w:rFonts w:hint="default"/>
                <w:color w:val="auto"/>
                <w:lang w:val="en-US"/>
              </w:rPr>
              <w:t>人信息，转移危险废物的种类、重量（数量）、危险特性等信息，以及突发环境事件的防范措施等；</w:t>
            </w:r>
          </w:p>
          <w:p w14:paraId="50BFCA3C">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f.及时核实</w:t>
            </w:r>
            <w:r>
              <w:rPr>
                <w:rFonts w:hint="eastAsia"/>
                <w:color w:val="auto"/>
                <w:lang w:val="en-US"/>
              </w:rPr>
              <w:t>接收</w:t>
            </w:r>
            <w:r>
              <w:rPr>
                <w:rFonts w:hint="default"/>
                <w:color w:val="auto"/>
                <w:lang w:val="en-US"/>
              </w:rPr>
              <w:t>人贮存、利用或者处置相关危险废物情况。</w:t>
            </w:r>
          </w:p>
          <w:p w14:paraId="68BE38BC">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3）委托利用或处置可行性分析</w:t>
            </w:r>
          </w:p>
          <w:p w14:paraId="64937570">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本项目产生危废，均统一收集后，</w:t>
            </w:r>
            <w:r>
              <w:rPr>
                <w:rFonts w:hint="eastAsia"/>
                <w:color w:val="auto"/>
                <w:highlight w:val="none"/>
                <w:lang w:val="en-US" w:eastAsia="zh-CN"/>
              </w:rPr>
              <w:t>安全</w:t>
            </w:r>
            <w:r>
              <w:rPr>
                <w:rFonts w:hint="default" w:ascii="Times New Roman" w:hAnsi="Times New Roman" w:eastAsia="宋体"/>
                <w:color w:val="auto"/>
                <w:highlight w:val="none"/>
                <w:lang w:val="en-US"/>
              </w:rPr>
              <w:t>暂存，并委托有资质单位处理。</w:t>
            </w:r>
          </w:p>
          <w:p w14:paraId="080D2E2C">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本项目所产生的危险废物主要为废紫外灯管</w:t>
            </w:r>
            <w:r>
              <w:rPr>
                <w:rFonts w:hint="eastAsia"/>
                <w:color w:val="auto"/>
                <w:highlight w:val="none"/>
                <w:lang w:val="en-US" w:eastAsia="zh-CN"/>
              </w:rPr>
              <w:t>（</w:t>
            </w:r>
            <w:r>
              <w:rPr>
                <w:rFonts w:hint="default" w:ascii="Times New Roman" w:hAnsi="Times New Roman" w:eastAsia="宋体"/>
                <w:color w:val="auto"/>
                <w:highlight w:val="none"/>
                <w:lang w:val="en-US"/>
              </w:rPr>
              <w:t>HW29</w:t>
            </w:r>
            <w:r>
              <w:rPr>
                <w:rFonts w:hint="eastAsia" w:ascii="Times New Roman" w:hAnsi="Times New Roman" w:eastAsia="宋体"/>
                <w:color w:val="auto"/>
                <w:highlight w:val="none"/>
                <w:lang w:val="en-US" w:eastAsia="zh-CN"/>
              </w:rPr>
              <w:t>，</w:t>
            </w:r>
            <w:r>
              <w:rPr>
                <w:rFonts w:hint="default" w:ascii="Times New Roman" w:hAnsi="Times New Roman" w:eastAsia="宋体"/>
                <w:color w:val="auto"/>
                <w:highlight w:val="none"/>
                <w:lang w:val="en-US"/>
              </w:rPr>
              <w:t>900-023-29</w:t>
            </w:r>
            <w:r>
              <w:rPr>
                <w:rFonts w:hint="eastAsia"/>
                <w:color w:val="auto"/>
                <w:highlight w:val="none"/>
                <w:lang w:val="en-US" w:eastAsia="zh-CN"/>
              </w:rPr>
              <w:t>）、</w:t>
            </w:r>
            <w:r>
              <w:rPr>
                <w:rFonts w:hint="default" w:ascii="Times New Roman" w:hAnsi="Times New Roman" w:eastAsia="宋体"/>
                <w:color w:val="auto"/>
                <w:highlight w:val="none"/>
                <w:lang w:val="en-US"/>
              </w:rPr>
              <w:t>废机油桶</w:t>
            </w:r>
            <w:r>
              <w:rPr>
                <w:rFonts w:hint="eastAsia"/>
                <w:color w:val="auto"/>
                <w:highlight w:val="none"/>
                <w:lang w:val="en-US" w:eastAsia="zh-CN"/>
              </w:rPr>
              <w:t>（</w:t>
            </w:r>
            <w:r>
              <w:rPr>
                <w:rFonts w:hint="default" w:ascii="Times New Roman" w:hAnsi="Times New Roman" w:eastAsia="宋体"/>
                <w:color w:val="auto"/>
                <w:highlight w:val="none"/>
                <w:lang w:val="en-US"/>
              </w:rPr>
              <w:t>HW08</w:t>
            </w:r>
            <w:r>
              <w:rPr>
                <w:rFonts w:hint="eastAsia" w:ascii="Times New Roman" w:hAnsi="Times New Roman" w:eastAsia="宋体"/>
                <w:color w:val="auto"/>
                <w:highlight w:val="none"/>
                <w:lang w:val="en-US" w:eastAsia="zh-CN"/>
              </w:rPr>
              <w:t>，</w:t>
            </w:r>
            <w:r>
              <w:rPr>
                <w:rFonts w:hint="default" w:ascii="Times New Roman" w:hAnsi="Times New Roman" w:eastAsia="宋体"/>
                <w:color w:val="auto"/>
                <w:highlight w:val="none"/>
                <w:lang w:val="en-US"/>
              </w:rPr>
              <w:t>900-2</w:t>
            </w:r>
            <w:r>
              <w:rPr>
                <w:rFonts w:hint="eastAsia"/>
                <w:color w:val="auto"/>
                <w:highlight w:val="none"/>
                <w:lang w:val="en-US" w:eastAsia="zh-CN"/>
              </w:rPr>
              <w:t>49</w:t>
            </w:r>
            <w:r>
              <w:rPr>
                <w:rFonts w:hint="default" w:ascii="Times New Roman" w:hAnsi="Times New Roman" w:eastAsia="宋体"/>
                <w:color w:val="auto"/>
                <w:highlight w:val="none"/>
                <w:lang w:val="en-US"/>
              </w:rPr>
              <w:t>-08</w:t>
            </w:r>
            <w:r>
              <w:rPr>
                <w:rFonts w:hint="eastAsia"/>
                <w:color w:val="auto"/>
                <w:highlight w:val="none"/>
                <w:lang w:val="en-US" w:eastAsia="zh-CN"/>
              </w:rPr>
              <w:t>）、</w:t>
            </w:r>
            <w:r>
              <w:rPr>
                <w:rFonts w:hint="default" w:ascii="Times New Roman" w:hAnsi="Times New Roman" w:eastAsia="宋体"/>
                <w:color w:val="auto"/>
                <w:highlight w:val="none"/>
                <w:lang w:val="en-US"/>
              </w:rPr>
              <w:t>废化学品包装桶</w:t>
            </w:r>
            <w:r>
              <w:rPr>
                <w:rFonts w:hint="eastAsia"/>
                <w:color w:val="auto"/>
                <w:highlight w:val="none"/>
                <w:lang w:val="en-US" w:eastAsia="zh-CN"/>
              </w:rPr>
              <w:t>（</w:t>
            </w:r>
            <w:r>
              <w:rPr>
                <w:rFonts w:hint="default" w:ascii="Times New Roman" w:hAnsi="Times New Roman" w:eastAsia="宋体"/>
                <w:color w:val="auto"/>
                <w:highlight w:val="none"/>
                <w:lang w:val="en-US"/>
              </w:rPr>
              <w:t>HW49</w:t>
            </w:r>
            <w:r>
              <w:rPr>
                <w:rFonts w:hint="eastAsia" w:ascii="Times New Roman" w:hAnsi="Times New Roman" w:eastAsia="宋体"/>
                <w:color w:val="auto"/>
                <w:highlight w:val="none"/>
                <w:lang w:val="en-US" w:eastAsia="zh-CN"/>
              </w:rPr>
              <w:t>，</w:t>
            </w:r>
            <w:r>
              <w:rPr>
                <w:rFonts w:hint="default" w:ascii="Times New Roman" w:hAnsi="Times New Roman" w:eastAsia="宋体"/>
                <w:color w:val="auto"/>
                <w:highlight w:val="none"/>
                <w:lang w:val="en-US"/>
              </w:rPr>
              <w:t>900-041-49</w:t>
            </w:r>
            <w:r>
              <w:rPr>
                <w:rFonts w:hint="eastAsia"/>
                <w:color w:val="auto"/>
                <w:highlight w:val="none"/>
                <w:lang w:val="en-US" w:eastAsia="zh-CN"/>
              </w:rPr>
              <w:t>）、</w:t>
            </w:r>
            <w:r>
              <w:rPr>
                <w:rFonts w:hint="default" w:ascii="Times New Roman" w:hAnsi="Times New Roman" w:eastAsia="宋体"/>
                <w:color w:val="auto"/>
                <w:highlight w:val="none"/>
                <w:lang w:val="en-US"/>
              </w:rPr>
              <w:t>废机油</w:t>
            </w:r>
            <w:r>
              <w:rPr>
                <w:rFonts w:hint="eastAsia"/>
                <w:color w:val="auto"/>
                <w:highlight w:val="none"/>
                <w:lang w:val="en-US" w:eastAsia="zh-CN"/>
              </w:rPr>
              <w:t>（</w:t>
            </w:r>
            <w:r>
              <w:rPr>
                <w:rFonts w:hint="default" w:ascii="Times New Roman" w:hAnsi="Times New Roman" w:eastAsia="宋体"/>
                <w:color w:val="auto"/>
                <w:highlight w:val="none"/>
                <w:lang w:val="en-US"/>
              </w:rPr>
              <w:t>HW08</w:t>
            </w:r>
            <w:r>
              <w:rPr>
                <w:rFonts w:hint="eastAsia" w:ascii="Times New Roman" w:hAnsi="Times New Roman" w:eastAsia="宋体"/>
                <w:color w:val="auto"/>
                <w:highlight w:val="none"/>
                <w:lang w:val="en-US" w:eastAsia="zh-CN"/>
              </w:rPr>
              <w:t>，</w:t>
            </w:r>
            <w:r>
              <w:rPr>
                <w:rFonts w:hint="default" w:ascii="Times New Roman" w:hAnsi="Times New Roman" w:eastAsia="宋体"/>
                <w:color w:val="auto"/>
                <w:highlight w:val="none"/>
                <w:lang w:val="en-US"/>
              </w:rPr>
              <w:t>900-2</w:t>
            </w:r>
            <w:r>
              <w:rPr>
                <w:rFonts w:hint="eastAsia"/>
                <w:color w:val="auto"/>
                <w:highlight w:val="none"/>
                <w:lang w:val="en-US" w:eastAsia="zh-CN"/>
              </w:rPr>
              <w:t>14</w:t>
            </w:r>
            <w:r>
              <w:rPr>
                <w:rFonts w:hint="default" w:ascii="Times New Roman" w:hAnsi="Times New Roman" w:eastAsia="宋体"/>
                <w:color w:val="auto"/>
                <w:highlight w:val="none"/>
                <w:lang w:val="en-US"/>
              </w:rPr>
              <w:t>-08</w:t>
            </w:r>
            <w:r>
              <w:rPr>
                <w:rFonts w:hint="eastAsia"/>
                <w:color w:val="auto"/>
                <w:highlight w:val="none"/>
                <w:lang w:val="en-US" w:eastAsia="zh-CN"/>
              </w:rPr>
              <w:t>）、</w:t>
            </w:r>
            <w:r>
              <w:rPr>
                <w:rFonts w:hint="default" w:ascii="Times New Roman" w:hAnsi="Times New Roman" w:eastAsia="宋体"/>
                <w:color w:val="auto"/>
                <w:highlight w:val="none"/>
                <w:lang w:val="en-US"/>
              </w:rPr>
              <w:t>废活性炭</w:t>
            </w:r>
            <w:r>
              <w:rPr>
                <w:rFonts w:hint="eastAsia"/>
                <w:color w:val="auto"/>
                <w:highlight w:val="none"/>
                <w:lang w:val="en-US" w:eastAsia="zh-CN"/>
              </w:rPr>
              <w:t>（</w:t>
            </w:r>
            <w:r>
              <w:rPr>
                <w:rFonts w:hint="default" w:ascii="Times New Roman" w:hAnsi="Times New Roman" w:eastAsia="宋体"/>
                <w:color w:val="auto"/>
                <w:highlight w:val="none"/>
                <w:lang w:val="en-US"/>
              </w:rPr>
              <w:t>HW49</w:t>
            </w:r>
            <w:r>
              <w:rPr>
                <w:rFonts w:hint="eastAsia" w:ascii="Times New Roman" w:hAnsi="Times New Roman" w:eastAsia="宋体"/>
                <w:color w:val="auto"/>
                <w:highlight w:val="none"/>
                <w:lang w:val="en-US" w:eastAsia="zh-CN"/>
              </w:rPr>
              <w:t>，</w:t>
            </w:r>
            <w:r>
              <w:rPr>
                <w:rFonts w:hint="default" w:ascii="Times New Roman" w:hAnsi="Times New Roman" w:eastAsia="宋体"/>
                <w:color w:val="auto"/>
                <w:highlight w:val="none"/>
                <w:lang w:val="en-US"/>
              </w:rPr>
              <w:t>900-039-49</w:t>
            </w:r>
            <w:r>
              <w:rPr>
                <w:rFonts w:hint="eastAsia"/>
                <w:color w:val="auto"/>
                <w:highlight w:val="none"/>
                <w:lang w:val="en-US" w:eastAsia="zh-CN"/>
              </w:rPr>
              <w:t>）、含油废液（</w:t>
            </w:r>
            <w:r>
              <w:rPr>
                <w:rFonts w:hint="default" w:ascii="Times New Roman" w:hAnsi="Times New Roman" w:eastAsia="宋体"/>
                <w:color w:val="auto"/>
                <w:highlight w:val="none"/>
                <w:lang w:val="en-US"/>
              </w:rPr>
              <w:t>HW0</w:t>
            </w:r>
            <w:r>
              <w:rPr>
                <w:rFonts w:hint="eastAsia"/>
                <w:color w:val="auto"/>
                <w:highlight w:val="none"/>
                <w:lang w:val="en-US" w:eastAsia="zh-CN"/>
              </w:rPr>
              <w:t>9</w:t>
            </w:r>
            <w:r>
              <w:rPr>
                <w:rFonts w:hint="eastAsia" w:ascii="Times New Roman" w:hAnsi="Times New Roman" w:eastAsia="宋体"/>
                <w:color w:val="auto"/>
                <w:highlight w:val="none"/>
                <w:lang w:val="en-US" w:eastAsia="zh-CN"/>
              </w:rPr>
              <w:t>，</w:t>
            </w:r>
            <w:r>
              <w:rPr>
                <w:rFonts w:hint="default" w:ascii="Times New Roman" w:hAnsi="Times New Roman" w:eastAsia="宋体"/>
                <w:color w:val="auto"/>
                <w:highlight w:val="none"/>
                <w:lang w:val="en-US"/>
              </w:rPr>
              <w:t>900-</w:t>
            </w:r>
            <w:r>
              <w:rPr>
                <w:rFonts w:hint="eastAsia"/>
                <w:color w:val="auto"/>
                <w:highlight w:val="none"/>
                <w:lang w:val="en-US" w:eastAsia="zh-CN"/>
              </w:rPr>
              <w:t>007</w:t>
            </w:r>
            <w:r>
              <w:rPr>
                <w:rFonts w:hint="default" w:ascii="Times New Roman" w:hAnsi="Times New Roman" w:eastAsia="宋体"/>
                <w:color w:val="auto"/>
                <w:highlight w:val="none"/>
                <w:lang w:val="en-US"/>
              </w:rPr>
              <w:t>-0</w:t>
            </w:r>
            <w:r>
              <w:rPr>
                <w:rFonts w:hint="eastAsia"/>
                <w:color w:val="auto"/>
                <w:highlight w:val="none"/>
                <w:lang w:val="en-US" w:eastAsia="zh-CN"/>
              </w:rPr>
              <w:t>9）</w:t>
            </w:r>
            <w:r>
              <w:rPr>
                <w:rFonts w:hint="default" w:ascii="Times New Roman" w:hAnsi="Times New Roman" w:eastAsia="宋体"/>
                <w:color w:val="auto"/>
                <w:highlight w:val="none"/>
                <w:lang w:val="en-US"/>
              </w:rPr>
              <w:t>，可合作的危险废物处置单位有南京卓越环保科技有限公司，本项目产生的危险废物种类在</w:t>
            </w:r>
            <w:r>
              <w:rPr>
                <w:rFonts w:hint="eastAsia" w:ascii="Times New Roman" w:hAnsi="Times New Roman" w:eastAsia="宋体"/>
                <w:color w:val="auto"/>
                <w:highlight w:val="none"/>
                <w:lang w:val="en-US"/>
              </w:rPr>
              <w:t>该</w:t>
            </w:r>
            <w:r>
              <w:rPr>
                <w:rFonts w:hint="default" w:ascii="Times New Roman" w:hAnsi="Times New Roman" w:eastAsia="宋体"/>
                <w:color w:val="auto"/>
                <w:highlight w:val="none"/>
                <w:lang w:val="en-US"/>
              </w:rPr>
              <w:t>单位的核准经营范围之内，且</w:t>
            </w:r>
            <w:r>
              <w:rPr>
                <w:rFonts w:hint="eastAsia" w:ascii="Times New Roman" w:hAnsi="Times New Roman" w:eastAsia="宋体"/>
                <w:color w:val="auto"/>
                <w:highlight w:val="none"/>
                <w:lang w:val="en-US"/>
              </w:rPr>
              <w:t>该</w:t>
            </w:r>
            <w:r>
              <w:rPr>
                <w:rFonts w:hint="default" w:ascii="Times New Roman" w:hAnsi="Times New Roman" w:eastAsia="宋体"/>
                <w:color w:val="auto"/>
                <w:highlight w:val="none"/>
                <w:lang w:val="en-US"/>
              </w:rPr>
              <w:t>公司有足够的余量接纳。</w:t>
            </w:r>
          </w:p>
          <w:p w14:paraId="7CB0F159">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南京卓越环保科技有限公司核准经营范围见下表</w:t>
            </w:r>
            <w:r>
              <w:rPr>
                <w:rFonts w:hint="eastAsia" w:ascii="Times New Roman" w:hAnsi="Times New Roman" w:eastAsia="宋体"/>
                <w:color w:val="auto"/>
                <w:highlight w:val="none"/>
                <w:lang w:val="en-US"/>
              </w:rPr>
              <w:t>：</w:t>
            </w:r>
          </w:p>
          <w:p w14:paraId="2B27D958">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ascii="Times New Roman" w:hAnsi="Times New Roman" w:eastAsia="宋体"/>
                <w:color w:val="auto"/>
                <w:highlight w:val="none"/>
              </w:rPr>
              <w:t>表4-</w:t>
            </w:r>
            <w:r>
              <w:rPr>
                <w:rFonts w:hint="eastAsia" w:ascii="Times New Roman" w:hAnsi="Times New Roman" w:eastAsia="宋体"/>
                <w:color w:val="auto"/>
                <w:highlight w:val="none"/>
                <w:lang w:val="en-US" w:eastAsia="zh-CN"/>
              </w:rPr>
              <w:t>2</w:t>
            </w:r>
            <w:r>
              <w:rPr>
                <w:rFonts w:hint="eastAsia"/>
                <w:color w:val="auto"/>
                <w:highlight w:val="none"/>
                <w:lang w:val="en-US" w:eastAsia="zh-CN"/>
              </w:rPr>
              <w:t>3</w:t>
            </w:r>
            <w:r>
              <w:rPr>
                <w:rFonts w:ascii="Times New Roman" w:hAnsi="Times New Roman" w:eastAsia="宋体"/>
                <w:color w:val="auto"/>
                <w:highlight w:val="none"/>
              </w:rPr>
              <w:t>本项目可委托危险废物处置经营单位表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66"/>
              <w:gridCol w:w="1020"/>
              <w:gridCol w:w="1105"/>
              <w:gridCol w:w="5031"/>
            </w:tblGrid>
            <w:tr w14:paraId="1CCD82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55" w:type="dxa"/>
                  <w:tcBorders>
                    <w:tl2br w:val="nil"/>
                    <w:tr2bl w:val="nil"/>
                  </w:tcBorders>
                  <w:vAlign w:val="center"/>
                </w:tcPr>
                <w:p w14:paraId="32C9E21B">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eastAsia" w:ascii="Times New Roman" w:hAnsi="Times New Roman" w:eastAsia="宋体"/>
                      <w:b/>
                      <w:bCs/>
                      <w:color w:val="auto"/>
                      <w:highlight w:val="none"/>
                      <w:lang w:val="en-US"/>
                    </w:rPr>
                    <w:t>序号</w:t>
                  </w:r>
                </w:p>
              </w:tc>
              <w:tc>
                <w:tcPr>
                  <w:tcW w:w="1004" w:type="dxa"/>
                  <w:tcBorders>
                    <w:tl2br w:val="nil"/>
                    <w:tr2bl w:val="nil"/>
                  </w:tcBorders>
                  <w:vAlign w:val="center"/>
                </w:tcPr>
                <w:p w14:paraId="05F3F72F">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eastAsia" w:ascii="Times New Roman" w:hAnsi="Times New Roman" w:eastAsia="宋体"/>
                      <w:b/>
                      <w:bCs/>
                      <w:color w:val="auto"/>
                      <w:highlight w:val="none"/>
                      <w:lang w:val="en-US"/>
                    </w:rPr>
                    <w:t>企业名称</w:t>
                  </w:r>
                </w:p>
              </w:tc>
              <w:tc>
                <w:tcPr>
                  <w:tcW w:w="1087" w:type="dxa"/>
                  <w:tcBorders>
                    <w:tl2br w:val="nil"/>
                    <w:tr2bl w:val="nil"/>
                  </w:tcBorders>
                  <w:vAlign w:val="center"/>
                </w:tcPr>
                <w:p w14:paraId="7B5E8396">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eastAsia" w:ascii="Times New Roman" w:hAnsi="Times New Roman" w:eastAsia="宋体"/>
                      <w:b/>
                      <w:bCs/>
                      <w:color w:val="auto"/>
                      <w:highlight w:val="none"/>
                      <w:lang w:val="en-US"/>
                    </w:rPr>
                    <w:t>位置</w:t>
                  </w:r>
                </w:p>
              </w:tc>
              <w:tc>
                <w:tcPr>
                  <w:tcW w:w="4949" w:type="dxa"/>
                  <w:tcBorders>
                    <w:tl2br w:val="nil"/>
                    <w:tr2bl w:val="nil"/>
                  </w:tcBorders>
                  <w:vAlign w:val="center"/>
                </w:tcPr>
                <w:p w14:paraId="73EB1690">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eastAsia" w:ascii="Times New Roman" w:hAnsi="Times New Roman" w:eastAsia="宋体"/>
                      <w:b/>
                      <w:bCs/>
                      <w:color w:val="auto"/>
                      <w:highlight w:val="none"/>
                      <w:lang w:val="en-US"/>
                    </w:rPr>
                    <w:t>经营范围</w:t>
                  </w:r>
                </w:p>
              </w:tc>
            </w:tr>
            <w:tr w14:paraId="4C8804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55" w:type="dxa"/>
                  <w:tcBorders>
                    <w:tl2br w:val="nil"/>
                    <w:tr2bl w:val="nil"/>
                  </w:tcBorders>
                  <w:vAlign w:val="center"/>
                </w:tcPr>
                <w:p w14:paraId="1324BE9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1</w:t>
                  </w:r>
                </w:p>
              </w:tc>
              <w:tc>
                <w:tcPr>
                  <w:tcW w:w="1004" w:type="dxa"/>
                  <w:tcBorders>
                    <w:tl2br w:val="nil"/>
                    <w:tr2bl w:val="nil"/>
                  </w:tcBorders>
                  <w:vAlign w:val="center"/>
                </w:tcPr>
                <w:p w14:paraId="03B0E12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南京卓越环保科技有限公司</w:t>
                  </w:r>
                </w:p>
              </w:tc>
              <w:tc>
                <w:tcPr>
                  <w:tcW w:w="1087" w:type="dxa"/>
                  <w:tcBorders>
                    <w:tl2br w:val="nil"/>
                    <w:tr2bl w:val="nil"/>
                  </w:tcBorders>
                  <w:vAlign w:val="center"/>
                </w:tcPr>
                <w:p w14:paraId="33B977E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南京市浦口区星甸街道董庄路</w:t>
                  </w:r>
                  <w:r>
                    <w:rPr>
                      <w:rFonts w:hint="default" w:ascii="Times New Roman" w:hAnsi="Times New Roman" w:eastAsia="宋体"/>
                      <w:color w:val="auto"/>
                      <w:highlight w:val="none"/>
                      <w:lang w:val="en-US"/>
                    </w:rPr>
                    <w:t>9</w:t>
                  </w:r>
                  <w:r>
                    <w:rPr>
                      <w:rFonts w:hint="eastAsia" w:ascii="Times New Roman" w:hAnsi="Times New Roman" w:eastAsia="宋体"/>
                      <w:color w:val="auto"/>
                      <w:highlight w:val="none"/>
                      <w:lang w:val="en-US"/>
                    </w:rPr>
                    <w:t>号</w:t>
                  </w:r>
                </w:p>
              </w:tc>
              <w:tc>
                <w:tcPr>
                  <w:tcW w:w="4949" w:type="dxa"/>
                  <w:tcBorders>
                    <w:tl2br w:val="nil"/>
                    <w:tr2bl w:val="nil"/>
                  </w:tcBorders>
                  <w:vAlign w:val="center"/>
                </w:tcPr>
                <w:p w14:paraId="3A9D7169">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许可证号：JS0100OOI573-2</w:t>
                  </w:r>
                </w:p>
                <w:p w14:paraId="6D395BE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焚烧处置医药废物（</w:t>
                  </w:r>
                  <w:r>
                    <w:rPr>
                      <w:rFonts w:hint="default" w:ascii="Times New Roman" w:hAnsi="Times New Roman" w:eastAsia="宋体"/>
                      <w:color w:val="auto"/>
                      <w:highlight w:val="none"/>
                      <w:lang w:val="en-US"/>
                    </w:rPr>
                    <w:t>HW02</w:t>
                  </w:r>
                  <w:r>
                    <w:rPr>
                      <w:rFonts w:hint="eastAsia" w:ascii="Times New Roman" w:hAnsi="Times New Roman" w:eastAsia="宋体"/>
                      <w:color w:val="auto"/>
                      <w:highlight w:val="none"/>
                      <w:lang w:val="en-US"/>
                    </w:rPr>
                    <w:t>），废药物药品（</w:t>
                  </w:r>
                  <w:r>
                    <w:rPr>
                      <w:rFonts w:hint="default" w:ascii="Times New Roman" w:hAnsi="Times New Roman" w:eastAsia="宋体"/>
                      <w:color w:val="auto"/>
                      <w:highlight w:val="none"/>
                      <w:lang w:val="en-US"/>
                    </w:rPr>
                    <w:t>HW03</w:t>
                  </w:r>
                  <w:r>
                    <w:rPr>
                      <w:rFonts w:hint="eastAsia" w:ascii="Times New Roman" w:hAnsi="Times New Roman" w:eastAsia="宋体"/>
                      <w:color w:val="auto"/>
                      <w:highlight w:val="none"/>
                      <w:lang w:val="en-US"/>
                    </w:rPr>
                    <w:t>），农药废物（</w:t>
                  </w:r>
                  <w:r>
                    <w:rPr>
                      <w:rFonts w:hint="eastAsia"/>
                      <w:color w:val="auto"/>
                      <w:highlight w:val="none"/>
                      <w:lang w:val="en-US" w:eastAsia="zh-CN"/>
                    </w:rPr>
                    <w:t>H</w:t>
                  </w:r>
                  <w:r>
                    <w:rPr>
                      <w:rFonts w:hint="default" w:ascii="Times New Roman" w:hAnsi="Times New Roman" w:eastAsia="宋体"/>
                      <w:color w:val="auto"/>
                      <w:highlight w:val="none"/>
                      <w:lang w:val="en-US"/>
                    </w:rPr>
                    <w:t>W04</w:t>
                  </w:r>
                  <w:r>
                    <w:rPr>
                      <w:rFonts w:hint="eastAsia" w:ascii="Times New Roman" w:hAnsi="Times New Roman" w:eastAsia="宋体"/>
                      <w:color w:val="auto"/>
                      <w:highlight w:val="none"/>
                      <w:lang w:val="en-US"/>
                    </w:rPr>
                    <w:t>，仅限</w:t>
                  </w:r>
                  <w:r>
                    <w:rPr>
                      <w:rFonts w:hint="default" w:ascii="Times New Roman" w:hAnsi="Times New Roman" w:eastAsia="宋体"/>
                      <w:color w:val="auto"/>
                      <w:highlight w:val="none"/>
                      <w:lang w:val="en-US"/>
                    </w:rPr>
                    <w:t>263-002-04</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263-004-04</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263-006-04</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263-008-04</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263-009-04</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263-010-04</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263-011-04</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263-012-04</w:t>
                  </w:r>
                  <w:r>
                    <w:rPr>
                      <w:rFonts w:hint="eastAsia" w:ascii="Times New Roman" w:hAnsi="Times New Roman" w:eastAsia="宋体"/>
                      <w:color w:val="auto"/>
                      <w:highlight w:val="none"/>
                      <w:lang w:val="en-US"/>
                    </w:rPr>
                    <w:t>），木材防腐剂废物（</w:t>
                  </w:r>
                  <w:r>
                    <w:rPr>
                      <w:rFonts w:hint="default" w:ascii="Times New Roman" w:hAnsi="Times New Roman" w:eastAsia="宋体"/>
                      <w:color w:val="auto"/>
                      <w:highlight w:val="none"/>
                      <w:lang w:val="en-US"/>
                    </w:rPr>
                    <w:t>HW05</w:t>
                  </w:r>
                  <w:r>
                    <w:rPr>
                      <w:rFonts w:hint="eastAsia" w:ascii="Times New Roman" w:hAnsi="Times New Roman" w:eastAsia="宋体"/>
                      <w:color w:val="auto"/>
                      <w:highlight w:val="none"/>
                      <w:lang w:val="en-US"/>
                    </w:rPr>
                    <w:t>），废有机溶剂与含有机溶剂废物（</w:t>
                  </w:r>
                  <w:r>
                    <w:rPr>
                      <w:rFonts w:hint="default" w:ascii="Times New Roman" w:hAnsi="Times New Roman" w:eastAsia="宋体"/>
                      <w:color w:val="auto"/>
                      <w:highlight w:val="none"/>
                      <w:lang w:val="en-US"/>
                    </w:rPr>
                    <w:t>HW06</w:t>
                  </w:r>
                  <w:r>
                    <w:rPr>
                      <w:rFonts w:hint="eastAsia" w:ascii="Times New Roman" w:hAnsi="Times New Roman" w:eastAsia="宋体"/>
                      <w:color w:val="auto"/>
                      <w:highlight w:val="none"/>
                      <w:lang w:val="en-US"/>
                    </w:rPr>
                    <w:t>），废矿物油与含矿物油废物（</w:t>
                  </w:r>
                  <w:r>
                    <w:rPr>
                      <w:rFonts w:hint="default" w:ascii="Times New Roman" w:hAnsi="Times New Roman" w:eastAsia="宋体"/>
                      <w:color w:val="auto"/>
                      <w:highlight w:val="none"/>
                      <w:lang w:val="en-US"/>
                    </w:rPr>
                    <w:t>HW08</w:t>
                  </w:r>
                  <w:r>
                    <w:rPr>
                      <w:rFonts w:hint="eastAsia" w:ascii="Times New Roman" w:hAnsi="Times New Roman" w:eastAsia="宋体"/>
                      <w:color w:val="auto"/>
                      <w:highlight w:val="none"/>
                      <w:lang w:val="en-US"/>
                    </w:rPr>
                    <w:t>），油</w:t>
                  </w:r>
                  <w:r>
                    <w:rPr>
                      <w:rFonts w:hint="default" w:ascii="Times New Roman" w:hAnsi="Times New Roman" w:eastAsia="宋体"/>
                      <w:color w:val="auto"/>
                      <w:highlight w:val="none"/>
                      <w:lang w:val="en-US"/>
                    </w:rPr>
                    <w:t>/</w:t>
                  </w:r>
                  <w:r>
                    <w:rPr>
                      <w:rFonts w:hint="eastAsia" w:ascii="Times New Roman" w:hAnsi="Times New Roman" w:eastAsia="宋体"/>
                      <w:color w:val="auto"/>
                      <w:highlight w:val="none"/>
                      <w:lang w:val="en-US"/>
                    </w:rPr>
                    <w:t>水、烃</w:t>
                  </w:r>
                  <w:r>
                    <w:rPr>
                      <w:rFonts w:hint="default" w:ascii="Times New Roman" w:hAnsi="Times New Roman" w:eastAsia="宋体"/>
                      <w:color w:val="auto"/>
                      <w:highlight w:val="none"/>
                      <w:lang w:val="en-US"/>
                    </w:rPr>
                    <w:t>/</w:t>
                  </w:r>
                  <w:r>
                    <w:rPr>
                      <w:rFonts w:hint="eastAsia" w:ascii="Times New Roman" w:hAnsi="Times New Roman" w:eastAsia="宋体"/>
                      <w:color w:val="auto"/>
                      <w:highlight w:val="none"/>
                      <w:lang w:val="en-US"/>
                    </w:rPr>
                    <w:t>水混合物或乳化液（</w:t>
                  </w:r>
                  <w:r>
                    <w:rPr>
                      <w:rFonts w:hint="default" w:ascii="Times New Roman" w:hAnsi="Times New Roman" w:eastAsia="宋体"/>
                      <w:color w:val="auto"/>
                      <w:highlight w:val="none"/>
                      <w:lang w:val="en-US"/>
                    </w:rPr>
                    <w:t>HW09</w:t>
                  </w:r>
                  <w:r>
                    <w:rPr>
                      <w:rFonts w:hint="eastAsia" w:ascii="Times New Roman" w:hAnsi="Times New Roman" w:eastAsia="宋体"/>
                      <w:color w:val="auto"/>
                      <w:highlight w:val="none"/>
                      <w:lang w:val="en-US"/>
                    </w:rPr>
                    <w:t>）、精（蒸）馏残渣（</w:t>
                  </w:r>
                  <w:r>
                    <w:rPr>
                      <w:rFonts w:hint="default" w:ascii="Times New Roman" w:hAnsi="Times New Roman" w:eastAsia="宋体"/>
                      <w:color w:val="auto"/>
                      <w:highlight w:val="none"/>
                      <w:lang w:val="en-US"/>
                    </w:rPr>
                    <w:t>HW11</w:t>
                  </w:r>
                  <w:r>
                    <w:rPr>
                      <w:rFonts w:hint="eastAsia" w:ascii="Times New Roman" w:hAnsi="Times New Roman" w:eastAsia="宋体"/>
                      <w:color w:val="auto"/>
                      <w:highlight w:val="none"/>
                      <w:lang w:val="en-US"/>
                    </w:rPr>
                    <w:t>，仅限</w:t>
                  </w:r>
                  <w:r>
                    <w:rPr>
                      <w:rFonts w:hint="default" w:ascii="Times New Roman" w:hAnsi="Times New Roman" w:eastAsia="宋体"/>
                      <w:color w:val="auto"/>
                      <w:highlight w:val="none"/>
                      <w:lang w:val="en-US"/>
                    </w:rPr>
                    <w:t>251-013-11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252-001-11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252-002-11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252-004-11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252-005-11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252-006-11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252-007-11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252008-11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252-009-11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252-010-11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252-011-11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252012-11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252-013-11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252-014-11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252-015-11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261-007-11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261-008-11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261-009-11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261-010-11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261-011-11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261-012-11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261-013-11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261-014-11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261-016-11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261-017-11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261-018-11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261-021-11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261-022-11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261-023-11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261-024-11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261-025-11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261-026-11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261-027-11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261-028-11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261-029-11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261-031-11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261-032-11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261-033-11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261-034-11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261-035-11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261-100-1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261-101-11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261-106-11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261-109-11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261-110-11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261-113-11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261-1l411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261-115-11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261-16-11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261-117-11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261-118-11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261-119-11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261-120-11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261-121-11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261-122-11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261-123-11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261-124-11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261-125-11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261-126-11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261-127-11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261-128-11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261-129-11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261-13011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261-131-1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261-132-11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261-133-11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261-134-11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261-136-11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450-001-11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450-02-11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450-003-11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772-001-11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900-000-11</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900-013-11</w:t>
                  </w:r>
                  <w:r>
                    <w:rPr>
                      <w:rFonts w:hint="eastAsia" w:ascii="Times New Roman" w:hAnsi="Times New Roman" w:eastAsia="宋体"/>
                      <w:color w:val="auto"/>
                      <w:highlight w:val="none"/>
                      <w:lang w:val="en-US"/>
                    </w:rPr>
                    <w:t>），染料涂料废物（</w:t>
                  </w:r>
                  <w:r>
                    <w:rPr>
                      <w:rFonts w:hint="default" w:ascii="Times New Roman" w:hAnsi="Times New Roman" w:eastAsia="宋体"/>
                      <w:color w:val="auto"/>
                      <w:highlight w:val="none"/>
                      <w:lang w:val="en-US"/>
                    </w:rPr>
                    <w:t>HW12</w:t>
                  </w:r>
                  <w:r>
                    <w:rPr>
                      <w:rFonts w:hint="eastAsia" w:ascii="Times New Roman" w:hAnsi="Times New Roman" w:eastAsia="宋体"/>
                      <w:color w:val="auto"/>
                      <w:highlight w:val="none"/>
                      <w:lang w:val="en-US"/>
                    </w:rPr>
                    <w:t>），有机树脂类废物（</w:t>
                  </w:r>
                  <w:r>
                    <w:rPr>
                      <w:rFonts w:hint="default" w:ascii="Times New Roman" w:hAnsi="Times New Roman" w:eastAsia="宋体"/>
                      <w:color w:val="auto"/>
                      <w:highlight w:val="none"/>
                      <w:lang w:val="en-US"/>
                    </w:rPr>
                    <w:t>HW13</w:t>
                  </w:r>
                  <w:r>
                    <w:rPr>
                      <w:rFonts w:hint="eastAsia" w:ascii="Times New Roman" w:hAnsi="Times New Roman" w:eastAsia="宋体"/>
                      <w:color w:val="auto"/>
                      <w:highlight w:val="none"/>
                      <w:lang w:val="en-US"/>
                    </w:rPr>
                    <w:t>），新化学物质废物（</w:t>
                  </w:r>
                  <w:r>
                    <w:rPr>
                      <w:rFonts w:hint="default" w:ascii="Times New Roman" w:hAnsi="Times New Roman" w:eastAsia="宋体"/>
                      <w:color w:val="auto"/>
                      <w:highlight w:val="none"/>
                      <w:lang w:val="en-US"/>
                    </w:rPr>
                    <w:t>HW14</w:t>
                  </w:r>
                  <w:r>
                    <w:rPr>
                      <w:rFonts w:hint="eastAsia" w:ascii="Times New Roman" w:hAnsi="Times New Roman" w:eastAsia="宋体"/>
                      <w:color w:val="auto"/>
                      <w:highlight w:val="none"/>
                      <w:lang w:val="en-US"/>
                    </w:rPr>
                    <w:t>），感光材料废物（</w:t>
                  </w:r>
                  <w:r>
                    <w:rPr>
                      <w:rFonts w:hint="default" w:ascii="Times New Roman" w:hAnsi="Times New Roman" w:eastAsia="宋体"/>
                      <w:color w:val="auto"/>
                      <w:highlight w:val="none"/>
                      <w:lang w:val="en-US"/>
                    </w:rPr>
                    <w:t>HW16</w:t>
                  </w:r>
                  <w:r>
                    <w:rPr>
                      <w:rFonts w:hint="eastAsia" w:ascii="Times New Roman" w:hAnsi="Times New Roman" w:eastAsia="宋体"/>
                      <w:color w:val="auto"/>
                      <w:highlight w:val="none"/>
                      <w:lang w:val="en-US"/>
                    </w:rPr>
                    <w:t>），含金属羰基化合物废物（</w:t>
                  </w:r>
                  <w:r>
                    <w:rPr>
                      <w:rFonts w:hint="default" w:ascii="Times New Roman" w:hAnsi="Times New Roman" w:eastAsia="宋体"/>
                      <w:color w:val="auto"/>
                      <w:highlight w:val="none"/>
                      <w:lang w:val="en-US"/>
                    </w:rPr>
                    <w:t>HW19</w:t>
                  </w:r>
                  <w:r>
                    <w:rPr>
                      <w:rFonts w:hint="eastAsia" w:ascii="Times New Roman" w:hAnsi="Times New Roman" w:eastAsia="宋体"/>
                      <w:color w:val="auto"/>
                      <w:highlight w:val="none"/>
                      <w:lang w:val="en-US"/>
                    </w:rPr>
                    <w:t>），有机磷化物废物（</w:t>
                  </w:r>
                  <w:r>
                    <w:rPr>
                      <w:rFonts w:hint="default" w:ascii="Times New Roman" w:hAnsi="Times New Roman" w:eastAsia="宋体"/>
                      <w:color w:val="auto"/>
                      <w:highlight w:val="none"/>
                      <w:lang w:val="en-US"/>
                    </w:rPr>
                    <w:t>HW37</w:t>
                  </w:r>
                  <w:r>
                    <w:rPr>
                      <w:rFonts w:hint="eastAsia" w:ascii="Times New Roman" w:hAnsi="Times New Roman" w:eastAsia="宋体"/>
                      <w:color w:val="auto"/>
                      <w:highlight w:val="none"/>
                      <w:lang w:val="en-US"/>
                    </w:rPr>
                    <w:t>），有机氰化物废物（</w:t>
                  </w:r>
                  <w:r>
                    <w:rPr>
                      <w:rFonts w:hint="default" w:ascii="Times New Roman" w:hAnsi="Times New Roman" w:eastAsia="宋体"/>
                      <w:color w:val="auto"/>
                      <w:highlight w:val="none"/>
                      <w:lang w:val="en-US"/>
                    </w:rPr>
                    <w:t>HW38</w:t>
                  </w:r>
                  <w:r>
                    <w:rPr>
                      <w:rFonts w:hint="eastAsia" w:ascii="Times New Roman" w:hAnsi="Times New Roman" w:eastAsia="宋体"/>
                      <w:color w:val="auto"/>
                      <w:highlight w:val="none"/>
                      <w:lang w:val="en-US"/>
                    </w:rPr>
                    <w:t>），含酚废物（</w:t>
                  </w:r>
                  <w:r>
                    <w:rPr>
                      <w:rFonts w:hint="default" w:ascii="Times New Roman" w:hAnsi="Times New Roman" w:eastAsia="宋体"/>
                      <w:color w:val="auto"/>
                      <w:highlight w:val="none"/>
                      <w:lang w:val="en-US"/>
                    </w:rPr>
                    <w:t>HW39</w:t>
                  </w:r>
                  <w:r>
                    <w:rPr>
                      <w:rFonts w:hint="eastAsia" w:ascii="Times New Roman" w:hAnsi="Times New Roman" w:eastAsia="宋体"/>
                      <w:color w:val="auto"/>
                      <w:highlight w:val="none"/>
                      <w:lang w:val="en-US"/>
                    </w:rPr>
                    <w:t>），仅限</w:t>
                  </w:r>
                  <w:r>
                    <w:rPr>
                      <w:rFonts w:hint="default" w:ascii="Times New Roman" w:hAnsi="Times New Roman" w:eastAsia="宋体"/>
                      <w:color w:val="auto"/>
                      <w:highlight w:val="none"/>
                      <w:lang w:val="en-US"/>
                    </w:rPr>
                    <w:t>261-071-39</w:t>
                  </w:r>
                  <w:r>
                    <w:rPr>
                      <w:rFonts w:hint="eastAsia" w:ascii="Times New Roman" w:hAnsi="Times New Roman" w:eastAsia="宋体"/>
                      <w:color w:val="auto"/>
                      <w:highlight w:val="none"/>
                      <w:lang w:val="en-US"/>
                    </w:rPr>
                    <w:t>），含醚废物（</w:t>
                  </w:r>
                  <w:r>
                    <w:rPr>
                      <w:rFonts w:hint="default" w:ascii="Times New Roman" w:hAnsi="Times New Roman" w:eastAsia="宋体"/>
                      <w:color w:val="auto"/>
                      <w:highlight w:val="none"/>
                      <w:lang w:val="en-US"/>
                    </w:rPr>
                    <w:t>HW40</w:t>
                  </w:r>
                  <w:r>
                    <w:rPr>
                      <w:rFonts w:hint="eastAsia" w:ascii="Times New Roman" w:hAnsi="Times New Roman" w:eastAsia="宋体"/>
                      <w:color w:val="auto"/>
                      <w:highlight w:val="none"/>
                      <w:lang w:val="en-US"/>
                    </w:rPr>
                    <w:t>），含有机卤化物废物（</w:t>
                  </w:r>
                  <w:r>
                    <w:rPr>
                      <w:rFonts w:hint="default" w:ascii="Times New Roman" w:hAnsi="Times New Roman" w:eastAsia="宋体"/>
                      <w:color w:val="auto"/>
                      <w:highlight w:val="none"/>
                      <w:lang w:val="en-US"/>
                    </w:rPr>
                    <w:t>HW45</w:t>
                  </w:r>
                  <w:r>
                    <w:rPr>
                      <w:rFonts w:hint="eastAsia" w:ascii="Times New Roman" w:hAnsi="Times New Roman" w:eastAsia="宋体"/>
                      <w:color w:val="auto"/>
                      <w:highlight w:val="none"/>
                      <w:lang w:val="en-US"/>
                    </w:rPr>
                    <w:t>，仅限</w:t>
                  </w:r>
                  <w:r>
                    <w:rPr>
                      <w:rFonts w:hint="default" w:ascii="Times New Roman" w:hAnsi="Times New Roman" w:eastAsia="宋体"/>
                      <w:color w:val="auto"/>
                      <w:highlight w:val="none"/>
                      <w:lang w:val="en-US"/>
                    </w:rPr>
                    <w:t>261-080-45</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261-081-45</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261-08-245</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261-084-45</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261-085-45</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201-086-45</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900-036-45</w:t>
                  </w:r>
                  <w:r>
                    <w:rPr>
                      <w:rFonts w:hint="eastAsia" w:ascii="Times New Roman" w:hAnsi="Times New Roman" w:eastAsia="宋体"/>
                      <w:color w:val="auto"/>
                      <w:highlight w:val="none"/>
                      <w:lang w:val="en-US"/>
                    </w:rPr>
                    <w:t>），其他废物（</w:t>
                  </w:r>
                  <w:r>
                    <w:rPr>
                      <w:rFonts w:hint="default" w:ascii="Times New Roman" w:hAnsi="Times New Roman" w:eastAsia="宋体"/>
                      <w:color w:val="auto"/>
                      <w:highlight w:val="none"/>
                      <w:lang w:val="en-US"/>
                    </w:rPr>
                    <w:t>HW49</w:t>
                  </w:r>
                  <w:r>
                    <w:rPr>
                      <w:rFonts w:hint="eastAsia" w:ascii="Times New Roman" w:hAnsi="Times New Roman" w:eastAsia="宋体"/>
                      <w:color w:val="auto"/>
                      <w:highlight w:val="none"/>
                      <w:lang w:val="en-US"/>
                    </w:rPr>
                    <w:t>，仅限</w:t>
                  </w:r>
                  <w:r>
                    <w:rPr>
                      <w:rFonts w:hint="default" w:ascii="Times New Roman" w:hAnsi="Times New Roman" w:eastAsia="宋体"/>
                      <w:color w:val="auto"/>
                      <w:highlight w:val="none"/>
                      <w:lang w:val="en-US"/>
                    </w:rPr>
                    <w:t>309-001-49</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900-039-49</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900-041-49</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900-042-49</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900-046-49</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900-047-49</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900-999-49</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900-000-49</w:t>
                  </w:r>
                  <w:r>
                    <w:rPr>
                      <w:rFonts w:hint="eastAsia" w:ascii="Times New Roman" w:hAnsi="Times New Roman" w:eastAsia="宋体"/>
                      <w:color w:val="auto"/>
                      <w:highlight w:val="none"/>
                      <w:lang w:val="en-US"/>
                    </w:rPr>
                    <w:t>）、废催化剂（</w:t>
                  </w:r>
                  <w:r>
                    <w:rPr>
                      <w:rFonts w:hint="default" w:ascii="Times New Roman" w:hAnsi="Times New Roman" w:eastAsia="宋体"/>
                      <w:color w:val="auto"/>
                      <w:highlight w:val="none"/>
                      <w:lang w:val="en-US"/>
                    </w:rPr>
                    <w:t>HW50</w:t>
                  </w:r>
                  <w:r>
                    <w:rPr>
                      <w:rFonts w:hint="eastAsia" w:ascii="Times New Roman" w:hAnsi="Times New Roman" w:eastAsia="宋体"/>
                      <w:color w:val="auto"/>
                      <w:highlight w:val="none"/>
                      <w:lang w:val="en-US"/>
                    </w:rPr>
                    <w:t>，仅限</w:t>
                  </w:r>
                  <w:r>
                    <w:rPr>
                      <w:rFonts w:hint="default" w:ascii="Times New Roman" w:hAnsi="Times New Roman" w:eastAsia="宋体"/>
                      <w:color w:val="auto"/>
                      <w:highlight w:val="none"/>
                      <w:lang w:val="en-US"/>
                    </w:rPr>
                    <w:t>261-151-502</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261-152-50</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261-183-50</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271-006-50</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275-009-50</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276-006-50</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900-048-50</w:t>
                  </w:r>
                  <w:r>
                    <w:rPr>
                      <w:rFonts w:hint="eastAsia" w:ascii="Times New Roman" w:hAnsi="Times New Roman" w:eastAsia="宋体"/>
                      <w:color w:val="auto"/>
                      <w:highlight w:val="none"/>
                      <w:lang w:val="en-US"/>
                    </w:rPr>
                    <w:t>），合计</w:t>
                  </w:r>
                  <w:r>
                    <w:rPr>
                      <w:rFonts w:hint="default" w:ascii="Times New Roman" w:hAnsi="Times New Roman" w:eastAsia="宋体"/>
                      <w:color w:val="auto"/>
                      <w:highlight w:val="none"/>
                      <w:lang w:val="en-US"/>
                    </w:rPr>
                    <w:t>20000</w:t>
                  </w:r>
                  <w:r>
                    <w:rPr>
                      <w:rFonts w:hint="eastAsia" w:ascii="Times New Roman" w:hAnsi="Times New Roman" w:eastAsia="宋体"/>
                      <w:color w:val="auto"/>
                      <w:highlight w:val="none"/>
                      <w:lang w:val="en-US"/>
                    </w:rPr>
                    <w:t>吨</w:t>
                  </w:r>
                  <w:r>
                    <w:rPr>
                      <w:rFonts w:hint="default" w:ascii="Times New Roman" w:hAnsi="Times New Roman" w:eastAsia="宋体"/>
                      <w:color w:val="auto"/>
                      <w:highlight w:val="none"/>
                      <w:lang w:val="en-US"/>
                    </w:rPr>
                    <w:t>/</w:t>
                  </w:r>
                  <w:r>
                    <w:rPr>
                      <w:rFonts w:hint="eastAsia" w:ascii="Times New Roman" w:hAnsi="Times New Roman" w:eastAsia="宋体"/>
                      <w:color w:val="auto"/>
                      <w:highlight w:val="none"/>
                      <w:lang w:val="en-US"/>
                    </w:rPr>
                    <w:t>年。</w:t>
                  </w:r>
                </w:p>
              </w:tc>
            </w:tr>
            <w:tr w14:paraId="53265D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55" w:type="dxa"/>
                  <w:tcBorders>
                    <w:tl2br w:val="nil"/>
                    <w:tr2bl w:val="nil"/>
                  </w:tcBorders>
                  <w:vAlign w:val="center"/>
                </w:tcPr>
                <w:p w14:paraId="1AB56FDD">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color w:val="auto"/>
                      <w:highlight w:val="none"/>
                      <w:lang w:val="en-US" w:eastAsia="zh-CN"/>
                    </w:rPr>
                    <w:t>2</w:t>
                  </w:r>
                </w:p>
              </w:tc>
              <w:tc>
                <w:tcPr>
                  <w:tcW w:w="1004" w:type="dxa"/>
                  <w:tcBorders>
                    <w:tl2br w:val="nil"/>
                    <w:tr2bl w:val="nil"/>
                  </w:tcBorders>
                  <w:vAlign w:val="center"/>
                </w:tcPr>
                <w:p w14:paraId="57ADEBA6">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宜兴市苏南固废处理有限公司</w:t>
                  </w:r>
                </w:p>
              </w:tc>
              <w:tc>
                <w:tcPr>
                  <w:tcW w:w="1087" w:type="dxa"/>
                  <w:tcBorders>
                    <w:tl2br w:val="nil"/>
                    <w:tr2bl w:val="nil"/>
                  </w:tcBorders>
                  <w:vAlign w:val="center"/>
                </w:tcPr>
                <w:p w14:paraId="72AF7EF1">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宜兴经济开发区永宁支路1号</w:t>
                  </w:r>
                </w:p>
              </w:tc>
              <w:tc>
                <w:tcPr>
                  <w:tcW w:w="4949" w:type="dxa"/>
                  <w:tcBorders>
                    <w:tl2br w:val="nil"/>
                    <w:tr2bl w:val="nil"/>
                  </w:tcBorders>
                  <w:vAlign w:val="center"/>
                </w:tcPr>
                <w:p w14:paraId="5CDD010C">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许可证号：JS0282OOD544-1</w:t>
                  </w:r>
                </w:p>
                <w:p w14:paraId="40615BAE">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年核准量：2000吨</w:t>
                  </w:r>
                </w:p>
                <w:p w14:paraId="3F3FBE0C">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r>
                    <w:rPr>
                      <w:rFonts w:hint="eastAsia"/>
                      <w:color w:val="auto"/>
                      <w:highlight w:val="none"/>
                      <w:lang w:val="en-US" w:eastAsia="zh-CN"/>
                    </w:rPr>
                    <w:t>处置方式：</w:t>
                  </w:r>
                  <w:r>
                    <w:rPr>
                      <w:rFonts w:hint="eastAsia" w:ascii="Times New Roman" w:hAnsi="Times New Roman" w:eastAsia="宋体"/>
                      <w:color w:val="auto"/>
                      <w:highlight w:val="none"/>
                      <w:lang w:val="en-US"/>
                    </w:rPr>
                    <w:t>物理化学处理（如蒸发、干燥、中和、沉淀等），不包括填埋或焚烧前的预处理</w:t>
                  </w:r>
                </w:p>
                <w:p w14:paraId="36CA34E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处置类别：900-023-29</w:t>
                  </w:r>
                </w:p>
              </w:tc>
            </w:tr>
          </w:tbl>
          <w:p w14:paraId="190FB9FE">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综上分析，项目危险废物委托其处置是可行的。</w:t>
            </w:r>
          </w:p>
          <w:p w14:paraId="0B5F0E42">
            <w:pPr>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建设项目运行前必须与相关有资质单位签订危废处置协议。建设项目采取上述措施后，从危废产生、收集、贮存、运输和处置等全过程进行管理，对周围环境影响较小。</w:t>
            </w:r>
          </w:p>
          <w:p w14:paraId="58B2AA4E">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（6）污染防治措施及其经济、技术分析</w:t>
            </w:r>
          </w:p>
          <w:p w14:paraId="593C523E">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1）贮存场所（设施）污染防治措施</w:t>
            </w:r>
          </w:p>
          <w:p w14:paraId="7A2C018A">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①一般固废</w:t>
            </w:r>
          </w:p>
          <w:p w14:paraId="0544165A">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本项目</w:t>
            </w:r>
            <w:r>
              <w:rPr>
                <w:rFonts w:hint="eastAsia"/>
                <w:color w:val="auto"/>
                <w:lang w:val="en-US" w:eastAsia="zh-CN"/>
              </w:rPr>
              <w:t>依托的</w:t>
            </w:r>
            <w:r>
              <w:rPr>
                <w:rFonts w:hint="default"/>
                <w:color w:val="auto"/>
                <w:lang w:val="en-US"/>
              </w:rPr>
              <w:t>一般工业固废</w:t>
            </w:r>
            <w:r>
              <w:rPr>
                <w:rFonts w:hint="eastAsia"/>
                <w:color w:val="auto"/>
                <w:lang w:val="en-US" w:eastAsia="zh-CN"/>
              </w:rPr>
              <w:t>仓库</w:t>
            </w:r>
            <w:r>
              <w:rPr>
                <w:rFonts w:hint="default"/>
                <w:color w:val="auto"/>
                <w:lang w:val="en-US"/>
              </w:rPr>
              <w:t>满足《一般工业固体废物贮存和填埋污染控制标准》（GB18599-2020）、《环境保护图形标志</w:t>
            </w:r>
            <w:r>
              <w:rPr>
                <w:rFonts w:hint="eastAsia"/>
                <w:color w:val="auto"/>
                <w:lang w:val="en-US"/>
              </w:rPr>
              <w:t>－</w:t>
            </w:r>
            <w:r>
              <w:rPr>
                <w:rFonts w:hint="default"/>
                <w:color w:val="auto"/>
                <w:lang w:val="en-US"/>
              </w:rPr>
              <w:t>固体废物贮存（处置场）》（GB15562.2-1995）</w:t>
            </w:r>
            <w:r>
              <w:rPr>
                <w:rFonts w:hint="eastAsia"/>
                <w:color w:val="auto"/>
                <w:lang w:val="en-US"/>
              </w:rPr>
              <w:t>及其修改单</w:t>
            </w:r>
            <w:r>
              <w:rPr>
                <w:rFonts w:hint="default"/>
                <w:color w:val="auto"/>
                <w:lang w:val="en-US"/>
              </w:rPr>
              <w:t>等规定要求。</w:t>
            </w:r>
          </w:p>
          <w:p w14:paraId="201A410E">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Ⅰ、贮存、处置场的建设类型，必须与将要堆放的一般工业固体废物的类别相一致。</w:t>
            </w:r>
          </w:p>
          <w:p w14:paraId="2A3E7F11">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Ⅱ、为保障设施、设备正常运营，必要时应采取措施防止地基下沉，尤其是防止不均匀或局部下沉。</w:t>
            </w:r>
          </w:p>
          <w:p w14:paraId="3A9D85DE">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Ⅲ、贮存、处置</w:t>
            </w:r>
            <w:r>
              <w:rPr>
                <w:rFonts w:hint="eastAsia"/>
                <w:color w:val="auto"/>
                <w:lang w:val="en-US"/>
              </w:rPr>
              <w:t>场地</w:t>
            </w:r>
            <w:r>
              <w:rPr>
                <w:rFonts w:hint="default"/>
                <w:color w:val="auto"/>
                <w:lang w:val="en-US"/>
              </w:rPr>
              <w:t>使用单位，应建立档案制度。应将入场的一般工业固体废物的种类和数量以及下列资料，详细记录在案，长期保存，供随时查阅。</w:t>
            </w:r>
          </w:p>
          <w:p w14:paraId="4825758E">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②危险固废</w:t>
            </w:r>
          </w:p>
          <w:p w14:paraId="601BB59B">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建设项目</w:t>
            </w:r>
            <w:r>
              <w:rPr>
                <w:rFonts w:hint="eastAsia"/>
                <w:color w:val="auto"/>
                <w:lang w:val="en-US" w:eastAsia="zh-CN"/>
              </w:rPr>
              <w:t>依托</w:t>
            </w:r>
            <w:r>
              <w:rPr>
                <w:rFonts w:hint="eastAsia"/>
                <w:bCs/>
                <w:color w:val="auto"/>
                <w:sz w:val="24"/>
                <w:highlight w:val="none"/>
                <w:lang w:val="en-US" w:eastAsia="zh-CN"/>
              </w:rPr>
              <w:t>南京娃哈哈饮料有限公司厂区现有30m</w:t>
            </w:r>
            <w:r>
              <w:rPr>
                <w:rFonts w:hint="eastAsia"/>
                <w:bCs/>
                <w:color w:val="auto"/>
                <w:sz w:val="24"/>
                <w:highlight w:val="none"/>
                <w:vertAlign w:val="superscript"/>
                <w:lang w:val="en-US" w:eastAsia="zh-CN"/>
              </w:rPr>
              <w:t>2</w:t>
            </w:r>
            <w:r>
              <w:rPr>
                <w:rFonts w:hint="eastAsia"/>
                <w:bCs/>
                <w:color w:val="auto"/>
                <w:sz w:val="24"/>
                <w:highlight w:val="none"/>
                <w:vertAlign w:val="baseline"/>
                <w:lang w:val="en-US" w:eastAsia="zh-CN"/>
              </w:rPr>
              <w:t>危废仓库贮存</w:t>
            </w:r>
            <w:r>
              <w:rPr>
                <w:rFonts w:hint="eastAsia"/>
                <w:color w:val="auto"/>
                <w:lang w:val="en-US" w:eastAsia="zh-CN"/>
              </w:rPr>
              <w:t>危险废物，厂区现有企业已占用20</w:t>
            </w:r>
            <w:r>
              <w:rPr>
                <w:rFonts w:hint="eastAsia"/>
                <w:bCs/>
                <w:color w:val="auto"/>
                <w:sz w:val="24"/>
                <w:highlight w:val="none"/>
                <w:lang w:val="en-US" w:eastAsia="zh-CN"/>
              </w:rPr>
              <w:t>m</w:t>
            </w:r>
            <w:r>
              <w:rPr>
                <w:rFonts w:hint="eastAsia"/>
                <w:bCs/>
                <w:color w:val="auto"/>
                <w:sz w:val="24"/>
                <w:highlight w:val="none"/>
                <w:vertAlign w:val="superscript"/>
                <w:lang w:val="en-US" w:eastAsia="zh-CN"/>
              </w:rPr>
              <w:t>2</w:t>
            </w:r>
            <w:r>
              <w:rPr>
                <w:rFonts w:hint="eastAsia"/>
                <w:bCs/>
                <w:color w:val="auto"/>
                <w:sz w:val="24"/>
                <w:highlight w:val="none"/>
                <w:vertAlign w:val="baseline"/>
                <w:lang w:val="en-US" w:eastAsia="zh-CN"/>
              </w:rPr>
              <w:t>，剩余10</w:t>
            </w:r>
            <w:r>
              <w:rPr>
                <w:rFonts w:hint="eastAsia"/>
                <w:bCs/>
                <w:color w:val="auto"/>
                <w:sz w:val="24"/>
                <w:highlight w:val="none"/>
                <w:lang w:val="en-US" w:eastAsia="zh-CN"/>
              </w:rPr>
              <w:t>m</w:t>
            </w:r>
            <w:r>
              <w:rPr>
                <w:rFonts w:hint="eastAsia"/>
                <w:bCs/>
                <w:color w:val="auto"/>
                <w:sz w:val="24"/>
                <w:highlight w:val="none"/>
                <w:vertAlign w:val="superscript"/>
                <w:lang w:val="en-US" w:eastAsia="zh-CN"/>
              </w:rPr>
              <w:t>2</w:t>
            </w:r>
            <w:r>
              <w:rPr>
                <w:rFonts w:hint="eastAsia"/>
                <w:bCs/>
                <w:color w:val="auto"/>
                <w:sz w:val="24"/>
                <w:highlight w:val="none"/>
                <w:vertAlign w:val="baseline"/>
                <w:lang w:val="en-US" w:eastAsia="zh-CN"/>
              </w:rPr>
              <w:t>用于本项目危废贮存</w:t>
            </w:r>
            <w:r>
              <w:rPr>
                <w:rFonts w:hint="default"/>
                <w:color w:val="auto"/>
                <w:lang w:val="en-US"/>
              </w:rPr>
              <w:t>，贮存能力满足要求，</w:t>
            </w:r>
            <w:r>
              <w:rPr>
                <w:rFonts w:hint="eastAsia"/>
                <w:color w:val="auto"/>
                <w:lang w:val="en-US"/>
              </w:rPr>
              <w:t>危废</w:t>
            </w:r>
            <w:r>
              <w:rPr>
                <w:rFonts w:hint="eastAsia"/>
                <w:color w:val="auto"/>
                <w:lang w:val="en-US" w:eastAsia="zh-CN"/>
              </w:rPr>
              <w:t>暂存点</w:t>
            </w:r>
            <w:r>
              <w:rPr>
                <w:rFonts w:hint="default"/>
                <w:color w:val="auto"/>
                <w:lang w:val="en-US"/>
              </w:rPr>
              <w:t>基本情况见</w:t>
            </w:r>
            <w:r>
              <w:rPr>
                <w:rFonts w:hint="eastAsia"/>
                <w:color w:val="auto"/>
                <w:lang w:val="en-US"/>
              </w:rPr>
              <w:t>下</w:t>
            </w:r>
            <w:r>
              <w:rPr>
                <w:rFonts w:hint="default"/>
                <w:color w:val="auto"/>
                <w:lang w:val="en-US"/>
              </w:rPr>
              <w:t>表</w:t>
            </w:r>
            <w:r>
              <w:rPr>
                <w:rFonts w:hint="eastAsia"/>
                <w:color w:val="auto"/>
                <w:lang w:val="en-US"/>
              </w:rPr>
              <w:t>：</w:t>
            </w:r>
          </w:p>
          <w:p w14:paraId="2212E02A">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表4-</w:t>
            </w:r>
            <w:r>
              <w:rPr>
                <w:rFonts w:hint="eastAsia" w:ascii="Times New Roman" w:hAnsi="Times New Roman" w:eastAsia="宋体"/>
                <w:color w:val="auto"/>
                <w:highlight w:val="none"/>
                <w:lang w:val="en-US" w:eastAsia="zh-CN"/>
              </w:rPr>
              <w:t>2</w:t>
            </w:r>
            <w:r>
              <w:rPr>
                <w:rFonts w:hint="eastAsia"/>
                <w:color w:val="auto"/>
                <w:highlight w:val="none"/>
                <w:lang w:val="en-US" w:eastAsia="zh-CN"/>
              </w:rPr>
              <w:t>4</w:t>
            </w:r>
            <w:r>
              <w:rPr>
                <w:rFonts w:hint="default" w:ascii="Times New Roman" w:hAnsi="Times New Roman" w:eastAsia="宋体"/>
                <w:color w:val="auto"/>
                <w:highlight w:val="none"/>
              </w:rPr>
              <w:t>项目危险废物贮存场所基本情况表</w:t>
            </w:r>
          </w:p>
          <w:tbl>
            <w:tblPr>
              <w:tblStyle w:val="16"/>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707"/>
              <w:gridCol w:w="1500"/>
              <w:gridCol w:w="680"/>
              <w:gridCol w:w="1089"/>
              <w:gridCol w:w="858"/>
              <w:gridCol w:w="826"/>
              <w:gridCol w:w="878"/>
              <w:gridCol w:w="663"/>
              <w:gridCol w:w="618"/>
            </w:tblGrid>
            <w:tr w14:paraId="60024F5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340" w:hRule="atLeast"/>
                <w:jc w:val="center"/>
              </w:trPr>
              <w:tc>
                <w:tcPr>
                  <w:tcW w:w="707" w:type="dxa"/>
                  <w:tcBorders>
                    <w:tl2br w:val="nil"/>
                    <w:tr2bl w:val="nil"/>
                  </w:tcBorders>
                  <w:shd w:val="clear" w:color="auto" w:fill="auto"/>
                  <w:noWrap/>
                  <w:vAlign w:val="center"/>
                </w:tcPr>
                <w:p w14:paraId="492E717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b/>
                      <w:bCs/>
                      <w:color w:val="auto"/>
                      <w:sz w:val="21"/>
                      <w:szCs w:val="21"/>
                      <w:highlight w:val="none"/>
                    </w:rPr>
                  </w:pPr>
                  <w:r>
                    <w:rPr>
                      <w:rFonts w:hint="eastAsia" w:ascii="Times New Roman" w:hAnsi="Times New Roman" w:eastAsia="宋体" w:cs="宋体"/>
                      <w:b/>
                      <w:bCs/>
                      <w:color w:val="auto"/>
                      <w:sz w:val="21"/>
                      <w:szCs w:val="21"/>
                      <w:highlight w:val="none"/>
                      <w:lang w:val="en-US" w:bidi="ar"/>
                    </w:rPr>
                    <w:t>贮存场所名称</w:t>
                  </w:r>
                </w:p>
              </w:tc>
              <w:tc>
                <w:tcPr>
                  <w:tcW w:w="1500" w:type="dxa"/>
                  <w:tcBorders>
                    <w:tl2br w:val="nil"/>
                    <w:tr2bl w:val="nil"/>
                  </w:tcBorders>
                  <w:shd w:val="clear" w:color="auto" w:fill="auto"/>
                  <w:vAlign w:val="center"/>
                </w:tcPr>
                <w:p w14:paraId="15C3C3A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b/>
                      <w:bCs/>
                      <w:color w:val="auto"/>
                      <w:sz w:val="21"/>
                      <w:szCs w:val="21"/>
                      <w:highlight w:val="none"/>
                    </w:rPr>
                  </w:pPr>
                  <w:r>
                    <w:rPr>
                      <w:rFonts w:hint="eastAsia" w:ascii="Times New Roman" w:hAnsi="Times New Roman" w:eastAsia="宋体" w:cs="宋体"/>
                      <w:b/>
                      <w:bCs/>
                      <w:color w:val="auto"/>
                      <w:sz w:val="21"/>
                      <w:szCs w:val="21"/>
                      <w:highlight w:val="none"/>
                      <w:lang w:val="en-US" w:bidi="ar"/>
                    </w:rPr>
                    <w:t>危险废物名称</w:t>
                  </w:r>
                </w:p>
              </w:tc>
              <w:tc>
                <w:tcPr>
                  <w:tcW w:w="680" w:type="dxa"/>
                  <w:tcBorders>
                    <w:tl2br w:val="nil"/>
                    <w:tr2bl w:val="nil"/>
                  </w:tcBorders>
                  <w:shd w:val="clear" w:color="auto" w:fill="auto"/>
                  <w:vAlign w:val="center"/>
                </w:tcPr>
                <w:p w14:paraId="1235232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b/>
                      <w:bCs/>
                      <w:color w:val="auto"/>
                      <w:sz w:val="21"/>
                      <w:szCs w:val="21"/>
                      <w:highlight w:val="none"/>
                    </w:rPr>
                  </w:pPr>
                  <w:r>
                    <w:rPr>
                      <w:rFonts w:hint="eastAsia" w:ascii="Times New Roman" w:hAnsi="Times New Roman" w:eastAsia="宋体" w:cs="宋体"/>
                      <w:b/>
                      <w:bCs/>
                      <w:color w:val="auto"/>
                      <w:sz w:val="21"/>
                      <w:szCs w:val="21"/>
                      <w:highlight w:val="none"/>
                      <w:lang w:val="en-US" w:bidi="ar"/>
                    </w:rPr>
                    <w:t>危险废物类别</w:t>
                  </w:r>
                </w:p>
              </w:tc>
              <w:tc>
                <w:tcPr>
                  <w:tcW w:w="1089" w:type="dxa"/>
                  <w:tcBorders>
                    <w:tl2br w:val="nil"/>
                    <w:tr2bl w:val="nil"/>
                  </w:tcBorders>
                  <w:shd w:val="clear" w:color="auto" w:fill="auto"/>
                  <w:vAlign w:val="center"/>
                </w:tcPr>
                <w:p w14:paraId="1B9247F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b/>
                      <w:bCs/>
                      <w:color w:val="auto"/>
                      <w:sz w:val="21"/>
                      <w:szCs w:val="21"/>
                      <w:highlight w:val="none"/>
                    </w:rPr>
                  </w:pPr>
                  <w:r>
                    <w:rPr>
                      <w:rFonts w:hint="eastAsia" w:ascii="Times New Roman" w:hAnsi="Times New Roman" w:eastAsia="宋体" w:cs="宋体"/>
                      <w:b/>
                      <w:bCs/>
                      <w:color w:val="auto"/>
                      <w:sz w:val="21"/>
                      <w:szCs w:val="21"/>
                      <w:highlight w:val="none"/>
                      <w:lang w:val="en-US" w:bidi="ar"/>
                    </w:rPr>
                    <w:t>危险废物代码</w:t>
                  </w:r>
                </w:p>
              </w:tc>
              <w:tc>
                <w:tcPr>
                  <w:tcW w:w="858" w:type="dxa"/>
                  <w:tcBorders>
                    <w:tl2br w:val="nil"/>
                    <w:tr2bl w:val="nil"/>
                  </w:tcBorders>
                  <w:shd w:val="clear" w:color="auto" w:fill="auto"/>
                  <w:vAlign w:val="center"/>
                </w:tcPr>
                <w:p w14:paraId="55DF9C6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b/>
                      <w:bCs/>
                      <w:color w:val="auto"/>
                      <w:sz w:val="21"/>
                      <w:szCs w:val="21"/>
                      <w:highlight w:val="none"/>
                    </w:rPr>
                  </w:pPr>
                  <w:r>
                    <w:rPr>
                      <w:rFonts w:hint="eastAsia" w:ascii="Times New Roman" w:hAnsi="Times New Roman" w:eastAsia="宋体" w:cs="宋体"/>
                      <w:b/>
                      <w:bCs/>
                      <w:color w:val="auto"/>
                      <w:sz w:val="21"/>
                      <w:szCs w:val="21"/>
                      <w:highlight w:val="none"/>
                      <w:lang w:val="en-US" w:bidi="ar"/>
                    </w:rPr>
                    <w:t>位置</w:t>
                  </w:r>
                </w:p>
              </w:tc>
              <w:tc>
                <w:tcPr>
                  <w:tcW w:w="826" w:type="dxa"/>
                  <w:tcBorders>
                    <w:tl2br w:val="nil"/>
                    <w:tr2bl w:val="nil"/>
                  </w:tcBorders>
                  <w:shd w:val="clear" w:color="auto" w:fill="auto"/>
                  <w:vAlign w:val="center"/>
                </w:tcPr>
                <w:p w14:paraId="7E810FA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b/>
                      <w:bCs/>
                      <w:color w:val="auto"/>
                      <w:sz w:val="21"/>
                      <w:szCs w:val="21"/>
                      <w:highlight w:val="none"/>
                    </w:rPr>
                  </w:pPr>
                  <w:r>
                    <w:rPr>
                      <w:rFonts w:hint="eastAsia" w:ascii="Times New Roman" w:hAnsi="Times New Roman" w:eastAsia="宋体" w:cs="宋体"/>
                      <w:b/>
                      <w:bCs/>
                      <w:color w:val="auto"/>
                      <w:sz w:val="21"/>
                      <w:szCs w:val="21"/>
                      <w:highlight w:val="none"/>
                      <w:lang w:val="en-US" w:bidi="ar"/>
                    </w:rPr>
                    <w:t>占地面积（</w:t>
                  </w:r>
                  <w:r>
                    <w:rPr>
                      <w:rFonts w:hint="default" w:ascii="Times New Roman" w:hAnsi="Times New Roman" w:eastAsia="宋体"/>
                      <w:b/>
                      <w:bCs/>
                      <w:color w:val="auto"/>
                      <w:sz w:val="21"/>
                      <w:szCs w:val="21"/>
                      <w:highlight w:val="none"/>
                      <w:lang w:val="en-US" w:bidi="ar"/>
                    </w:rPr>
                    <w:t>m</w:t>
                  </w:r>
                  <w:r>
                    <w:rPr>
                      <w:rFonts w:hint="default" w:ascii="Times New Roman" w:hAnsi="Times New Roman" w:eastAsia="宋体"/>
                      <w:b/>
                      <w:bCs/>
                      <w:color w:val="auto"/>
                      <w:sz w:val="21"/>
                      <w:szCs w:val="21"/>
                      <w:highlight w:val="none"/>
                      <w:vertAlign w:val="superscript"/>
                      <w:lang w:val="en-US" w:bidi="ar"/>
                    </w:rPr>
                    <w:t>2</w:t>
                  </w:r>
                  <w:r>
                    <w:rPr>
                      <w:rFonts w:hint="eastAsia" w:ascii="Times New Roman" w:hAnsi="Times New Roman" w:eastAsia="宋体" w:cs="宋体"/>
                      <w:b/>
                      <w:bCs/>
                      <w:color w:val="auto"/>
                      <w:sz w:val="21"/>
                      <w:szCs w:val="21"/>
                      <w:highlight w:val="none"/>
                      <w:lang w:val="en-US" w:bidi="ar"/>
                    </w:rPr>
                    <w:t>）</w:t>
                  </w:r>
                </w:p>
              </w:tc>
              <w:tc>
                <w:tcPr>
                  <w:tcW w:w="878" w:type="dxa"/>
                  <w:tcBorders>
                    <w:tl2br w:val="nil"/>
                    <w:tr2bl w:val="nil"/>
                  </w:tcBorders>
                  <w:shd w:val="clear" w:color="auto" w:fill="auto"/>
                  <w:vAlign w:val="center"/>
                </w:tcPr>
                <w:p w14:paraId="3842AF3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b/>
                      <w:bCs/>
                      <w:color w:val="auto"/>
                      <w:sz w:val="21"/>
                      <w:szCs w:val="21"/>
                      <w:highlight w:val="none"/>
                    </w:rPr>
                  </w:pPr>
                  <w:r>
                    <w:rPr>
                      <w:rFonts w:hint="eastAsia" w:ascii="Times New Roman" w:hAnsi="Times New Roman" w:eastAsia="宋体" w:cs="宋体"/>
                      <w:b/>
                      <w:bCs/>
                      <w:color w:val="auto"/>
                      <w:sz w:val="21"/>
                      <w:szCs w:val="21"/>
                      <w:highlight w:val="none"/>
                      <w:lang w:val="en-US" w:bidi="ar"/>
                    </w:rPr>
                    <w:t>贮存方式</w:t>
                  </w:r>
                </w:p>
              </w:tc>
              <w:tc>
                <w:tcPr>
                  <w:tcW w:w="663" w:type="dxa"/>
                  <w:tcBorders>
                    <w:tl2br w:val="nil"/>
                    <w:tr2bl w:val="nil"/>
                  </w:tcBorders>
                  <w:shd w:val="clear" w:color="auto" w:fill="auto"/>
                  <w:vAlign w:val="center"/>
                </w:tcPr>
                <w:p w14:paraId="7148D5A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b/>
                      <w:bCs/>
                      <w:color w:val="auto"/>
                      <w:sz w:val="21"/>
                      <w:szCs w:val="21"/>
                      <w:highlight w:val="none"/>
                    </w:rPr>
                  </w:pPr>
                  <w:r>
                    <w:rPr>
                      <w:rFonts w:hint="eastAsia" w:ascii="Times New Roman" w:hAnsi="Times New Roman" w:eastAsia="宋体" w:cs="宋体"/>
                      <w:b/>
                      <w:bCs/>
                      <w:color w:val="auto"/>
                      <w:sz w:val="21"/>
                      <w:szCs w:val="21"/>
                      <w:highlight w:val="none"/>
                      <w:lang w:val="en-US" w:bidi="ar"/>
                    </w:rPr>
                    <w:t>贮存能力（</w:t>
                  </w:r>
                  <w:r>
                    <w:rPr>
                      <w:rFonts w:hint="default" w:ascii="Times New Roman" w:hAnsi="Times New Roman" w:eastAsia="宋体"/>
                      <w:b/>
                      <w:bCs/>
                      <w:color w:val="auto"/>
                      <w:sz w:val="21"/>
                      <w:szCs w:val="21"/>
                      <w:highlight w:val="none"/>
                      <w:lang w:val="en-US" w:bidi="ar"/>
                    </w:rPr>
                    <w:t>t</w:t>
                  </w:r>
                  <w:r>
                    <w:rPr>
                      <w:rFonts w:hint="eastAsia" w:ascii="Times New Roman" w:hAnsi="Times New Roman" w:eastAsia="宋体" w:cs="宋体"/>
                      <w:b/>
                      <w:bCs/>
                      <w:color w:val="auto"/>
                      <w:sz w:val="21"/>
                      <w:szCs w:val="21"/>
                      <w:highlight w:val="none"/>
                      <w:lang w:val="en-US" w:bidi="ar"/>
                    </w:rPr>
                    <w:t>）</w:t>
                  </w:r>
                </w:p>
              </w:tc>
              <w:tc>
                <w:tcPr>
                  <w:tcW w:w="618" w:type="dxa"/>
                  <w:tcBorders>
                    <w:tl2br w:val="nil"/>
                    <w:tr2bl w:val="nil"/>
                  </w:tcBorders>
                  <w:shd w:val="clear" w:color="auto" w:fill="auto"/>
                  <w:vAlign w:val="center"/>
                </w:tcPr>
                <w:p w14:paraId="123A41F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b/>
                      <w:bCs/>
                      <w:color w:val="auto"/>
                      <w:sz w:val="21"/>
                      <w:szCs w:val="21"/>
                      <w:highlight w:val="none"/>
                    </w:rPr>
                  </w:pPr>
                  <w:r>
                    <w:rPr>
                      <w:rFonts w:hint="eastAsia" w:ascii="Times New Roman" w:hAnsi="Times New Roman" w:eastAsia="宋体" w:cs="宋体"/>
                      <w:b/>
                      <w:bCs/>
                      <w:color w:val="auto"/>
                      <w:sz w:val="21"/>
                      <w:szCs w:val="21"/>
                      <w:highlight w:val="none"/>
                      <w:lang w:val="en-US" w:bidi="ar"/>
                    </w:rPr>
                    <w:t>贮存周期</w:t>
                  </w:r>
                </w:p>
              </w:tc>
            </w:tr>
            <w:tr w14:paraId="382C3EE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07" w:type="dxa"/>
                  <w:vMerge w:val="restart"/>
                  <w:tcBorders>
                    <w:tl2br w:val="nil"/>
                    <w:tr2bl w:val="nil"/>
                  </w:tcBorders>
                  <w:shd w:val="clear" w:color="auto" w:fill="auto"/>
                  <w:noWrap/>
                  <w:vAlign w:val="center"/>
                </w:tcPr>
                <w:p w14:paraId="53AB956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lang w:val="en-US" w:eastAsia="zh-CN"/>
                    </w:rPr>
                  </w:pPr>
                  <w:r>
                    <w:rPr>
                      <w:rFonts w:hint="eastAsia" w:cs="宋体"/>
                      <w:color w:val="auto"/>
                      <w:sz w:val="21"/>
                      <w:szCs w:val="21"/>
                      <w:highlight w:val="none"/>
                      <w:lang w:val="en-US" w:eastAsia="zh-CN" w:bidi="ar"/>
                    </w:rPr>
                    <w:t>危废仓库</w:t>
                  </w:r>
                </w:p>
              </w:tc>
              <w:tc>
                <w:tcPr>
                  <w:tcW w:w="1500" w:type="dxa"/>
                  <w:tcBorders>
                    <w:tl2br w:val="nil"/>
                    <w:tr2bl w:val="nil"/>
                  </w:tcBorders>
                  <w:shd w:val="clear" w:color="auto" w:fill="auto"/>
                  <w:vAlign w:val="center"/>
                </w:tcPr>
                <w:p w14:paraId="78904CFD">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废紫外灯管</w:t>
                  </w:r>
                </w:p>
              </w:tc>
              <w:tc>
                <w:tcPr>
                  <w:tcW w:w="680" w:type="dxa"/>
                  <w:tcBorders>
                    <w:tl2br w:val="nil"/>
                    <w:tr2bl w:val="nil"/>
                  </w:tcBorders>
                  <w:shd w:val="clear" w:color="auto" w:fill="auto"/>
                  <w:vAlign w:val="center"/>
                </w:tcPr>
                <w:p w14:paraId="52E6704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HW29</w:t>
                  </w:r>
                </w:p>
              </w:tc>
              <w:tc>
                <w:tcPr>
                  <w:tcW w:w="1089" w:type="dxa"/>
                  <w:tcBorders>
                    <w:tl2br w:val="nil"/>
                    <w:tr2bl w:val="nil"/>
                  </w:tcBorders>
                  <w:shd w:val="clear" w:color="auto" w:fill="auto"/>
                  <w:vAlign w:val="center"/>
                </w:tcPr>
                <w:p w14:paraId="6D6F5DD7">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900-023-29</w:t>
                  </w:r>
                </w:p>
              </w:tc>
              <w:tc>
                <w:tcPr>
                  <w:tcW w:w="858" w:type="dxa"/>
                  <w:vMerge w:val="restart"/>
                  <w:tcBorders>
                    <w:tl2br w:val="nil"/>
                    <w:tr2bl w:val="nil"/>
                  </w:tcBorders>
                  <w:shd w:val="clear" w:color="auto" w:fill="auto"/>
                  <w:vAlign w:val="center"/>
                </w:tcPr>
                <w:p w14:paraId="646FE47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lang w:val="en-US" w:eastAsia="zh-CN"/>
                    </w:rPr>
                  </w:pPr>
                  <w:r>
                    <w:rPr>
                      <w:rFonts w:hint="default" w:ascii="Times New Roman" w:hAnsi="Times New Roman" w:eastAsia="宋体"/>
                      <w:color w:val="auto"/>
                      <w:sz w:val="21"/>
                      <w:szCs w:val="21"/>
                      <w:highlight w:val="none"/>
                    </w:rPr>
                    <w:t>南京娃哈哈饮料有限公司</w:t>
                  </w:r>
                  <w:r>
                    <w:rPr>
                      <w:rFonts w:hint="eastAsia"/>
                      <w:color w:val="auto"/>
                      <w:sz w:val="21"/>
                      <w:szCs w:val="21"/>
                      <w:highlight w:val="none"/>
                      <w:lang w:val="en-US" w:eastAsia="zh-CN"/>
                    </w:rPr>
                    <w:t>厂区西侧</w:t>
                  </w:r>
                </w:p>
              </w:tc>
              <w:tc>
                <w:tcPr>
                  <w:tcW w:w="826" w:type="dxa"/>
                  <w:vMerge w:val="restart"/>
                  <w:tcBorders>
                    <w:tl2br w:val="nil"/>
                    <w:tr2bl w:val="nil"/>
                  </w:tcBorders>
                  <w:shd w:val="clear" w:color="auto" w:fill="auto"/>
                  <w:vAlign w:val="center"/>
                </w:tcPr>
                <w:p w14:paraId="339C575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lang w:val="en-US" w:eastAsia="zh-CN"/>
                    </w:rPr>
                  </w:pPr>
                  <w:r>
                    <w:rPr>
                      <w:rFonts w:hint="eastAsia"/>
                      <w:color w:val="auto"/>
                      <w:sz w:val="21"/>
                      <w:szCs w:val="21"/>
                      <w:highlight w:val="none"/>
                      <w:lang w:val="en-US" w:eastAsia="zh-CN" w:bidi="ar"/>
                    </w:rPr>
                    <w:t>10</w:t>
                  </w:r>
                </w:p>
              </w:tc>
              <w:tc>
                <w:tcPr>
                  <w:tcW w:w="878" w:type="dxa"/>
                  <w:tcBorders>
                    <w:tl2br w:val="nil"/>
                    <w:tr2bl w:val="nil"/>
                  </w:tcBorders>
                  <w:shd w:val="clear" w:color="auto" w:fill="auto"/>
                  <w:vAlign w:val="center"/>
                </w:tcPr>
                <w:p w14:paraId="0FCE66B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rPr>
                  </w:pPr>
                  <w:r>
                    <w:rPr>
                      <w:rFonts w:hint="eastAsia" w:ascii="Times New Roman" w:hAnsi="Times New Roman" w:eastAsia="宋体" w:cs="宋体"/>
                      <w:color w:val="auto"/>
                      <w:sz w:val="21"/>
                      <w:szCs w:val="21"/>
                      <w:highlight w:val="none"/>
                      <w:lang w:val="en-US" w:bidi="ar"/>
                    </w:rPr>
                    <w:t>密封包装</w:t>
                  </w:r>
                </w:p>
              </w:tc>
              <w:tc>
                <w:tcPr>
                  <w:tcW w:w="663" w:type="dxa"/>
                  <w:tcBorders>
                    <w:tl2br w:val="nil"/>
                    <w:tr2bl w:val="nil"/>
                  </w:tcBorders>
                  <w:shd w:val="clear" w:color="auto" w:fill="auto"/>
                  <w:vAlign w:val="center"/>
                </w:tcPr>
                <w:p w14:paraId="7C482FDB">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lang w:val="en-US" w:eastAsia="zh-CN"/>
                    </w:rPr>
                  </w:pPr>
                  <w:r>
                    <w:rPr>
                      <w:rFonts w:hint="eastAsia"/>
                      <w:color w:val="auto"/>
                      <w:sz w:val="21"/>
                      <w:szCs w:val="21"/>
                      <w:highlight w:val="none"/>
                      <w:lang w:val="en-US" w:eastAsia="zh-CN" w:bidi="ar"/>
                    </w:rPr>
                    <w:t>0.01</w:t>
                  </w:r>
                </w:p>
              </w:tc>
              <w:tc>
                <w:tcPr>
                  <w:tcW w:w="618" w:type="dxa"/>
                  <w:vMerge w:val="restart"/>
                  <w:tcBorders>
                    <w:tl2br w:val="nil"/>
                    <w:tr2bl w:val="nil"/>
                  </w:tcBorders>
                  <w:shd w:val="clear" w:color="auto" w:fill="auto"/>
                  <w:vAlign w:val="center"/>
                </w:tcPr>
                <w:p w14:paraId="7860E488">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olor w:val="auto"/>
                      <w:sz w:val="21"/>
                      <w:szCs w:val="21"/>
                      <w:highlight w:val="none"/>
                      <w:lang w:val="en-US" w:eastAsia="zh-CN"/>
                    </w:rPr>
                  </w:pPr>
                  <w:r>
                    <w:rPr>
                      <w:rFonts w:hint="eastAsia"/>
                      <w:color w:val="auto"/>
                      <w:sz w:val="21"/>
                      <w:szCs w:val="21"/>
                      <w:highlight w:val="none"/>
                      <w:lang w:val="en-US" w:eastAsia="zh-CN"/>
                    </w:rPr>
                    <w:t>半个月</w:t>
                  </w:r>
                </w:p>
              </w:tc>
            </w:tr>
            <w:tr w14:paraId="7F0FD56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07" w:type="dxa"/>
                  <w:vMerge w:val="continue"/>
                  <w:tcBorders>
                    <w:tl2br w:val="nil"/>
                    <w:tr2bl w:val="nil"/>
                  </w:tcBorders>
                  <w:shd w:val="clear" w:color="auto" w:fill="auto"/>
                  <w:noWrap/>
                  <w:vAlign w:val="center"/>
                </w:tcPr>
                <w:p w14:paraId="13259EF4">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宋体"/>
                      <w:color w:val="auto"/>
                      <w:sz w:val="21"/>
                      <w:szCs w:val="21"/>
                      <w:highlight w:val="none"/>
                      <w:lang w:val="en-US" w:bidi="ar"/>
                    </w:rPr>
                  </w:pPr>
                </w:p>
              </w:tc>
              <w:tc>
                <w:tcPr>
                  <w:tcW w:w="1500" w:type="dxa"/>
                  <w:tcBorders>
                    <w:tl2br w:val="nil"/>
                    <w:tr2bl w:val="nil"/>
                  </w:tcBorders>
                  <w:shd w:val="clear" w:color="auto" w:fill="auto"/>
                  <w:vAlign w:val="center"/>
                </w:tcPr>
                <w:p w14:paraId="2D48CA9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废机油桶</w:t>
                  </w:r>
                </w:p>
              </w:tc>
              <w:tc>
                <w:tcPr>
                  <w:tcW w:w="680" w:type="dxa"/>
                  <w:tcBorders>
                    <w:tl2br w:val="nil"/>
                    <w:tr2bl w:val="nil"/>
                  </w:tcBorders>
                  <w:shd w:val="clear" w:color="auto" w:fill="auto"/>
                  <w:vAlign w:val="center"/>
                </w:tcPr>
                <w:p w14:paraId="71230D3D">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HW08</w:t>
                  </w:r>
                </w:p>
              </w:tc>
              <w:tc>
                <w:tcPr>
                  <w:tcW w:w="1089" w:type="dxa"/>
                  <w:tcBorders>
                    <w:tl2br w:val="nil"/>
                    <w:tr2bl w:val="nil"/>
                  </w:tcBorders>
                  <w:shd w:val="clear" w:color="auto" w:fill="auto"/>
                  <w:vAlign w:val="center"/>
                </w:tcPr>
                <w:p w14:paraId="12BD639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900-249-08</w:t>
                  </w:r>
                </w:p>
              </w:tc>
              <w:tc>
                <w:tcPr>
                  <w:tcW w:w="858" w:type="dxa"/>
                  <w:vMerge w:val="continue"/>
                  <w:tcBorders>
                    <w:tl2br w:val="nil"/>
                    <w:tr2bl w:val="nil"/>
                  </w:tcBorders>
                  <w:shd w:val="clear" w:color="auto" w:fill="auto"/>
                  <w:vAlign w:val="center"/>
                </w:tcPr>
                <w:p w14:paraId="5202EA69">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宋体"/>
                      <w:color w:val="auto"/>
                      <w:sz w:val="21"/>
                      <w:szCs w:val="21"/>
                      <w:highlight w:val="none"/>
                      <w:lang w:val="en-US" w:bidi="ar"/>
                    </w:rPr>
                  </w:pPr>
                </w:p>
              </w:tc>
              <w:tc>
                <w:tcPr>
                  <w:tcW w:w="826" w:type="dxa"/>
                  <w:vMerge w:val="continue"/>
                  <w:tcBorders>
                    <w:tl2br w:val="nil"/>
                    <w:tr2bl w:val="nil"/>
                  </w:tcBorders>
                  <w:shd w:val="clear" w:color="auto" w:fill="auto"/>
                  <w:vAlign w:val="center"/>
                </w:tcPr>
                <w:p w14:paraId="712B79B1">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lang w:val="en-US" w:bidi="ar"/>
                    </w:rPr>
                  </w:pPr>
                </w:p>
              </w:tc>
              <w:tc>
                <w:tcPr>
                  <w:tcW w:w="878" w:type="dxa"/>
                  <w:tcBorders>
                    <w:tl2br w:val="nil"/>
                    <w:tr2bl w:val="nil"/>
                  </w:tcBorders>
                  <w:shd w:val="clear" w:color="auto" w:fill="auto"/>
                  <w:vAlign w:val="center"/>
                </w:tcPr>
                <w:p w14:paraId="05923D7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宋体"/>
                      <w:color w:val="auto"/>
                      <w:sz w:val="21"/>
                      <w:szCs w:val="21"/>
                      <w:highlight w:val="none"/>
                      <w:lang w:val="en-US" w:eastAsia="zh-CN" w:bidi="ar"/>
                    </w:rPr>
                  </w:pPr>
                  <w:r>
                    <w:rPr>
                      <w:rFonts w:hint="eastAsia" w:cs="宋体"/>
                      <w:color w:val="auto"/>
                      <w:sz w:val="21"/>
                      <w:szCs w:val="21"/>
                      <w:highlight w:val="none"/>
                      <w:lang w:val="en-US" w:eastAsia="zh-CN" w:bidi="ar"/>
                    </w:rPr>
                    <w:t>加盖密闭</w:t>
                  </w:r>
                </w:p>
              </w:tc>
              <w:tc>
                <w:tcPr>
                  <w:tcW w:w="663" w:type="dxa"/>
                  <w:tcBorders>
                    <w:tl2br w:val="nil"/>
                    <w:tr2bl w:val="nil"/>
                  </w:tcBorders>
                  <w:shd w:val="clear" w:color="auto" w:fill="auto"/>
                  <w:vAlign w:val="center"/>
                </w:tcPr>
                <w:p w14:paraId="695D9F8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lang w:val="en-US" w:eastAsia="zh-CN" w:bidi="ar"/>
                    </w:rPr>
                  </w:pPr>
                  <w:r>
                    <w:rPr>
                      <w:rFonts w:hint="eastAsia"/>
                      <w:color w:val="auto"/>
                      <w:sz w:val="21"/>
                      <w:szCs w:val="21"/>
                      <w:highlight w:val="none"/>
                      <w:lang w:val="en-US" w:eastAsia="zh-CN" w:bidi="ar"/>
                    </w:rPr>
                    <w:t>0.5</w:t>
                  </w:r>
                </w:p>
              </w:tc>
              <w:tc>
                <w:tcPr>
                  <w:tcW w:w="618" w:type="dxa"/>
                  <w:vMerge w:val="continue"/>
                  <w:tcBorders>
                    <w:tl2br w:val="nil"/>
                    <w:tr2bl w:val="nil"/>
                  </w:tcBorders>
                  <w:shd w:val="clear" w:color="auto" w:fill="auto"/>
                  <w:vAlign w:val="center"/>
                </w:tcPr>
                <w:p w14:paraId="2C19F8B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lang w:val="en-US" w:bidi="ar"/>
                    </w:rPr>
                  </w:pPr>
                </w:p>
              </w:tc>
            </w:tr>
            <w:tr w14:paraId="70F19D4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07" w:type="dxa"/>
                  <w:vMerge w:val="continue"/>
                  <w:tcBorders>
                    <w:tl2br w:val="nil"/>
                    <w:tr2bl w:val="nil"/>
                  </w:tcBorders>
                  <w:shd w:val="clear" w:color="auto" w:fill="auto"/>
                  <w:noWrap/>
                  <w:vAlign w:val="center"/>
                </w:tcPr>
                <w:p w14:paraId="530DDE43">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宋体"/>
                      <w:color w:val="auto"/>
                      <w:sz w:val="21"/>
                      <w:szCs w:val="21"/>
                      <w:highlight w:val="none"/>
                      <w:lang w:val="en-US" w:bidi="ar"/>
                    </w:rPr>
                  </w:pPr>
                </w:p>
              </w:tc>
              <w:tc>
                <w:tcPr>
                  <w:tcW w:w="1500" w:type="dxa"/>
                  <w:tcBorders>
                    <w:tl2br w:val="nil"/>
                    <w:tr2bl w:val="nil"/>
                  </w:tcBorders>
                  <w:shd w:val="clear" w:color="auto" w:fill="auto"/>
                  <w:vAlign w:val="center"/>
                </w:tcPr>
                <w:p w14:paraId="13295836">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废化学品包装桶</w:t>
                  </w:r>
                </w:p>
              </w:tc>
              <w:tc>
                <w:tcPr>
                  <w:tcW w:w="680" w:type="dxa"/>
                  <w:tcBorders>
                    <w:tl2br w:val="nil"/>
                    <w:tr2bl w:val="nil"/>
                  </w:tcBorders>
                  <w:shd w:val="clear" w:color="auto" w:fill="auto"/>
                  <w:vAlign w:val="center"/>
                </w:tcPr>
                <w:p w14:paraId="043A82D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HW49</w:t>
                  </w:r>
                </w:p>
              </w:tc>
              <w:tc>
                <w:tcPr>
                  <w:tcW w:w="1089" w:type="dxa"/>
                  <w:tcBorders>
                    <w:tl2br w:val="nil"/>
                    <w:tr2bl w:val="nil"/>
                  </w:tcBorders>
                  <w:shd w:val="clear" w:color="auto" w:fill="auto"/>
                  <w:vAlign w:val="center"/>
                </w:tcPr>
                <w:p w14:paraId="0ACA90A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900-041-49</w:t>
                  </w:r>
                </w:p>
              </w:tc>
              <w:tc>
                <w:tcPr>
                  <w:tcW w:w="858" w:type="dxa"/>
                  <w:vMerge w:val="continue"/>
                  <w:tcBorders>
                    <w:tl2br w:val="nil"/>
                    <w:tr2bl w:val="nil"/>
                  </w:tcBorders>
                  <w:shd w:val="clear" w:color="auto" w:fill="auto"/>
                  <w:vAlign w:val="center"/>
                </w:tcPr>
                <w:p w14:paraId="12EDCDC6">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宋体"/>
                      <w:color w:val="auto"/>
                      <w:sz w:val="21"/>
                      <w:szCs w:val="21"/>
                      <w:highlight w:val="none"/>
                      <w:lang w:val="en-US" w:bidi="ar"/>
                    </w:rPr>
                  </w:pPr>
                </w:p>
              </w:tc>
              <w:tc>
                <w:tcPr>
                  <w:tcW w:w="826" w:type="dxa"/>
                  <w:vMerge w:val="continue"/>
                  <w:tcBorders>
                    <w:tl2br w:val="nil"/>
                    <w:tr2bl w:val="nil"/>
                  </w:tcBorders>
                  <w:shd w:val="clear" w:color="auto" w:fill="auto"/>
                  <w:vAlign w:val="center"/>
                </w:tcPr>
                <w:p w14:paraId="5A9C250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lang w:val="en-US" w:bidi="ar"/>
                    </w:rPr>
                  </w:pPr>
                </w:p>
              </w:tc>
              <w:tc>
                <w:tcPr>
                  <w:tcW w:w="878" w:type="dxa"/>
                  <w:tcBorders>
                    <w:tl2br w:val="nil"/>
                    <w:tr2bl w:val="nil"/>
                  </w:tcBorders>
                  <w:shd w:val="clear" w:color="auto" w:fill="auto"/>
                  <w:vAlign w:val="center"/>
                </w:tcPr>
                <w:p w14:paraId="5DACD9EF">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宋体"/>
                      <w:color w:val="auto"/>
                      <w:sz w:val="21"/>
                      <w:szCs w:val="21"/>
                      <w:highlight w:val="none"/>
                      <w:lang w:val="en-US" w:bidi="ar"/>
                    </w:rPr>
                  </w:pPr>
                  <w:r>
                    <w:rPr>
                      <w:rFonts w:hint="eastAsia" w:cs="宋体"/>
                      <w:color w:val="auto"/>
                      <w:sz w:val="21"/>
                      <w:szCs w:val="21"/>
                      <w:highlight w:val="none"/>
                      <w:lang w:val="en-US" w:eastAsia="zh-CN" w:bidi="ar"/>
                    </w:rPr>
                    <w:t>加盖密闭</w:t>
                  </w:r>
                </w:p>
              </w:tc>
              <w:tc>
                <w:tcPr>
                  <w:tcW w:w="663" w:type="dxa"/>
                  <w:tcBorders>
                    <w:tl2br w:val="nil"/>
                    <w:tr2bl w:val="nil"/>
                  </w:tcBorders>
                  <w:shd w:val="clear" w:color="auto" w:fill="auto"/>
                  <w:vAlign w:val="center"/>
                </w:tcPr>
                <w:p w14:paraId="0290276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lang w:val="en-US" w:eastAsia="zh-CN" w:bidi="ar"/>
                    </w:rPr>
                  </w:pPr>
                  <w:r>
                    <w:rPr>
                      <w:rFonts w:hint="eastAsia"/>
                      <w:color w:val="auto"/>
                      <w:sz w:val="21"/>
                      <w:szCs w:val="21"/>
                      <w:highlight w:val="none"/>
                      <w:lang w:val="en-US" w:eastAsia="zh-CN" w:bidi="ar"/>
                    </w:rPr>
                    <w:t>0.1</w:t>
                  </w:r>
                </w:p>
              </w:tc>
              <w:tc>
                <w:tcPr>
                  <w:tcW w:w="618" w:type="dxa"/>
                  <w:vMerge w:val="continue"/>
                  <w:tcBorders>
                    <w:tl2br w:val="nil"/>
                    <w:tr2bl w:val="nil"/>
                  </w:tcBorders>
                  <w:shd w:val="clear" w:color="auto" w:fill="auto"/>
                  <w:vAlign w:val="center"/>
                </w:tcPr>
                <w:p w14:paraId="7C8AA97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lang w:val="en-US" w:bidi="ar"/>
                    </w:rPr>
                  </w:pPr>
                </w:p>
              </w:tc>
            </w:tr>
            <w:tr w14:paraId="0958727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07" w:type="dxa"/>
                  <w:vMerge w:val="continue"/>
                  <w:tcBorders>
                    <w:tl2br w:val="nil"/>
                    <w:tr2bl w:val="nil"/>
                  </w:tcBorders>
                  <w:shd w:val="clear" w:color="auto" w:fill="auto"/>
                  <w:noWrap/>
                  <w:vAlign w:val="center"/>
                </w:tcPr>
                <w:p w14:paraId="39511EC2">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宋体"/>
                      <w:color w:val="auto"/>
                      <w:sz w:val="21"/>
                      <w:szCs w:val="21"/>
                      <w:highlight w:val="none"/>
                      <w:lang w:val="en-US" w:bidi="ar"/>
                    </w:rPr>
                  </w:pPr>
                </w:p>
              </w:tc>
              <w:tc>
                <w:tcPr>
                  <w:tcW w:w="1500" w:type="dxa"/>
                  <w:tcBorders>
                    <w:tl2br w:val="nil"/>
                    <w:tr2bl w:val="nil"/>
                  </w:tcBorders>
                  <w:shd w:val="clear" w:color="auto" w:fill="auto"/>
                  <w:vAlign w:val="center"/>
                </w:tcPr>
                <w:p w14:paraId="28AD0CA2">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废机油</w:t>
                  </w:r>
                </w:p>
              </w:tc>
              <w:tc>
                <w:tcPr>
                  <w:tcW w:w="680" w:type="dxa"/>
                  <w:tcBorders>
                    <w:tl2br w:val="nil"/>
                    <w:tr2bl w:val="nil"/>
                  </w:tcBorders>
                  <w:shd w:val="clear" w:color="auto" w:fill="auto"/>
                  <w:vAlign w:val="center"/>
                </w:tcPr>
                <w:p w14:paraId="7ED41BE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HW08</w:t>
                  </w:r>
                </w:p>
              </w:tc>
              <w:tc>
                <w:tcPr>
                  <w:tcW w:w="1089" w:type="dxa"/>
                  <w:tcBorders>
                    <w:tl2br w:val="nil"/>
                    <w:tr2bl w:val="nil"/>
                  </w:tcBorders>
                  <w:shd w:val="clear" w:color="auto" w:fill="auto"/>
                  <w:vAlign w:val="center"/>
                </w:tcPr>
                <w:p w14:paraId="3A432202">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900-214-08</w:t>
                  </w:r>
                </w:p>
              </w:tc>
              <w:tc>
                <w:tcPr>
                  <w:tcW w:w="858" w:type="dxa"/>
                  <w:vMerge w:val="continue"/>
                  <w:tcBorders>
                    <w:tl2br w:val="nil"/>
                    <w:tr2bl w:val="nil"/>
                  </w:tcBorders>
                  <w:shd w:val="clear" w:color="auto" w:fill="auto"/>
                  <w:vAlign w:val="center"/>
                </w:tcPr>
                <w:p w14:paraId="2524A6A9">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宋体"/>
                      <w:color w:val="auto"/>
                      <w:sz w:val="21"/>
                      <w:szCs w:val="21"/>
                      <w:highlight w:val="none"/>
                      <w:lang w:val="en-US" w:bidi="ar"/>
                    </w:rPr>
                  </w:pPr>
                </w:p>
              </w:tc>
              <w:tc>
                <w:tcPr>
                  <w:tcW w:w="826" w:type="dxa"/>
                  <w:vMerge w:val="continue"/>
                  <w:tcBorders>
                    <w:tl2br w:val="nil"/>
                    <w:tr2bl w:val="nil"/>
                  </w:tcBorders>
                  <w:shd w:val="clear" w:color="auto" w:fill="auto"/>
                  <w:vAlign w:val="center"/>
                </w:tcPr>
                <w:p w14:paraId="325D189A">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lang w:val="en-US" w:bidi="ar"/>
                    </w:rPr>
                  </w:pPr>
                </w:p>
              </w:tc>
              <w:tc>
                <w:tcPr>
                  <w:tcW w:w="878" w:type="dxa"/>
                  <w:tcBorders>
                    <w:tl2br w:val="nil"/>
                    <w:tr2bl w:val="nil"/>
                  </w:tcBorders>
                  <w:shd w:val="clear" w:color="auto" w:fill="auto"/>
                  <w:vAlign w:val="center"/>
                </w:tcPr>
                <w:p w14:paraId="1683BB5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宋体"/>
                      <w:color w:val="auto"/>
                      <w:sz w:val="21"/>
                      <w:szCs w:val="21"/>
                      <w:highlight w:val="none"/>
                      <w:lang w:val="en-US" w:eastAsia="zh-CN" w:bidi="ar"/>
                    </w:rPr>
                  </w:pPr>
                  <w:r>
                    <w:rPr>
                      <w:rFonts w:hint="eastAsia" w:cs="宋体"/>
                      <w:color w:val="auto"/>
                      <w:sz w:val="21"/>
                      <w:szCs w:val="21"/>
                      <w:highlight w:val="none"/>
                      <w:lang w:val="en-US" w:eastAsia="zh-CN" w:bidi="ar"/>
                    </w:rPr>
                    <w:t>密封袋装</w:t>
                  </w:r>
                </w:p>
              </w:tc>
              <w:tc>
                <w:tcPr>
                  <w:tcW w:w="663" w:type="dxa"/>
                  <w:tcBorders>
                    <w:tl2br w:val="nil"/>
                    <w:tr2bl w:val="nil"/>
                  </w:tcBorders>
                  <w:shd w:val="clear" w:color="auto" w:fill="auto"/>
                  <w:vAlign w:val="center"/>
                </w:tcPr>
                <w:p w14:paraId="53EA0EE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lang w:val="en-US" w:eastAsia="zh-CN" w:bidi="ar"/>
                    </w:rPr>
                  </w:pPr>
                  <w:r>
                    <w:rPr>
                      <w:rFonts w:hint="eastAsia"/>
                      <w:color w:val="auto"/>
                      <w:sz w:val="21"/>
                      <w:szCs w:val="21"/>
                      <w:highlight w:val="none"/>
                      <w:lang w:val="en-US" w:eastAsia="zh-CN" w:bidi="ar"/>
                    </w:rPr>
                    <w:t>4</w:t>
                  </w:r>
                </w:p>
              </w:tc>
              <w:tc>
                <w:tcPr>
                  <w:tcW w:w="618" w:type="dxa"/>
                  <w:vMerge w:val="continue"/>
                  <w:tcBorders>
                    <w:tl2br w:val="nil"/>
                    <w:tr2bl w:val="nil"/>
                  </w:tcBorders>
                  <w:shd w:val="clear" w:color="auto" w:fill="auto"/>
                  <w:vAlign w:val="center"/>
                </w:tcPr>
                <w:p w14:paraId="60C98F9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lang w:val="en-US" w:bidi="ar"/>
                    </w:rPr>
                  </w:pPr>
                </w:p>
              </w:tc>
            </w:tr>
            <w:tr w14:paraId="39C732C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07" w:type="dxa"/>
                  <w:vMerge w:val="continue"/>
                  <w:tcBorders>
                    <w:tl2br w:val="nil"/>
                    <w:tr2bl w:val="nil"/>
                  </w:tcBorders>
                  <w:shd w:val="clear" w:color="auto" w:fill="auto"/>
                  <w:noWrap/>
                  <w:vAlign w:val="center"/>
                </w:tcPr>
                <w:p w14:paraId="4123C937">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宋体"/>
                      <w:color w:val="auto"/>
                      <w:sz w:val="21"/>
                      <w:szCs w:val="21"/>
                      <w:highlight w:val="none"/>
                      <w:lang w:val="en-US" w:bidi="ar"/>
                    </w:rPr>
                  </w:pPr>
                </w:p>
              </w:tc>
              <w:tc>
                <w:tcPr>
                  <w:tcW w:w="1500" w:type="dxa"/>
                  <w:tcBorders>
                    <w:tl2br w:val="nil"/>
                    <w:tr2bl w:val="nil"/>
                  </w:tcBorders>
                  <w:shd w:val="clear" w:color="auto" w:fill="auto"/>
                  <w:vAlign w:val="center"/>
                </w:tcPr>
                <w:p w14:paraId="190F52D2">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含油废液</w:t>
                  </w:r>
                </w:p>
              </w:tc>
              <w:tc>
                <w:tcPr>
                  <w:tcW w:w="680" w:type="dxa"/>
                  <w:tcBorders>
                    <w:tl2br w:val="nil"/>
                    <w:tr2bl w:val="nil"/>
                  </w:tcBorders>
                  <w:shd w:val="clear" w:color="auto" w:fill="auto"/>
                  <w:vAlign w:val="center"/>
                </w:tcPr>
                <w:p w14:paraId="0F3FCF6A">
                  <w:pPr>
                    <w:pStyle w:val="21"/>
                    <w:keepNext w:val="0"/>
                    <w:keepLines w:val="0"/>
                    <w:suppressLineNumbers w:val="0"/>
                    <w:spacing w:before="0" w:beforeAutospacing="0" w:after="0" w:afterAutospacing="0"/>
                    <w:ind w:left="0" w:leftChars="0" w:right="0" w:rightChars="0" w:firstLine="0" w:firstLineChars="0"/>
                    <w:rPr>
                      <w:rFonts w:hint="default"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HW09</w:t>
                  </w:r>
                </w:p>
              </w:tc>
              <w:tc>
                <w:tcPr>
                  <w:tcW w:w="1089" w:type="dxa"/>
                  <w:tcBorders>
                    <w:tl2br w:val="nil"/>
                    <w:tr2bl w:val="nil"/>
                  </w:tcBorders>
                  <w:shd w:val="clear" w:color="auto" w:fill="auto"/>
                  <w:vAlign w:val="center"/>
                </w:tcPr>
                <w:p w14:paraId="38A202B7">
                  <w:pPr>
                    <w:pStyle w:val="21"/>
                    <w:keepNext w:val="0"/>
                    <w:keepLines w:val="0"/>
                    <w:suppressLineNumbers w:val="0"/>
                    <w:spacing w:before="0" w:beforeAutospacing="0" w:after="0" w:afterAutospacing="0"/>
                    <w:ind w:left="0" w:leftChars="0" w:right="0" w:rightChars="0" w:firstLine="0" w:firstLineChars="0"/>
                    <w:rPr>
                      <w:rFonts w:hint="default"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900-007-09</w:t>
                  </w:r>
                </w:p>
              </w:tc>
              <w:tc>
                <w:tcPr>
                  <w:tcW w:w="858" w:type="dxa"/>
                  <w:vMerge w:val="continue"/>
                  <w:tcBorders>
                    <w:tl2br w:val="nil"/>
                    <w:tr2bl w:val="nil"/>
                  </w:tcBorders>
                  <w:shd w:val="clear" w:color="auto" w:fill="auto"/>
                  <w:vAlign w:val="center"/>
                </w:tcPr>
                <w:p w14:paraId="70ABF1E4">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宋体"/>
                      <w:color w:val="auto"/>
                      <w:sz w:val="21"/>
                      <w:szCs w:val="21"/>
                      <w:highlight w:val="none"/>
                      <w:lang w:val="en-US" w:bidi="ar"/>
                    </w:rPr>
                  </w:pPr>
                </w:p>
              </w:tc>
              <w:tc>
                <w:tcPr>
                  <w:tcW w:w="826" w:type="dxa"/>
                  <w:vMerge w:val="continue"/>
                  <w:tcBorders>
                    <w:tl2br w:val="nil"/>
                    <w:tr2bl w:val="nil"/>
                  </w:tcBorders>
                  <w:shd w:val="clear" w:color="auto" w:fill="auto"/>
                  <w:vAlign w:val="center"/>
                </w:tcPr>
                <w:p w14:paraId="30D3AC8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lang w:val="en-US" w:bidi="ar"/>
                    </w:rPr>
                  </w:pPr>
                </w:p>
              </w:tc>
              <w:tc>
                <w:tcPr>
                  <w:tcW w:w="878" w:type="dxa"/>
                  <w:tcBorders>
                    <w:tl2br w:val="nil"/>
                    <w:tr2bl w:val="nil"/>
                  </w:tcBorders>
                  <w:shd w:val="clear" w:color="auto" w:fill="auto"/>
                  <w:vAlign w:val="center"/>
                </w:tcPr>
                <w:p w14:paraId="53C96EAF">
                  <w:pPr>
                    <w:keepNext w:val="0"/>
                    <w:keepLines w:val="0"/>
                    <w:suppressLineNumbers w:val="0"/>
                    <w:spacing w:before="0" w:beforeAutospacing="0" w:after="0" w:afterAutospacing="0" w:line="240" w:lineRule="auto"/>
                    <w:ind w:left="0" w:right="0" w:firstLine="0" w:firstLineChars="0"/>
                    <w:jc w:val="center"/>
                    <w:rPr>
                      <w:rFonts w:hint="eastAsia" w:cs="宋体"/>
                      <w:color w:val="auto"/>
                      <w:sz w:val="21"/>
                      <w:szCs w:val="21"/>
                      <w:highlight w:val="none"/>
                      <w:lang w:val="en-US" w:eastAsia="zh-CN" w:bidi="ar"/>
                    </w:rPr>
                  </w:pPr>
                  <w:r>
                    <w:rPr>
                      <w:rFonts w:hint="eastAsia" w:cs="宋体"/>
                      <w:color w:val="auto"/>
                      <w:sz w:val="21"/>
                      <w:szCs w:val="21"/>
                      <w:highlight w:val="none"/>
                      <w:lang w:val="en-US" w:eastAsia="zh-CN" w:bidi="ar"/>
                    </w:rPr>
                    <w:t>密封桶装</w:t>
                  </w:r>
                </w:p>
              </w:tc>
              <w:tc>
                <w:tcPr>
                  <w:tcW w:w="663" w:type="dxa"/>
                  <w:tcBorders>
                    <w:tl2br w:val="nil"/>
                    <w:tr2bl w:val="nil"/>
                  </w:tcBorders>
                  <w:shd w:val="clear" w:color="auto" w:fill="auto"/>
                  <w:vAlign w:val="center"/>
                </w:tcPr>
                <w:p w14:paraId="0003ADA6">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lang w:val="en-US" w:eastAsia="zh-CN" w:bidi="ar"/>
                    </w:rPr>
                  </w:pPr>
                  <w:r>
                    <w:rPr>
                      <w:rFonts w:hint="eastAsia"/>
                      <w:color w:val="auto"/>
                      <w:sz w:val="21"/>
                      <w:szCs w:val="21"/>
                      <w:highlight w:val="none"/>
                      <w:lang w:val="en-US" w:eastAsia="zh-CN" w:bidi="ar"/>
                    </w:rPr>
                    <w:t>1</w:t>
                  </w:r>
                </w:p>
              </w:tc>
              <w:tc>
                <w:tcPr>
                  <w:tcW w:w="618" w:type="dxa"/>
                  <w:vMerge w:val="continue"/>
                  <w:tcBorders>
                    <w:tl2br w:val="nil"/>
                    <w:tr2bl w:val="nil"/>
                  </w:tcBorders>
                  <w:shd w:val="clear" w:color="auto" w:fill="auto"/>
                  <w:vAlign w:val="center"/>
                </w:tcPr>
                <w:p w14:paraId="2B30D8C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lang w:val="en-US" w:bidi="ar"/>
                    </w:rPr>
                  </w:pPr>
                </w:p>
              </w:tc>
            </w:tr>
            <w:tr w14:paraId="119F0AE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07" w:type="dxa"/>
                  <w:vMerge w:val="continue"/>
                  <w:tcBorders>
                    <w:tl2br w:val="nil"/>
                    <w:tr2bl w:val="nil"/>
                  </w:tcBorders>
                  <w:shd w:val="clear" w:color="auto" w:fill="auto"/>
                  <w:noWrap/>
                  <w:vAlign w:val="center"/>
                </w:tcPr>
                <w:p w14:paraId="3A2E2224">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宋体"/>
                      <w:color w:val="auto"/>
                      <w:sz w:val="21"/>
                      <w:szCs w:val="21"/>
                      <w:highlight w:val="none"/>
                      <w:lang w:val="en-US" w:bidi="ar"/>
                    </w:rPr>
                  </w:pPr>
                </w:p>
              </w:tc>
              <w:tc>
                <w:tcPr>
                  <w:tcW w:w="1500" w:type="dxa"/>
                  <w:tcBorders>
                    <w:tl2br w:val="nil"/>
                    <w:tr2bl w:val="nil"/>
                  </w:tcBorders>
                  <w:shd w:val="clear" w:color="auto" w:fill="auto"/>
                  <w:vAlign w:val="center"/>
                </w:tcPr>
                <w:p w14:paraId="616ED8B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废活性炭</w:t>
                  </w:r>
                </w:p>
              </w:tc>
              <w:tc>
                <w:tcPr>
                  <w:tcW w:w="680" w:type="dxa"/>
                  <w:tcBorders>
                    <w:tl2br w:val="nil"/>
                    <w:tr2bl w:val="nil"/>
                  </w:tcBorders>
                  <w:shd w:val="clear" w:color="auto" w:fill="auto"/>
                  <w:vAlign w:val="center"/>
                </w:tcPr>
                <w:p w14:paraId="6FD8BE9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HW49</w:t>
                  </w:r>
                </w:p>
              </w:tc>
              <w:tc>
                <w:tcPr>
                  <w:tcW w:w="1089" w:type="dxa"/>
                  <w:tcBorders>
                    <w:tl2br w:val="nil"/>
                    <w:tr2bl w:val="nil"/>
                  </w:tcBorders>
                  <w:shd w:val="clear" w:color="auto" w:fill="auto"/>
                  <w:vAlign w:val="center"/>
                </w:tcPr>
                <w:p w14:paraId="7A8BA3A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900-039-49</w:t>
                  </w:r>
                </w:p>
              </w:tc>
              <w:tc>
                <w:tcPr>
                  <w:tcW w:w="858" w:type="dxa"/>
                  <w:vMerge w:val="continue"/>
                  <w:tcBorders>
                    <w:tl2br w:val="nil"/>
                    <w:tr2bl w:val="nil"/>
                  </w:tcBorders>
                  <w:shd w:val="clear" w:color="auto" w:fill="auto"/>
                  <w:vAlign w:val="center"/>
                </w:tcPr>
                <w:p w14:paraId="5F47FC88">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宋体"/>
                      <w:color w:val="auto"/>
                      <w:sz w:val="21"/>
                      <w:szCs w:val="21"/>
                      <w:highlight w:val="none"/>
                      <w:lang w:val="en-US" w:bidi="ar"/>
                    </w:rPr>
                  </w:pPr>
                </w:p>
              </w:tc>
              <w:tc>
                <w:tcPr>
                  <w:tcW w:w="826" w:type="dxa"/>
                  <w:vMerge w:val="continue"/>
                  <w:tcBorders>
                    <w:tl2br w:val="nil"/>
                    <w:tr2bl w:val="nil"/>
                  </w:tcBorders>
                  <w:shd w:val="clear" w:color="auto" w:fill="auto"/>
                  <w:vAlign w:val="center"/>
                </w:tcPr>
                <w:p w14:paraId="4F71E36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lang w:val="en-US" w:bidi="ar"/>
                    </w:rPr>
                  </w:pPr>
                </w:p>
              </w:tc>
              <w:tc>
                <w:tcPr>
                  <w:tcW w:w="878" w:type="dxa"/>
                  <w:tcBorders>
                    <w:tl2br w:val="nil"/>
                    <w:tr2bl w:val="nil"/>
                  </w:tcBorders>
                  <w:shd w:val="clear" w:color="auto" w:fill="auto"/>
                  <w:vAlign w:val="center"/>
                </w:tcPr>
                <w:p w14:paraId="7F730C2D">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宋体"/>
                      <w:color w:val="auto"/>
                      <w:sz w:val="21"/>
                      <w:szCs w:val="21"/>
                      <w:highlight w:val="none"/>
                      <w:lang w:val="en-US" w:bidi="ar"/>
                    </w:rPr>
                  </w:pPr>
                  <w:r>
                    <w:rPr>
                      <w:rFonts w:hint="eastAsia" w:cs="宋体"/>
                      <w:color w:val="auto"/>
                      <w:sz w:val="21"/>
                      <w:szCs w:val="21"/>
                      <w:highlight w:val="none"/>
                      <w:lang w:val="en-US" w:eastAsia="zh-CN" w:bidi="ar"/>
                    </w:rPr>
                    <w:t>密封袋装</w:t>
                  </w:r>
                </w:p>
              </w:tc>
              <w:tc>
                <w:tcPr>
                  <w:tcW w:w="663" w:type="dxa"/>
                  <w:tcBorders>
                    <w:tl2br w:val="nil"/>
                    <w:tr2bl w:val="nil"/>
                  </w:tcBorders>
                  <w:shd w:val="clear" w:color="auto" w:fill="auto"/>
                  <w:vAlign w:val="center"/>
                </w:tcPr>
                <w:p w14:paraId="21DB93D8">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olor w:val="auto"/>
                      <w:sz w:val="21"/>
                      <w:szCs w:val="21"/>
                      <w:highlight w:val="none"/>
                      <w:lang w:val="en-US" w:eastAsia="zh-CN" w:bidi="ar"/>
                    </w:rPr>
                  </w:pPr>
                  <w:r>
                    <w:rPr>
                      <w:rFonts w:hint="eastAsia"/>
                      <w:color w:val="auto"/>
                      <w:sz w:val="21"/>
                      <w:szCs w:val="21"/>
                      <w:highlight w:val="none"/>
                      <w:lang w:val="en-US" w:eastAsia="zh-CN" w:bidi="ar"/>
                    </w:rPr>
                    <w:t>6</w:t>
                  </w:r>
                </w:p>
              </w:tc>
              <w:tc>
                <w:tcPr>
                  <w:tcW w:w="618" w:type="dxa"/>
                  <w:vMerge w:val="continue"/>
                  <w:tcBorders>
                    <w:tl2br w:val="nil"/>
                    <w:tr2bl w:val="nil"/>
                  </w:tcBorders>
                  <w:shd w:val="clear" w:color="auto" w:fill="auto"/>
                  <w:vAlign w:val="center"/>
                </w:tcPr>
                <w:p w14:paraId="0D6CBAF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lang w:val="en-US" w:bidi="ar"/>
                    </w:rPr>
                  </w:pPr>
                </w:p>
              </w:tc>
            </w:tr>
          </w:tbl>
          <w:p w14:paraId="297BA414">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根据《危险废物贮存污染控制标准》（GB18597—2023），本项目</w:t>
            </w:r>
            <w:r>
              <w:rPr>
                <w:rFonts w:hint="eastAsia" w:ascii="Times New Roman" w:hAnsi="Times New Roman" w:eastAsia="宋体"/>
                <w:color w:val="auto"/>
                <w:highlight w:val="none"/>
                <w:lang w:val="en-US"/>
              </w:rPr>
              <w:t>危废仓库</w:t>
            </w:r>
            <w:r>
              <w:rPr>
                <w:rFonts w:hint="default" w:ascii="Times New Roman" w:hAnsi="Times New Roman" w:eastAsia="宋体"/>
                <w:color w:val="auto"/>
                <w:highlight w:val="none"/>
                <w:lang w:val="en-US"/>
              </w:rPr>
              <w:t>建设应满足如下要求：</w:t>
            </w:r>
          </w:p>
          <w:p w14:paraId="7F110369">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应具有液体泄漏堵截设施，堵截设施最小容积不应低于对应贮存区域最大液态废物容器容积或液态废物总储</w:t>
            </w:r>
            <w:r>
              <w:rPr>
                <w:rFonts w:hint="eastAsia" w:ascii="Times New Roman" w:hAnsi="Times New Roman" w:eastAsia="宋体"/>
                <w:color w:val="auto"/>
                <w:highlight w:val="none"/>
                <w:lang w:val="en-US" w:eastAsia="zh-CN"/>
              </w:rPr>
              <w:t>量的</w:t>
            </w:r>
            <w:r>
              <w:rPr>
                <w:rFonts w:hint="default" w:ascii="Times New Roman" w:hAnsi="Times New Roman" w:eastAsia="宋体"/>
                <w:color w:val="auto"/>
                <w:highlight w:val="none"/>
                <w:lang w:val="en-US"/>
              </w:rPr>
              <w:t>1/10（二者取较大者）；设计渗滤液收集设施，收集设施容积应满足渗滤液的收集要求。</w:t>
            </w:r>
          </w:p>
          <w:p w14:paraId="4ABCC902">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按照《建设项目环境风险评价技术导则》（HJ169-2018），本项目的危险废物</w:t>
            </w:r>
            <w:r>
              <w:rPr>
                <w:rFonts w:hint="eastAsia"/>
                <w:color w:val="auto"/>
                <w:highlight w:val="none"/>
                <w:lang w:val="en-US" w:eastAsia="zh-CN"/>
              </w:rPr>
              <w:t>废紫外灯管、废机油桶、废化学品包装桶、废机油、废活性炭</w:t>
            </w:r>
            <w:r>
              <w:rPr>
                <w:rFonts w:hint="default" w:ascii="Times New Roman" w:hAnsi="Times New Roman" w:eastAsia="宋体"/>
                <w:color w:val="auto"/>
                <w:highlight w:val="none"/>
                <w:lang w:val="en-US"/>
              </w:rPr>
              <w:t>具有</w:t>
            </w:r>
            <w:r>
              <w:rPr>
                <w:rFonts w:hint="eastAsia" w:ascii="Times New Roman" w:hAnsi="Times New Roman" w:eastAsia="宋体"/>
                <w:color w:val="auto"/>
                <w:highlight w:val="none"/>
                <w:lang w:val="en-US" w:eastAsia="zh-CN"/>
              </w:rPr>
              <w:t>毒性和</w:t>
            </w:r>
            <w:r>
              <w:rPr>
                <w:rFonts w:hint="eastAsia"/>
                <w:color w:val="auto"/>
                <w:highlight w:val="none"/>
                <w:lang w:val="en-US" w:eastAsia="zh-CN"/>
              </w:rPr>
              <w:t>可燃性</w:t>
            </w:r>
            <w:r>
              <w:rPr>
                <w:rFonts w:hint="default" w:ascii="Times New Roman" w:hAnsi="Times New Roman" w:eastAsia="宋体"/>
                <w:color w:val="auto"/>
                <w:highlight w:val="none"/>
                <w:lang w:val="en-US"/>
              </w:rPr>
              <w:t>，</w:t>
            </w:r>
            <w:r>
              <w:rPr>
                <w:rFonts w:hint="eastAsia"/>
                <w:color w:val="auto"/>
                <w:highlight w:val="none"/>
                <w:lang w:val="en-US" w:eastAsia="zh-CN"/>
              </w:rPr>
              <w:t>其中废机油、含油废液</w:t>
            </w:r>
            <w:r>
              <w:rPr>
                <w:rFonts w:hint="eastAsia" w:ascii="Times New Roman" w:hAnsi="Times New Roman" w:eastAsia="宋体"/>
                <w:color w:val="auto"/>
                <w:highlight w:val="none"/>
                <w:lang w:val="en-US" w:eastAsia="zh-CN"/>
              </w:rPr>
              <w:t>呈液态，</w:t>
            </w:r>
            <w:r>
              <w:rPr>
                <w:rFonts w:hint="default" w:ascii="Times New Roman" w:hAnsi="Times New Roman" w:eastAsia="宋体"/>
                <w:color w:val="auto"/>
                <w:highlight w:val="none"/>
                <w:lang w:val="en-US"/>
              </w:rPr>
              <w:t>存在泄漏风险，建设单位</w:t>
            </w:r>
            <w:r>
              <w:rPr>
                <w:rFonts w:hint="eastAsia" w:ascii="Times New Roman" w:hAnsi="Times New Roman" w:eastAsia="宋体"/>
                <w:color w:val="auto"/>
                <w:highlight w:val="none"/>
                <w:lang w:val="en-US" w:eastAsia="zh-CN"/>
              </w:rPr>
              <w:t>应</w:t>
            </w:r>
            <w:r>
              <w:rPr>
                <w:rFonts w:hint="default" w:ascii="Times New Roman" w:hAnsi="Times New Roman" w:eastAsia="宋体"/>
                <w:color w:val="auto"/>
                <w:highlight w:val="none"/>
                <w:lang w:val="en-US"/>
              </w:rPr>
              <w:t>在</w:t>
            </w:r>
            <w:r>
              <w:rPr>
                <w:rFonts w:hint="eastAsia"/>
                <w:color w:val="auto"/>
                <w:highlight w:val="none"/>
                <w:lang w:val="en-US" w:eastAsia="zh-CN"/>
              </w:rPr>
              <w:t>液态</w:t>
            </w:r>
            <w:r>
              <w:rPr>
                <w:rFonts w:hint="eastAsia" w:ascii="Times New Roman" w:hAnsi="Times New Roman" w:eastAsia="宋体"/>
                <w:color w:val="auto"/>
                <w:highlight w:val="none"/>
                <w:lang w:val="en-US" w:eastAsia="zh-CN"/>
              </w:rPr>
              <w:t>危险废物包装容器</w:t>
            </w:r>
            <w:r>
              <w:rPr>
                <w:rFonts w:hint="default" w:ascii="Times New Roman" w:hAnsi="Times New Roman" w:eastAsia="宋体"/>
                <w:color w:val="auto"/>
                <w:highlight w:val="none"/>
                <w:lang w:val="en-US"/>
              </w:rPr>
              <w:t>下方设置不锈钢托盘，或在危废暂存场所设置地沟</w:t>
            </w:r>
            <w:r>
              <w:rPr>
                <w:rFonts w:hint="eastAsia" w:ascii="Times New Roman" w:hAnsi="Times New Roman" w:eastAsia="宋体"/>
                <w:color w:val="auto"/>
                <w:highlight w:val="none"/>
                <w:lang w:val="en-US"/>
              </w:rPr>
              <w:t>、集液槽</w:t>
            </w:r>
            <w:r>
              <w:rPr>
                <w:rFonts w:hint="default" w:ascii="Times New Roman" w:hAnsi="Times New Roman" w:eastAsia="宋体"/>
                <w:color w:val="auto"/>
                <w:highlight w:val="none"/>
                <w:lang w:val="en-US"/>
              </w:rPr>
              <w:t>等，发生少量泄漏应立即将容器内剩余溶液转移，并收集托盘、地沟</w:t>
            </w:r>
            <w:r>
              <w:rPr>
                <w:rFonts w:hint="eastAsia" w:ascii="Times New Roman" w:hAnsi="Times New Roman" w:eastAsia="宋体"/>
                <w:color w:val="auto"/>
                <w:highlight w:val="none"/>
                <w:lang w:val="en-US"/>
              </w:rPr>
              <w:t>、集液槽</w:t>
            </w:r>
            <w:r>
              <w:rPr>
                <w:rFonts w:hint="default" w:ascii="Times New Roman" w:hAnsi="Times New Roman" w:eastAsia="宋体"/>
                <w:color w:val="auto"/>
                <w:highlight w:val="none"/>
                <w:lang w:val="en-US"/>
              </w:rPr>
              <w:t>内泄漏液体，</w:t>
            </w:r>
            <w:r>
              <w:rPr>
                <w:rFonts w:hint="eastAsia" w:ascii="Times New Roman" w:hAnsi="Times New Roman" w:eastAsia="宋体"/>
                <w:color w:val="auto"/>
                <w:highlight w:val="none"/>
                <w:lang w:val="en-US"/>
              </w:rPr>
              <w:t>防止通过雨水管网进入外环境</w:t>
            </w:r>
            <w:r>
              <w:rPr>
                <w:rFonts w:hint="eastAsia" w:ascii="Times New Roman" w:hAnsi="Times New Roman" w:eastAsia="宋体"/>
                <w:color w:val="auto"/>
                <w:highlight w:val="none"/>
                <w:lang w:val="en-US" w:eastAsia="zh-CN"/>
              </w:rPr>
              <w:t>，同时应配备灭火器、消防砂等消防灭火设施。</w:t>
            </w:r>
            <w:r>
              <w:rPr>
                <w:rFonts w:hint="eastAsia" w:ascii="Times New Roman" w:hAnsi="Times New Roman" w:eastAsia="宋体"/>
                <w:color w:val="auto"/>
                <w:highlight w:val="none"/>
                <w:lang w:val="en-US"/>
              </w:rPr>
              <w:t>本项目产生的</w:t>
            </w:r>
            <w:r>
              <w:rPr>
                <w:rFonts w:hint="eastAsia" w:ascii="Times New Roman" w:hAnsi="Times New Roman" w:eastAsia="宋体"/>
                <w:color w:val="auto"/>
                <w:highlight w:val="none"/>
                <w:lang w:val="en-US" w:eastAsia="zh-CN"/>
              </w:rPr>
              <w:t>废机油</w:t>
            </w:r>
            <w:r>
              <w:rPr>
                <w:rFonts w:hint="eastAsia" w:ascii="Times New Roman" w:hAnsi="Times New Roman" w:eastAsia="宋体"/>
                <w:color w:val="auto"/>
                <w:highlight w:val="none"/>
                <w:lang w:val="en-US"/>
              </w:rPr>
              <w:t>一旦储存不当导致包装桶内</w:t>
            </w:r>
            <w:r>
              <w:rPr>
                <w:rFonts w:hint="eastAsia" w:ascii="Times New Roman" w:hAnsi="Times New Roman" w:eastAsia="宋体"/>
                <w:color w:val="auto"/>
                <w:highlight w:val="none"/>
                <w:lang w:val="en-US" w:eastAsia="zh-CN"/>
              </w:rPr>
              <w:t>破损，危废</w:t>
            </w:r>
            <w:r>
              <w:rPr>
                <w:rFonts w:hint="eastAsia" w:ascii="Times New Roman" w:hAnsi="Times New Roman" w:eastAsia="宋体"/>
                <w:color w:val="auto"/>
                <w:highlight w:val="none"/>
                <w:lang w:val="en-US"/>
              </w:rPr>
              <w:t>泄漏</w:t>
            </w:r>
            <w:r>
              <w:rPr>
                <w:rFonts w:hint="eastAsia" w:ascii="Times New Roman" w:hAnsi="Times New Roman" w:eastAsia="宋体"/>
                <w:color w:val="auto"/>
                <w:highlight w:val="none"/>
                <w:lang w:val="en-US" w:eastAsia="zh-CN"/>
              </w:rPr>
              <w:t>引起火灾，次生/伴生CO等污染物会污染局部环境空气</w:t>
            </w:r>
            <w:r>
              <w:rPr>
                <w:rFonts w:hint="eastAsia" w:ascii="Times New Roman" w:hAnsi="Times New Roman" w:eastAsia="宋体"/>
                <w:color w:val="auto"/>
                <w:highlight w:val="none"/>
                <w:lang w:val="en-US"/>
              </w:rPr>
              <w:t>，泄漏的废液</w:t>
            </w:r>
            <w:r>
              <w:rPr>
                <w:rFonts w:hint="eastAsia" w:ascii="Times New Roman" w:hAnsi="Times New Roman" w:eastAsia="宋体"/>
                <w:color w:val="auto"/>
                <w:highlight w:val="none"/>
                <w:lang w:val="en-US" w:eastAsia="zh-CN"/>
              </w:rPr>
              <w:t>和消防废水</w:t>
            </w:r>
            <w:r>
              <w:rPr>
                <w:rFonts w:hint="eastAsia" w:ascii="Times New Roman" w:hAnsi="Times New Roman" w:eastAsia="宋体"/>
                <w:color w:val="auto"/>
                <w:highlight w:val="none"/>
                <w:lang w:val="en-US"/>
              </w:rPr>
              <w:t>可能会进入雨、污管网，随雨水进入河流，进而造成地表水的污染。</w:t>
            </w:r>
          </w:p>
          <w:p w14:paraId="477820ED">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1）对环境空气的影响：</w:t>
            </w:r>
          </w:p>
          <w:p w14:paraId="6693FDB6">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本项目危险废物</w:t>
            </w:r>
            <w:r>
              <w:rPr>
                <w:rFonts w:hint="eastAsia" w:ascii="Times New Roman" w:hAnsi="Times New Roman" w:eastAsia="宋体"/>
                <w:color w:val="auto"/>
                <w:highlight w:val="none"/>
                <w:lang w:val="en-US" w:eastAsia="zh-CN"/>
              </w:rPr>
              <w:t>若发生火灾，次生/伴生CO等污染物会污染局部环境空气</w:t>
            </w:r>
            <w:r>
              <w:rPr>
                <w:rFonts w:hint="default" w:ascii="Times New Roman" w:hAnsi="Times New Roman" w:eastAsia="宋体"/>
                <w:color w:val="auto"/>
                <w:highlight w:val="none"/>
                <w:lang w:val="en-US"/>
              </w:rPr>
              <w:t>。</w:t>
            </w:r>
          </w:p>
          <w:p w14:paraId="5679123F">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2）对地表水的影响：</w:t>
            </w:r>
          </w:p>
          <w:p w14:paraId="7DBDE0A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危废</w:t>
            </w:r>
            <w:r>
              <w:rPr>
                <w:rFonts w:hint="eastAsia"/>
                <w:color w:val="auto"/>
                <w:highlight w:val="none"/>
                <w:lang w:val="en-US" w:eastAsia="zh-CN"/>
              </w:rPr>
              <w:t>暂存点</w:t>
            </w:r>
            <w:r>
              <w:rPr>
                <w:rFonts w:hint="default" w:ascii="Times New Roman" w:hAnsi="Times New Roman" w:eastAsia="宋体"/>
                <w:color w:val="auto"/>
                <w:highlight w:val="none"/>
                <w:lang w:val="en-US"/>
              </w:rPr>
              <w:t>具有防雨、防漏、防渗措施，当事故发生时，不会产生废液进入厂区雨水系统，对周边地表水产生不良影响。</w:t>
            </w:r>
          </w:p>
          <w:p w14:paraId="785FC0AD">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3）对地下水的影响：</w:t>
            </w:r>
          </w:p>
          <w:p w14:paraId="0C6FA99B">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危险废物暂存场所应按照《危险废物贮存污染控制标准（GB18597-2023）》要求，进行防腐、防渗，暂存场所地面铺设等效2mm厚高密度聚乙烯防渗层，渗透系数≤10</w:t>
            </w:r>
            <w:r>
              <w:rPr>
                <w:rFonts w:hint="default" w:ascii="Times New Roman" w:hAnsi="Times New Roman" w:eastAsia="宋体"/>
                <w:color w:val="auto"/>
                <w:highlight w:val="none"/>
                <w:vertAlign w:val="superscript"/>
                <w:lang w:val="en-US"/>
              </w:rPr>
              <w:t>-10</w:t>
            </w:r>
            <w:r>
              <w:rPr>
                <w:rFonts w:hint="default" w:ascii="Times New Roman" w:hAnsi="Times New Roman" w:eastAsia="宋体"/>
                <w:color w:val="auto"/>
                <w:highlight w:val="none"/>
                <w:lang w:val="en-US"/>
              </w:rPr>
              <w:t>cm/s，设集液托盘</w:t>
            </w:r>
            <w:r>
              <w:rPr>
                <w:rFonts w:hint="eastAsia" w:ascii="Times New Roman" w:hAnsi="Times New Roman" w:eastAsia="宋体"/>
                <w:color w:val="auto"/>
                <w:highlight w:val="none"/>
                <w:lang w:val="en-US"/>
              </w:rPr>
              <w:t>或导流沟、集液槽</w:t>
            </w:r>
            <w:r>
              <w:rPr>
                <w:rFonts w:hint="default" w:ascii="Times New Roman" w:hAnsi="Times New Roman" w:eastAsia="宋体"/>
                <w:color w:val="auto"/>
                <w:highlight w:val="none"/>
                <w:lang w:val="en-US"/>
              </w:rPr>
              <w:t>，正常情况下不会泄漏至室外污染土壤和地下水，不会对区域地下水环境产生影响。</w:t>
            </w:r>
          </w:p>
          <w:p w14:paraId="32CA636B">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4）对环境敏感保护目标的影响：</w:t>
            </w:r>
          </w:p>
          <w:p w14:paraId="1954DDFC">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本项目暂存的危险废物按要求妥善保管，暂存场地地面按控制标准的要求做了防渗漏处理，一旦发生泄漏事故及时采取控制措施，环境风险水平在可控制范围内。</w:t>
            </w:r>
          </w:p>
          <w:p w14:paraId="67D4C56A">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综上，本项目危废发生少量泄漏事件，可及时收集，能及时处置，影响不会扩散，能够控制厂区内，环境风险可接受。</w:t>
            </w:r>
          </w:p>
          <w:p w14:paraId="68A66E8A">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综上所述，本项目产生的固体废物均得到合理处置，不会产生二次污染，对周围环境影响较小。</w:t>
            </w:r>
          </w:p>
          <w:p w14:paraId="53EB87B6">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5、土壤、地下水环境影响分析</w:t>
            </w:r>
          </w:p>
          <w:p w14:paraId="0DC23A52">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（1）地下水、土壤污染源分析</w:t>
            </w:r>
          </w:p>
          <w:p w14:paraId="6F441029">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eastAsia="zh-CN"/>
              </w:rPr>
            </w:pPr>
            <w:r>
              <w:rPr>
                <w:rFonts w:hint="eastAsia"/>
                <w:color w:val="auto"/>
                <w:highlight w:val="none"/>
                <w:lang w:val="en-US" w:eastAsia="zh-CN"/>
              </w:rPr>
              <w:t>本项目位于</w:t>
            </w:r>
            <w:r>
              <w:rPr>
                <w:rFonts w:hint="eastAsia"/>
                <w:bCs/>
                <w:color w:val="auto"/>
                <w:sz w:val="24"/>
                <w:highlight w:val="none"/>
                <w:lang w:val="en-US" w:eastAsia="zh-CN"/>
              </w:rPr>
              <w:t>南京娃哈哈饮料有限公司厂区内，南京娃哈哈饮料有限公司厂区已建设完善的雨污分流排水系统，厂区所有企业生产废水及生活污水均经南京娃哈哈饮料有限公司污水处理站预处理后达标排放。本项目主要原辅材料、固体废物均依托租赁厂区原料仓库、危险化学品仓库、危废仓库及一般工业固废仓库贮存，废水亦依托租赁厂区排水管网及污水处理站收集处理。南京娃哈哈饮料有限公司已对危险化学品仓库、危废仓库、污水处理站等可能造成地下水污染区域采取防渗措施。</w:t>
            </w:r>
            <w:r>
              <w:rPr>
                <w:rFonts w:hint="default" w:ascii="Times New Roman" w:hAnsi="Times New Roman" w:eastAsia="宋体"/>
                <w:color w:val="auto"/>
                <w:highlight w:val="none"/>
              </w:rPr>
              <w:t>根据工程分析结果，本项目地下水、土壤环境影响源及影响途径见</w:t>
            </w:r>
            <w:r>
              <w:rPr>
                <w:rFonts w:hint="eastAsia" w:ascii="Times New Roman" w:hAnsi="Times New Roman" w:eastAsia="宋体"/>
                <w:color w:val="auto"/>
                <w:highlight w:val="none"/>
                <w:lang w:val="en-US" w:eastAsia="zh-CN"/>
              </w:rPr>
              <w:t>下</w:t>
            </w:r>
            <w:r>
              <w:rPr>
                <w:rFonts w:hint="default" w:ascii="Times New Roman" w:hAnsi="Times New Roman" w:eastAsia="宋体"/>
                <w:color w:val="auto"/>
                <w:highlight w:val="none"/>
              </w:rPr>
              <w:t>表</w:t>
            </w:r>
            <w:r>
              <w:rPr>
                <w:rFonts w:hint="eastAsia" w:ascii="Times New Roman" w:hAnsi="Times New Roman" w:eastAsia="宋体"/>
                <w:color w:val="auto"/>
                <w:highlight w:val="none"/>
                <w:lang w:val="en-US" w:eastAsia="zh-CN"/>
              </w:rPr>
              <w:t>：</w:t>
            </w:r>
          </w:p>
          <w:p w14:paraId="10FA5331">
            <w:pPr>
              <w:pStyle w:val="23"/>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表4-2</w:t>
            </w:r>
            <w:r>
              <w:rPr>
                <w:rFonts w:hint="eastAsia"/>
                <w:color w:val="auto"/>
                <w:highlight w:val="none"/>
                <w:lang w:val="en-US" w:eastAsia="zh-CN"/>
              </w:rPr>
              <w:t>5</w:t>
            </w:r>
            <w:r>
              <w:rPr>
                <w:rFonts w:hint="eastAsia" w:ascii="Times New Roman" w:hAnsi="Times New Roman" w:eastAsia="宋体"/>
                <w:color w:val="auto"/>
                <w:highlight w:val="none"/>
                <w:lang w:val="en-US" w:eastAsia="zh-CN"/>
              </w:rPr>
              <w:t>建设项目土壤环境影响源及影响因子识别</w:t>
            </w:r>
          </w:p>
          <w:tbl>
            <w:tblPr>
              <w:tblStyle w:val="1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73"/>
              <w:gridCol w:w="1250"/>
              <w:gridCol w:w="1684"/>
              <w:gridCol w:w="1674"/>
              <w:gridCol w:w="1109"/>
              <w:gridCol w:w="829"/>
            </w:tblGrid>
            <w:tr w14:paraId="251E8C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4" w:type="pct"/>
                  <w:vAlign w:val="center"/>
                </w:tcPr>
                <w:p w14:paraId="1240B779">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zh-CN"/>
                    </w:rPr>
                  </w:pPr>
                  <w:r>
                    <w:rPr>
                      <w:rFonts w:hint="default" w:ascii="Times New Roman" w:hAnsi="Times New Roman" w:eastAsia="宋体"/>
                      <w:b/>
                      <w:bCs/>
                      <w:color w:val="auto"/>
                      <w:highlight w:val="none"/>
                      <w:lang w:val="zh-CN"/>
                    </w:rPr>
                    <w:t>污染源</w:t>
                  </w:r>
                </w:p>
              </w:tc>
              <w:tc>
                <w:tcPr>
                  <w:tcW w:w="799" w:type="pct"/>
                  <w:vAlign w:val="center"/>
                </w:tcPr>
                <w:p w14:paraId="73BC1083">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zh-CN"/>
                    </w:rPr>
                  </w:pPr>
                  <w:r>
                    <w:rPr>
                      <w:rFonts w:hint="default" w:ascii="Times New Roman" w:hAnsi="Times New Roman" w:eastAsia="宋体"/>
                      <w:b/>
                      <w:bCs/>
                      <w:color w:val="auto"/>
                      <w:highlight w:val="none"/>
                      <w:lang w:val="zh-CN"/>
                    </w:rPr>
                    <w:t>污染工序</w:t>
                  </w:r>
                </w:p>
              </w:tc>
              <w:tc>
                <w:tcPr>
                  <w:tcW w:w="1076" w:type="pct"/>
                  <w:vAlign w:val="center"/>
                </w:tcPr>
                <w:p w14:paraId="35F80CA1">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zh-CN"/>
                    </w:rPr>
                  </w:pPr>
                  <w:r>
                    <w:rPr>
                      <w:rFonts w:hint="default" w:ascii="Times New Roman" w:hAnsi="Times New Roman" w:eastAsia="宋体"/>
                      <w:b/>
                      <w:bCs/>
                      <w:color w:val="auto"/>
                      <w:highlight w:val="none"/>
                      <w:lang w:val="zh-CN"/>
                    </w:rPr>
                    <w:t>污染物类型</w:t>
                  </w:r>
                </w:p>
              </w:tc>
              <w:tc>
                <w:tcPr>
                  <w:tcW w:w="1070" w:type="pct"/>
                  <w:vAlign w:val="center"/>
                </w:tcPr>
                <w:p w14:paraId="2248EAFA">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zh-CN"/>
                    </w:rPr>
                  </w:pPr>
                  <w:r>
                    <w:rPr>
                      <w:rFonts w:hint="default" w:ascii="Times New Roman" w:hAnsi="Times New Roman" w:eastAsia="宋体"/>
                      <w:b/>
                      <w:bCs/>
                      <w:color w:val="auto"/>
                      <w:highlight w:val="none"/>
                      <w:lang w:val="zh-CN"/>
                    </w:rPr>
                    <w:t>污染物名称</w:t>
                  </w:r>
                </w:p>
              </w:tc>
              <w:tc>
                <w:tcPr>
                  <w:tcW w:w="709" w:type="pct"/>
                  <w:vAlign w:val="center"/>
                </w:tcPr>
                <w:p w14:paraId="27F7E3A3">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zh-CN"/>
                    </w:rPr>
                  </w:pPr>
                  <w:r>
                    <w:rPr>
                      <w:rFonts w:hint="default" w:ascii="Times New Roman" w:hAnsi="Times New Roman" w:eastAsia="宋体"/>
                      <w:b/>
                      <w:bCs/>
                      <w:color w:val="auto"/>
                      <w:highlight w:val="none"/>
                      <w:lang w:val="zh-CN"/>
                    </w:rPr>
                    <w:t>污染途径</w:t>
                  </w:r>
                </w:p>
              </w:tc>
              <w:tc>
                <w:tcPr>
                  <w:tcW w:w="530" w:type="pct"/>
                  <w:vAlign w:val="center"/>
                </w:tcPr>
                <w:p w14:paraId="097BE735">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zh-CN"/>
                    </w:rPr>
                  </w:pPr>
                  <w:r>
                    <w:rPr>
                      <w:rFonts w:hint="default" w:ascii="Times New Roman" w:hAnsi="Times New Roman" w:eastAsia="宋体"/>
                      <w:b/>
                      <w:bCs/>
                      <w:color w:val="auto"/>
                      <w:highlight w:val="none"/>
                      <w:lang w:val="zh-CN"/>
                    </w:rPr>
                    <w:t>备注</w:t>
                  </w:r>
                </w:p>
              </w:tc>
            </w:tr>
            <w:tr w14:paraId="52F7F9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4" w:type="pct"/>
                  <w:vAlign w:val="center"/>
                </w:tcPr>
                <w:p w14:paraId="022B85C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生产车间</w:t>
                  </w:r>
                </w:p>
              </w:tc>
              <w:tc>
                <w:tcPr>
                  <w:tcW w:w="799" w:type="pct"/>
                  <w:vAlign w:val="center"/>
                </w:tcPr>
                <w:p w14:paraId="5B2689F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设备清洗</w:t>
                  </w:r>
                </w:p>
              </w:tc>
              <w:tc>
                <w:tcPr>
                  <w:tcW w:w="1076" w:type="pct"/>
                  <w:vAlign w:val="center"/>
                </w:tcPr>
                <w:p w14:paraId="41A7D69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硝酸、次氯酸钠、氢氧化钠</w:t>
                  </w:r>
                </w:p>
              </w:tc>
              <w:tc>
                <w:tcPr>
                  <w:tcW w:w="1070" w:type="pct"/>
                  <w:vAlign w:val="center"/>
                </w:tcPr>
                <w:p w14:paraId="32C49BF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pH</w:t>
                  </w:r>
                </w:p>
              </w:tc>
              <w:tc>
                <w:tcPr>
                  <w:tcW w:w="709" w:type="pct"/>
                  <w:vAlign w:val="center"/>
                </w:tcPr>
                <w:p w14:paraId="685F46F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垂直下渗</w:t>
                  </w:r>
                </w:p>
              </w:tc>
              <w:tc>
                <w:tcPr>
                  <w:tcW w:w="530" w:type="pct"/>
                  <w:vMerge w:val="restart"/>
                  <w:vAlign w:val="center"/>
                </w:tcPr>
                <w:p w14:paraId="3A2E5F1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地下水、土壤</w:t>
                  </w:r>
                </w:p>
              </w:tc>
            </w:tr>
            <w:tr w14:paraId="707433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4" w:type="pct"/>
                  <w:vAlign w:val="center"/>
                </w:tcPr>
                <w:p w14:paraId="377FEF22">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危化品仓库</w:t>
                  </w:r>
                </w:p>
              </w:tc>
              <w:tc>
                <w:tcPr>
                  <w:tcW w:w="799" w:type="pct"/>
                  <w:vAlign w:val="center"/>
                </w:tcPr>
                <w:p w14:paraId="6855BCAE">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危险化学品贮存</w:t>
                  </w:r>
                </w:p>
              </w:tc>
              <w:tc>
                <w:tcPr>
                  <w:tcW w:w="1076" w:type="pct"/>
                  <w:vAlign w:val="center"/>
                </w:tcPr>
                <w:p w14:paraId="562668A0">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硝酸、次氯酸钠、氢氧化钠</w:t>
                  </w:r>
                </w:p>
              </w:tc>
              <w:tc>
                <w:tcPr>
                  <w:tcW w:w="1070" w:type="pct"/>
                  <w:shd w:val="clear" w:color="auto" w:fill="auto"/>
                  <w:vAlign w:val="center"/>
                </w:tcPr>
                <w:p w14:paraId="3A98E872">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pH</w:t>
                  </w:r>
                </w:p>
              </w:tc>
              <w:tc>
                <w:tcPr>
                  <w:tcW w:w="709" w:type="pct"/>
                  <w:shd w:val="clear" w:color="auto" w:fill="auto"/>
                  <w:vAlign w:val="center"/>
                </w:tcPr>
                <w:p w14:paraId="5C1432F6">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垂直下渗</w:t>
                  </w:r>
                </w:p>
              </w:tc>
              <w:tc>
                <w:tcPr>
                  <w:tcW w:w="530" w:type="pct"/>
                  <w:vMerge w:val="continue"/>
                  <w:shd w:val="clear" w:color="auto" w:fill="auto"/>
                  <w:vAlign w:val="center"/>
                </w:tcPr>
                <w:p w14:paraId="77D37A37">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p>
              </w:tc>
            </w:tr>
            <w:tr w14:paraId="2B01A4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4" w:type="pct"/>
                  <w:vAlign w:val="center"/>
                </w:tcPr>
                <w:p w14:paraId="016A335C">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原料仓库</w:t>
                  </w:r>
                </w:p>
              </w:tc>
              <w:tc>
                <w:tcPr>
                  <w:tcW w:w="799" w:type="pct"/>
                  <w:vAlign w:val="center"/>
                </w:tcPr>
                <w:p w14:paraId="2FDE211E">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原料储存</w:t>
                  </w:r>
                </w:p>
              </w:tc>
              <w:tc>
                <w:tcPr>
                  <w:tcW w:w="1076" w:type="pct"/>
                  <w:vAlign w:val="center"/>
                </w:tcPr>
                <w:p w14:paraId="469930C0">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机油</w:t>
                  </w:r>
                </w:p>
              </w:tc>
              <w:tc>
                <w:tcPr>
                  <w:tcW w:w="1070" w:type="pct"/>
                  <w:vAlign w:val="center"/>
                </w:tcPr>
                <w:p w14:paraId="03ADFB8D">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石油烃</w:t>
                  </w:r>
                </w:p>
              </w:tc>
              <w:tc>
                <w:tcPr>
                  <w:tcW w:w="709" w:type="pct"/>
                  <w:vAlign w:val="center"/>
                </w:tcPr>
                <w:p w14:paraId="177352BA">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垂直下渗</w:t>
                  </w:r>
                </w:p>
              </w:tc>
              <w:tc>
                <w:tcPr>
                  <w:tcW w:w="530" w:type="pct"/>
                  <w:vMerge w:val="continue"/>
                  <w:vAlign w:val="center"/>
                </w:tcPr>
                <w:p w14:paraId="7E848EC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3AC83B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4" w:type="pct"/>
                  <w:vAlign w:val="center"/>
                </w:tcPr>
                <w:p w14:paraId="514532F9">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污水处理站</w:t>
                  </w:r>
                </w:p>
              </w:tc>
              <w:tc>
                <w:tcPr>
                  <w:tcW w:w="799" w:type="pct"/>
                  <w:vAlign w:val="center"/>
                </w:tcPr>
                <w:p w14:paraId="5C14C1D7">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污水处理</w:t>
                  </w:r>
                </w:p>
              </w:tc>
              <w:tc>
                <w:tcPr>
                  <w:tcW w:w="1076" w:type="pct"/>
                  <w:vAlign w:val="center"/>
                </w:tcPr>
                <w:p w14:paraId="0A9332EE">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废水污染物</w:t>
                  </w:r>
                </w:p>
              </w:tc>
              <w:tc>
                <w:tcPr>
                  <w:tcW w:w="1070" w:type="pct"/>
                  <w:vAlign w:val="center"/>
                </w:tcPr>
                <w:p w14:paraId="1461B35E">
                  <w:pPr>
                    <w:pStyle w:val="21"/>
                    <w:keepNext w:val="0"/>
                    <w:keepLines w:val="0"/>
                    <w:suppressLineNumbers w:val="0"/>
                    <w:spacing w:before="0" w:beforeAutospacing="0" w:after="0" w:afterAutospacing="0"/>
                    <w:ind w:left="0" w:right="0"/>
                    <w:rPr>
                      <w:rFonts w:hint="default"/>
                      <w:color w:val="auto"/>
                      <w:highlight w:val="none"/>
                      <w:vertAlign w:val="subscript"/>
                      <w:lang w:val="en-US" w:eastAsia="zh-CN"/>
                    </w:rPr>
                  </w:pPr>
                  <w:r>
                    <w:rPr>
                      <w:rFonts w:hint="eastAsia"/>
                      <w:color w:val="auto"/>
                      <w:highlight w:val="none"/>
                      <w:lang w:val="en-US" w:eastAsia="zh-CN"/>
                    </w:rPr>
                    <w:t>氨氮、COD</w:t>
                  </w:r>
                  <w:r>
                    <w:rPr>
                      <w:rFonts w:hint="eastAsia"/>
                      <w:color w:val="auto"/>
                      <w:highlight w:val="none"/>
                      <w:vertAlign w:val="subscript"/>
                      <w:lang w:val="en-US" w:eastAsia="zh-CN"/>
                    </w:rPr>
                    <w:t>Mn</w:t>
                  </w:r>
                  <w:r>
                    <w:rPr>
                      <w:rFonts w:hint="eastAsia"/>
                      <w:color w:val="auto"/>
                      <w:highlight w:val="none"/>
                      <w:vertAlign w:val="baseline"/>
                      <w:lang w:val="en-US" w:eastAsia="zh-CN"/>
                    </w:rPr>
                    <w:t>等</w:t>
                  </w:r>
                </w:p>
              </w:tc>
              <w:tc>
                <w:tcPr>
                  <w:tcW w:w="709" w:type="pct"/>
                  <w:vAlign w:val="center"/>
                </w:tcPr>
                <w:p w14:paraId="2E0A9F9C">
                  <w:pPr>
                    <w:pStyle w:val="21"/>
                    <w:keepNext w:val="0"/>
                    <w:keepLines w:val="0"/>
                    <w:suppressLineNumbers w:val="0"/>
                    <w:spacing w:before="0" w:beforeAutospacing="0" w:after="0" w:afterAutospacing="0"/>
                    <w:ind w:left="0" w:right="0"/>
                    <w:rPr>
                      <w:rFonts w:hint="eastAsia"/>
                      <w:color w:val="auto"/>
                      <w:highlight w:val="none"/>
                      <w:lang w:val="en-US" w:eastAsia="zh-CN"/>
                    </w:rPr>
                  </w:pPr>
                </w:p>
              </w:tc>
              <w:tc>
                <w:tcPr>
                  <w:tcW w:w="530" w:type="pct"/>
                  <w:vMerge w:val="continue"/>
                  <w:vAlign w:val="center"/>
                </w:tcPr>
                <w:p w14:paraId="0AA7735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516567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814" w:type="pct"/>
                  <w:vAlign w:val="center"/>
                </w:tcPr>
                <w:p w14:paraId="3444B81C">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危废仓库</w:t>
                  </w:r>
                </w:p>
              </w:tc>
              <w:tc>
                <w:tcPr>
                  <w:tcW w:w="799" w:type="pct"/>
                  <w:vAlign w:val="center"/>
                </w:tcPr>
                <w:p w14:paraId="2465D853">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危废贮存</w:t>
                  </w:r>
                </w:p>
              </w:tc>
              <w:tc>
                <w:tcPr>
                  <w:tcW w:w="1076" w:type="pct"/>
                  <w:vAlign w:val="center"/>
                </w:tcPr>
                <w:p w14:paraId="5EB063E1">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危险废物</w:t>
                  </w:r>
                </w:p>
              </w:tc>
              <w:tc>
                <w:tcPr>
                  <w:tcW w:w="1070" w:type="pct"/>
                  <w:vAlign w:val="center"/>
                </w:tcPr>
                <w:p w14:paraId="23177CF6">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石油烃</w:t>
                  </w:r>
                </w:p>
              </w:tc>
              <w:tc>
                <w:tcPr>
                  <w:tcW w:w="709" w:type="pct"/>
                  <w:vAlign w:val="center"/>
                </w:tcPr>
                <w:p w14:paraId="43CE2FDF">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垂直下渗</w:t>
                  </w:r>
                </w:p>
              </w:tc>
              <w:tc>
                <w:tcPr>
                  <w:tcW w:w="530" w:type="pct"/>
                  <w:vMerge w:val="continue"/>
                  <w:vAlign w:val="center"/>
                </w:tcPr>
                <w:p w14:paraId="66D9759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bl>
          <w:p w14:paraId="212CF3D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（2）污染防控措施</w:t>
            </w:r>
          </w:p>
          <w:p w14:paraId="5492B41A">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采取合理有效的工程措施可防止污染物对地下水、土壤的污染。为更好地保护地下水和土壤资源，将项目对环境的影响降至最低限度，建议采取相关措施，具体如下：</w:t>
            </w:r>
          </w:p>
          <w:p w14:paraId="1B142A1B">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1）源头控制</w:t>
            </w:r>
          </w:p>
          <w:p w14:paraId="6FA00D6C">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厂区采取雨污分流、清污分流，加强企业管理</w:t>
            </w:r>
            <w:r>
              <w:rPr>
                <w:rFonts w:hint="eastAsia" w:ascii="Times New Roman" w:hAnsi="Times New Roman" w:eastAsia="宋体"/>
                <w:color w:val="auto"/>
                <w:highlight w:val="none"/>
                <w:lang w:val="en-US"/>
              </w:rPr>
              <w:t>。完善巡查制度，做好</w:t>
            </w:r>
            <w:r>
              <w:rPr>
                <w:rFonts w:hint="eastAsia"/>
                <w:color w:val="auto"/>
                <w:highlight w:val="none"/>
                <w:lang w:val="en-US" w:eastAsia="zh-CN"/>
              </w:rPr>
              <w:t>生产车间</w:t>
            </w:r>
            <w:r>
              <w:rPr>
                <w:rFonts w:hint="eastAsia" w:ascii="Times New Roman" w:hAnsi="Times New Roman" w:eastAsia="宋体"/>
                <w:color w:val="auto"/>
                <w:highlight w:val="none"/>
                <w:lang w:val="en-US"/>
              </w:rPr>
              <w:t>防渗措施。</w:t>
            </w:r>
          </w:p>
          <w:p w14:paraId="6A2FCA3D">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2）分区防渗</w:t>
            </w:r>
          </w:p>
          <w:p w14:paraId="466E767A">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default" w:ascii="Times New Roman" w:hAnsi="Times New Roman" w:eastAsia="宋体"/>
                <w:color w:val="auto"/>
                <w:highlight w:val="none"/>
                <w:lang w:val="en-US"/>
              </w:rPr>
              <w:t>结合本项目各生产设备、贮存库等因素，根据场地天然包气带防污性能、污染控制难易程度和污染物特性对全厂进行分区防渗。本项目建成后，</w:t>
            </w:r>
            <w:r>
              <w:rPr>
                <w:rFonts w:hint="eastAsia"/>
                <w:color w:val="auto"/>
                <w:highlight w:val="none"/>
                <w:lang w:val="en-US" w:eastAsia="zh-CN"/>
              </w:rPr>
              <w:t>全部生产区域均划分为一般防渗区，一般防渗区防渗要求如下：</w:t>
            </w:r>
          </w:p>
          <w:p w14:paraId="3C523240">
            <w:pPr>
              <w:pStyle w:val="23"/>
              <w:keepNext w:val="0"/>
              <w:keepLines w:val="0"/>
              <w:suppressLineNumbers w:val="0"/>
              <w:bidi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表4-2</w:t>
            </w:r>
            <w:r>
              <w:rPr>
                <w:rFonts w:hint="eastAsia"/>
                <w:color w:val="auto"/>
                <w:highlight w:val="none"/>
                <w:lang w:val="en-US" w:eastAsia="zh-CN"/>
              </w:rPr>
              <w:t>6</w:t>
            </w:r>
            <w:r>
              <w:rPr>
                <w:rFonts w:hint="eastAsia" w:ascii="Times New Roman" w:hAnsi="Times New Roman" w:eastAsia="宋体"/>
                <w:color w:val="auto"/>
                <w:highlight w:val="none"/>
                <w:lang w:val="en-US" w:eastAsia="zh-CN"/>
              </w:rPr>
              <w:t>全厂分区防渗方案及防渗措施表</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59"/>
              <w:gridCol w:w="900"/>
              <w:gridCol w:w="1784"/>
              <w:gridCol w:w="4779"/>
            </w:tblGrid>
            <w:tr w14:paraId="56EE76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9" w:type="dxa"/>
                  <w:tcBorders>
                    <w:tl2br w:val="nil"/>
                    <w:tr2bl w:val="nil"/>
                  </w:tcBorders>
                  <w:shd w:val="clear" w:color="auto" w:fill="auto"/>
                  <w:vAlign w:val="center"/>
                </w:tcPr>
                <w:p w14:paraId="79E20412">
                  <w:pPr>
                    <w:pStyle w:val="21"/>
                    <w:keepNext w:val="0"/>
                    <w:keepLines w:val="0"/>
                    <w:suppressLineNumbers w:val="0"/>
                    <w:spacing w:before="0" w:beforeAutospacing="0" w:after="0" w:afterAutospacing="0"/>
                    <w:ind w:left="0" w:right="0"/>
                    <w:rPr>
                      <w:rFonts w:hint="default"/>
                      <w:b/>
                      <w:bCs/>
                      <w:color w:val="auto"/>
                      <w:highlight w:val="none"/>
                    </w:rPr>
                  </w:pPr>
                  <w:r>
                    <w:rPr>
                      <w:rFonts w:hint="eastAsia"/>
                      <w:b/>
                      <w:bCs/>
                      <w:color w:val="auto"/>
                      <w:highlight w:val="none"/>
                      <w:lang w:val="en-US"/>
                    </w:rPr>
                    <w:t>序号</w:t>
                  </w:r>
                </w:p>
              </w:tc>
              <w:tc>
                <w:tcPr>
                  <w:tcW w:w="899" w:type="dxa"/>
                  <w:tcBorders>
                    <w:tl2br w:val="nil"/>
                    <w:tr2bl w:val="nil"/>
                  </w:tcBorders>
                  <w:shd w:val="clear" w:color="auto" w:fill="auto"/>
                  <w:vAlign w:val="center"/>
                </w:tcPr>
                <w:p w14:paraId="6EC3186D">
                  <w:pPr>
                    <w:pStyle w:val="21"/>
                    <w:keepNext w:val="0"/>
                    <w:keepLines w:val="0"/>
                    <w:suppressLineNumbers w:val="0"/>
                    <w:spacing w:before="0" w:beforeAutospacing="0" w:after="0" w:afterAutospacing="0"/>
                    <w:ind w:left="0" w:right="0"/>
                    <w:rPr>
                      <w:rFonts w:hint="default"/>
                      <w:b/>
                      <w:bCs/>
                      <w:color w:val="auto"/>
                      <w:highlight w:val="none"/>
                    </w:rPr>
                  </w:pPr>
                  <w:r>
                    <w:rPr>
                      <w:rFonts w:hint="eastAsia"/>
                      <w:b/>
                      <w:bCs/>
                      <w:color w:val="auto"/>
                      <w:highlight w:val="none"/>
                      <w:lang w:val="en-US"/>
                    </w:rPr>
                    <w:t>防治分区</w:t>
                  </w:r>
                </w:p>
              </w:tc>
              <w:tc>
                <w:tcPr>
                  <w:tcW w:w="1782" w:type="dxa"/>
                  <w:tcBorders>
                    <w:tl2br w:val="nil"/>
                    <w:tr2bl w:val="nil"/>
                  </w:tcBorders>
                  <w:shd w:val="clear" w:color="auto" w:fill="auto"/>
                  <w:vAlign w:val="center"/>
                </w:tcPr>
                <w:p w14:paraId="4D8D1165">
                  <w:pPr>
                    <w:pStyle w:val="21"/>
                    <w:keepNext w:val="0"/>
                    <w:keepLines w:val="0"/>
                    <w:suppressLineNumbers w:val="0"/>
                    <w:spacing w:before="0" w:beforeAutospacing="0" w:after="0" w:afterAutospacing="0"/>
                    <w:ind w:left="0" w:right="0"/>
                    <w:rPr>
                      <w:rFonts w:hint="default"/>
                      <w:b/>
                      <w:bCs/>
                      <w:color w:val="auto"/>
                      <w:highlight w:val="none"/>
                    </w:rPr>
                  </w:pPr>
                  <w:r>
                    <w:rPr>
                      <w:rFonts w:hint="eastAsia"/>
                      <w:b/>
                      <w:bCs/>
                      <w:color w:val="auto"/>
                      <w:highlight w:val="none"/>
                      <w:lang w:val="en-US"/>
                    </w:rPr>
                    <w:t>分区位置</w:t>
                  </w:r>
                </w:p>
              </w:tc>
              <w:tc>
                <w:tcPr>
                  <w:tcW w:w="4772" w:type="dxa"/>
                  <w:tcBorders>
                    <w:tl2br w:val="nil"/>
                    <w:tr2bl w:val="nil"/>
                  </w:tcBorders>
                  <w:shd w:val="clear" w:color="auto" w:fill="auto"/>
                  <w:vAlign w:val="center"/>
                </w:tcPr>
                <w:p w14:paraId="37E13D03">
                  <w:pPr>
                    <w:pStyle w:val="21"/>
                    <w:keepNext w:val="0"/>
                    <w:keepLines w:val="0"/>
                    <w:suppressLineNumbers w:val="0"/>
                    <w:spacing w:before="0" w:beforeAutospacing="0" w:after="0" w:afterAutospacing="0"/>
                    <w:ind w:left="0" w:right="0"/>
                    <w:rPr>
                      <w:rFonts w:hint="default"/>
                      <w:b/>
                      <w:bCs/>
                      <w:color w:val="auto"/>
                      <w:highlight w:val="none"/>
                    </w:rPr>
                  </w:pPr>
                  <w:r>
                    <w:rPr>
                      <w:rFonts w:hint="eastAsia"/>
                      <w:b/>
                      <w:bCs/>
                      <w:color w:val="auto"/>
                      <w:highlight w:val="none"/>
                      <w:lang w:val="en-US"/>
                    </w:rPr>
                    <w:t>防渗要求</w:t>
                  </w:r>
                </w:p>
              </w:tc>
            </w:tr>
            <w:tr w14:paraId="0749BE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9" w:type="dxa"/>
                  <w:tcBorders>
                    <w:tl2br w:val="nil"/>
                    <w:tr2bl w:val="nil"/>
                  </w:tcBorders>
                  <w:shd w:val="clear" w:color="auto" w:fill="auto"/>
                  <w:vAlign w:val="center"/>
                </w:tcPr>
                <w:p w14:paraId="15431C3B">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lang w:val="en-US"/>
                    </w:rPr>
                    <w:t>1</w:t>
                  </w:r>
                </w:p>
              </w:tc>
              <w:tc>
                <w:tcPr>
                  <w:tcW w:w="899" w:type="dxa"/>
                  <w:tcBorders>
                    <w:tl2br w:val="nil"/>
                    <w:tr2bl w:val="nil"/>
                  </w:tcBorders>
                  <w:shd w:val="clear" w:color="auto" w:fill="auto"/>
                  <w:vAlign w:val="center"/>
                </w:tcPr>
                <w:p w14:paraId="4A9EBFFA">
                  <w:pPr>
                    <w:pStyle w:val="21"/>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val="en-US"/>
                    </w:rPr>
                    <w:t>重点防渗区</w:t>
                  </w:r>
                </w:p>
              </w:tc>
              <w:tc>
                <w:tcPr>
                  <w:tcW w:w="1782" w:type="dxa"/>
                  <w:tcBorders>
                    <w:tl2br w:val="nil"/>
                    <w:tr2bl w:val="nil"/>
                  </w:tcBorders>
                  <w:shd w:val="clear" w:color="auto" w:fill="auto"/>
                  <w:vAlign w:val="center"/>
                </w:tcPr>
                <w:p w14:paraId="4737AAAB">
                  <w:pPr>
                    <w:pStyle w:val="21"/>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rPr>
                    <w:t>危废仓库、</w:t>
                  </w:r>
                  <w:r>
                    <w:rPr>
                      <w:rFonts w:hint="eastAsia"/>
                      <w:color w:val="auto"/>
                      <w:highlight w:val="none"/>
                      <w:lang w:val="en-US" w:eastAsia="zh-CN"/>
                    </w:rPr>
                    <w:t>危化品仓库、污水处理站</w:t>
                  </w:r>
                </w:p>
              </w:tc>
              <w:tc>
                <w:tcPr>
                  <w:tcW w:w="4772" w:type="dxa"/>
                  <w:tcBorders>
                    <w:tl2br w:val="nil"/>
                    <w:tr2bl w:val="nil"/>
                  </w:tcBorders>
                  <w:shd w:val="clear" w:color="auto" w:fill="auto"/>
                  <w:vAlign w:val="center"/>
                </w:tcPr>
                <w:p w14:paraId="3D9B3B96">
                  <w:pPr>
                    <w:pStyle w:val="21"/>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val="en-US"/>
                    </w:rPr>
                    <w:t>依据国家危险贮存标准要求设计、施工，采用</w:t>
                  </w:r>
                  <w:r>
                    <w:rPr>
                      <w:rFonts w:hint="default"/>
                      <w:color w:val="auto"/>
                      <w:highlight w:val="none"/>
                      <w:lang w:val="en-US"/>
                    </w:rPr>
                    <w:t>200mm</w:t>
                  </w:r>
                  <w:r>
                    <w:rPr>
                      <w:rFonts w:hint="eastAsia"/>
                      <w:color w:val="auto"/>
                      <w:highlight w:val="none"/>
                      <w:lang w:val="en-US"/>
                    </w:rPr>
                    <w:t>厚</w:t>
                  </w:r>
                  <w:r>
                    <w:rPr>
                      <w:rFonts w:hint="default"/>
                      <w:color w:val="auto"/>
                      <w:highlight w:val="none"/>
                      <w:lang w:val="en-US"/>
                    </w:rPr>
                    <w:t>C15</w:t>
                  </w:r>
                  <w:r>
                    <w:rPr>
                      <w:rFonts w:hint="eastAsia"/>
                      <w:color w:val="auto"/>
                      <w:highlight w:val="none"/>
                      <w:lang w:val="en-US"/>
                    </w:rPr>
                    <w:t>砼垫层随打随抹，设置钢筋混凝土围堰，并采用底部加设土工膜进行防渗，使渗透系数不大于</w:t>
                  </w:r>
                  <w:r>
                    <w:rPr>
                      <w:rFonts w:hint="default"/>
                      <w:color w:val="auto"/>
                      <w:highlight w:val="none"/>
                      <w:lang w:val="en-US"/>
                    </w:rPr>
                    <w:t>1.0×10</w:t>
                  </w:r>
                  <w:r>
                    <w:rPr>
                      <w:rFonts w:hint="default"/>
                      <w:color w:val="auto"/>
                      <w:highlight w:val="none"/>
                      <w:vertAlign w:val="superscript"/>
                      <w:lang w:val="en-US"/>
                    </w:rPr>
                    <w:t>-10</w:t>
                  </w:r>
                  <w:r>
                    <w:rPr>
                      <w:rFonts w:hint="default"/>
                      <w:color w:val="auto"/>
                      <w:highlight w:val="none"/>
                      <w:lang w:val="en-US"/>
                    </w:rPr>
                    <w:t>cm/s</w:t>
                  </w:r>
                  <w:r>
                    <w:rPr>
                      <w:rFonts w:hint="eastAsia"/>
                      <w:color w:val="auto"/>
                      <w:highlight w:val="none"/>
                      <w:lang w:val="en-US"/>
                    </w:rPr>
                    <w:t>，且防雨和防晒。</w:t>
                  </w:r>
                </w:p>
              </w:tc>
            </w:tr>
            <w:tr w14:paraId="181A02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9" w:type="dxa"/>
                  <w:tcBorders>
                    <w:tl2br w:val="nil"/>
                    <w:tr2bl w:val="nil"/>
                  </w:tcBorders>
                  <w:shd w:val="clear" w:color="auto" w:fill="auto"/>
                  <w:vAlign w:val="center"/>
                </w:tcPr>
                <w:p w14:paraId="33252D92">
                  <w:pPr>
                    <w:pStyle w:val="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lang w:val="en-US"/>
                    </w:rPr>
                    <w:t>2</w:t>
                  </w:r>
                </w:p>
              </w:tc>
              <w:tc>
                <w:tcPr>
                  <w:tcW w:w="899" w:type="dxa"/>
                  <w:tcBorders>
                    <w:tl2br w:val="nil"/>
                    <w:tr2bl w:val="nil"/>
                  </w:tcBorders>
                  <w:shd w:val="clear" w:color="auto" w:fill="auto"/>
                  <w:vAlign w:val="center"/>
                </w:tcPr>
                <w:p w14:paraId="34520664">
                  <w:pPr>
                    <w:pStyle w:val="21"/>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val="en-US"/>
                    </w:rPr>
                    <w:t>一般防渗区</w:t>
                  </w:r>
                </w:p>
              </w:tc>
              <w:tc>
                <w:tcPr>
                  <w:tcW w:w="1782" w:type="dxa"/>
                  <w:tcBorders>
                    <w:tl2br w:val="nil"/>
                    <w:tr2bl w:val="nil"/>
                  </w:tcBorders>
                  <w:shd w:val="clear" w:color="auto" w:fill="auto"/>
                  <w:vAlign w:val="center"/>
                </w:tcPr>
                <w:p w14:paraId="49CC07B0">
                  <w:pPr>
                    <w:pStyle w:val="21"/>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val="en-US"/>
                    </w:rPr>
                    <w:t>一般工业固废仓库、生产车间、成品仓库</w:t>
                  </w:r>
                  <w:r>
                    <w:rPr>
                      <w:rFonts w:hint="eastAsia"/>
                      <w:color w:val="auto"/>
                      <w:highlight w:val="none"/>
                      <w:lang w:val="en-US" w:eastAsia="zh-CN"/>
                    </w:rPr>
                    <w:t>、原料仓库</w:t>
                  </w:r>
                  <w:r>
                    <w:rPr>
                      <w:rFonts w:hint="eastAsia"/>
                      <w:color w:val="auto"/>
                      <w:highlight w:val="none"/>
                      <w:lang w:val="en-US"/>
                    </w:rPr>
                    <w:t>等</w:t>
                  </w:r>
                </w:p>
              </w:tc>
              <w:tc>
                <w:tcPr>
                  <w:tcW w:w="4772" w:type="dxa"/>
                  <w:tcBorders>
                    <w:tl2br w:val="nil"/>
                    <w:tr2bl w:val="nil"/>
                  </w:tcBorders>
                  <w:shd w:val="clear" w:color="auto" w:fill="auto"/>
                  <w:vAlign w:val="center"/>
                </w:tcPr>
                <w:p w14:paraId="334FD137">
                  <w:pPr>
                    <w:pStyle w:val="21"/>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val="en-US"/>
                    </w:rPr>
                    <w:t>地面基础防渗和构筑物防渗等级达到渗透系数</w:t>
                  </w:r>
                  <w:r>
                    <w:rPr>
                      <w:rFonts w:hint="default"/>
                      <w:color w:val="auto"/>
                      <w:highlight w:val="none"/>
                      <w:lang w:val="en-US"/>
                    </w:rPr>
                    <w:t>≤1.0×10</w:t>
                  </w:r>
                  <w:r>
                    <w:rPr>
                      <w:rFonts w:hint="default"/>
                      <w:color w:val="auto"/>
                      <w:highlight w:val="none"/>
                      <w:vertAlign w:val="superscript"/>
                      <w:lang w:val="en-US"/>
                    </w:rPr>
                    <w:t>-7</w:t>
                  </w:r>
                  <w:r>
                    <w:rPr>
                      <w:rFonts w:hint="default"/>
                      <w:color w:val="auto"/>
                      <w:highlight w:val="none"/>
                      <w:lang w:val="en-US"/>
                    </w:rPr>
                    <w:t>cm/s</w:t>
                  </w:r>
                  <w:r>
                    <w:rPr>
                      <w:rFonts w:hint="eastAsia"/>
                      <w:color w:val="auto"/>
                      <w:highlight w:val="none"/>
                      <w:lang w:val="en-US"/>
                    </w:rPr>
                    <w:t>，相当于不小于</w:t>
                  </w:r>
                  <w:r>
                    <w:rPr>
                      <w:rFonts w:hint="default"/>
                      <w:color w:val="auto"/>
                      <w:highlight w:val="none"/>
                      <w:lang w:val="en-US"/>
                    </w:rPr>
                    <w:t>1.5m</w:t>
                  </w:r>
                  <w:r>
                    <w:rPr>
                      <w:rFonts w:hint="eastAsia"/>
                      <w:color w:val="auto"/>
                      <w:highlight w:val="none"/>
                      <w:lang w:val="en-US"/>
                    </w:rPr>
                    <w:t>厚的黏土防护层。</w:t>
                  </w:r>
                </w:p>
              </w:tc>
            </w:tr>
            <w:tr w14:paraId="1D5689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9" w:type="dxa"/>
                  <w:tcBorders>
                    <w:tl2br w:val="nil"/>
                    <w:tr2bl w:val="nil"/>
                  </w:tcBorders>
                  <w:shd w:val="clear" w:color="auto" w:fill="auto"/>
                  <w:vAlign w:val="center"/>
                </w:tcPr>
                <w:p w14:paraId="38DEA1F9">
                  <w:pPr>
                    <w:pStyle w:val="21"/>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val="en-US"/>
                    </w:rPr>
                    <w:t>3</w:t>
                  </w:r>
                </w:p>
              </w:tc>
              <w:tc>
                <w:tcPr>
                  <w:tcW w:w="899" w:type="dxa"/>
                  <w:tcBorders>
                    <w:tl2br w:val="nil"/>
                    <w:tr2bl w:val="nil"/>
                  </w:tcBorders>
                  <w:shd w:val="clear" w:color="auto" w:fill="auto"/>
                  <w:vAlign w:val="center"/>
                </w:tcPr>
                <w:p w14:paraId="4FF88D25">
                  <w:pPr>
                    <w:pStyle w:val="21"/>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val="en-US"/>
                    </w:rPr>
                    <w:t>简单防渗区</w:t>
                  </w:r>
                </w:p>
              </w:tc>
              <w:tc>
                <w:tcPr>
                  <w:tcW w:w="1782" w:type="dxa"/>
                  <w:tcBorders>
                    <w:tl2br w:val="nil"/>
                    <w:tr2bl w:val="nil"/>
                  </w:tcBorders>
                  <w:shd w:val="clear" w:color="auto" w:fill="auto"/>
                  <w:vAlign w:val="center"/>
                </w:tcPr>
                <w:p w14:paraId="0D4BAD6B">
                  <w:pPr>
                    <w:pStyle w:val="21"/>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val="en-US"/>
                    </w:rPr>
                    <w:t>办公区</w:t>
                  </w:r>
                </w:p>
              </w:tc>
              <w:tc>
                <w:tcPr>
                  <w:tcW w:w="4772" w:type="dxa"/>
                  <w:tcBorders>
                    <w:tl2br w:val="nil"/>
                    <w:tr2bl w:val="nil"/>
                  </w:tcBorders>
                  <w:shd w:val="clear" w:color="auto" w:fill="auto"/>
                  <w:vAlign w:val="center"/>
                </w:tcPr>
                <w:p w14:paraId="2B48A7B5">
                  <w:pPr>
                    <w:pStyle w:val="21"/>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val="en-US"/>
                    </w:rPr>
                    <w:t>一般地面硬化</w:t>
                  </w:r>
                </w:p>
              </w:tc>
            </w:tr>
          </w:tbl>
          <w:p w14:paraId="4FA97004">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（3）跟踪监测要求</w:t>
            </w:r>
          </w:p>
          <w:p w14:paraId="323B28C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本项目场区污染单元污染途径简单，在落实好防渗、防污措施后，物料或污染物能得到有效处理，无需对土壤和地下水进行跟踪监测。</w:t>
            </w:r>
          </w:p>
          <w:p w14:paraId="22979C7B">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6、环境风险分析</w:t>
            </w:r>
          </w:p>
          <w:p w14:paraId="2D5AD3C8">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根据《建设项目环境风险评价技术导则》（HJ169-2018）附录B、《企业突发环境事件风险分级方法》（HJ941-2018）作为识别标准，对照发现本项目存在</w:t>
            </w:r>
            <w:r>
              <w:rPr>
                <w:rFonts w:hint="eastAsia" w:ascii="Times New Roman" w:hAnsi="Times New Roman" w:eastAsia="宋体"/>
                <w:color w:val="auto"/>
                <w:highlight w:val="none"/>
                <w:lang w:val="en-US"/>
              </w:rPr>
              <w:t>的环境</w:t>
            </w:r>
            <w:r>
              <w:rPr>
                <w:rFonts w:hint="default" w:ascii="Times New Roman" w:hAnsi="Times New Roman" w:eastAsia="宋体"/>
                <w:color w:val="auto"/>
                <w:highlight w:val="none"/>
                <w:lang w:val="en-US"/>
              </w:rPr>
              <w:t>风险物质。</w:t>
            </w:r>
          </w:p>
          <w:p w14:paraId="107B62DF">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（1）风险调查</w:t>
            </w:r>
          </w:p>
          <w:p w14:paraId="688CB5DD">
            <w:pPr>
              <w:keepNext w:val="0"/>
              <w:keepLines w:val="0"/>
              <w:suppressLineNumbers w:val="0"/>
              <w:bidi w:val="0"/>
              <w:spacing w:before="0" w:beforeAutospacing="0" w:after="0" w:afterAutospacing="0"/>
              <w:ind w:left="0" w:right="0"/>
              <w:rPr>
                <w:rFonts w:hint="eastAsia"/>
                <w:color w:val="auto"/>
                <w:highlight w:val="none"/>
                <w:lang w:val="en-US"/>
              </w:rPr>
            </w:pPr>
            <w:r>
              <w:rPr>
                <w:rFonts w:hint="default"/>
                <w:color w:val="auto"/>
                <w:highlight w:val="none"/>
                <w:lang w:val="en-US"/>
              </w:rPr>
              <w:t>本项目涉及风险的物质及数量见</w:t>
            </w:r>
            <w:r>
              <w:rPr>
                <w:rFonts w:hint="eastAsia"/>
                <w:color w:val="auto"/>
                <w:highlight w:val="none"/>
                <w:lang w:val="en-US"/>
              </w:rPr>
              <w:t>下</w:t>
            </w:r>
            <w:r>
              <w:rPr>
                <w:rFonts w:hint="default"/>
                <w:color w:val="auto"/>
                <w:highlight w:val="none"/>
                <w:lang w:val="en-US"/>
              </w:rPr>
              <w:t>表</w:t>
            </w:r>
            <w:r>
              <w:rPr>
                <w:rFonts w:hint="eastAsia"/>
                <w:color w:val="auto"/>
                <w:highlight w:val="none"/>
                <w:lang w:val="en-US"/>
              </w:rPr>
              <w:t>：</w:t>
            </w:r>
          </w:p>
          <w:p w14:paraId="7929C99B">
            <w:pPr>
              <w:pStyle w:val="23"/>
              <w:keepNext w:val="0"/>
              <w:keepLines w:val="0"/>
              <w:suppressLineNumbers w:val="0"/>
              <w:bidi w:val="0"/>
              <w:spacing w:before="0" w:beforeAutospacing="0" w:after="0" w:afterAutospacing="0"/>
              <w:ind w:left="0" w:right="0"/>
              <w:rPr>
                <w:rFonts w:hint="default"/>
                <w:color w:val="auto"/>
              </w:rPr>
            </w:pPr>
            <w:r>
              <w:rPr>
                <w:color w:val="auto"/>
              </w:rPr>
              <w:t>表4-</w:t>
            </w:r>
            <w:r>
              <w:rPr>
                <w:rFonts w:hint="eastAsia"/>
                <w:color w:val="auto"/>
                <w:lang w:val="en-US" w:eastAsia="zh-CN"/>
              </w:rPr>
              <w:t>26</w:t>
            </w:r>
            <w:r>
              <w:rPr>
                <w:rFonts w:hint="default"/>
                <w:color w:val="auto"/>
              </w:rPr>
              <w:t>本项目涉及危险物质及数量</w:t>
            </w:r>
          </w:p>
          <w:tbl>
            <w:tblPr>
              <w:tblStyle w:val="1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99"/>
              <w:gridCol w:w="1565"/>
              <w:gridCol w:w="1663"/>
              <w:gridCol w:w="1098"/>
              <w:gridCol w:w="1185"/>
              <w:gridCol w:w="1709"/>
            </w:tblGrid>
            <w:tr w14:paraId="6CC25D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3" w:type="pct"/>
                  <w:tcBorders>
                    <w:tl2br w:val="nil"/>
                    <w:tr2bl w:val="nil"/>
                  </w:tcBorders>
                  <w:vAlign w:val="center"/>
                </w:tcPr>
                <w:p w14:paraId="532835D8">
                  <w:pPr>
                    <w:pStyle w:val="21"/>
                    <w:keepNext w:val="0"/>
                    <w:keepLines w:val="0"/>
                    <w:suppressLineNumbers w:val="0"/>
                    <w:spacing w:before="0" w:beforeAutospacing="0" w:after="0" w:afterAutospacing="0"/>
                    <w:ind w:left="0" w:right="0"/>
                    <w:rPr>
                      <w:rFonts w:hint="default"/>
                      <w:b/>
                      <w:bCs/>
                      <w:color w:val="auto"/>
                      <w:highlight w:val="none"/>
                      <w:lang w:val="en-US"/>
                    </w:rPr>
                  </w:pPr>
                  <w:r>
                    <w:rPr>
                      <w:rFonts w:hint="eastAsia"/>
                      <w:b/>
                      <w:bCs/>
                      <w:color w:val="auto"/>
                      <w:highlight w:val="none"/>
                      <w:lang w:val="en-US"/>
                    </w:rPr>
                    <w:t>序号</w:t>
                  </w:r>
                </w:p>
              </w:tc>
              <w:tc>
                <w:tcPr>
                  <w:tcW w:w="1000" w:type="pct"/>
                  <w:tcBorders>
                    <w:tl2br w:val="nil"/>
                    <w:tr2bl w:val="nil"/>
                  </w:tcBorders>
                  <w:vAlign w:val="center"/>
                </w:tcPr>
                <w:p w14:paraId="48A68718">
                  <w:pPr>
                    <w:pStyle w:val="21"/>
                    <w:keepNext w:val="0"/>
                    <w:keepLines w:val="0"/>
                    <w:suppressLineNumbers w:val="0"/>
                    <w:spacing w:before="0" w:beforeAutospacing="0" w:after="0" w:afterAutospacing="0"/>
                    <w:ind w:left="0" w:right="0"/>
                    <w:rPr>
                      <w:rFonts w:hint="default"/>
                      <w:b/>
                      <w:bCs/>
                      <w:color w:val="auto"/>
                      <w:highlight w:val="none"/>
                      <w:lang w:val="en-US"/>
                    </w:rPr>
                  </w:pPr>
                  <w:r>
                    <w:rPr>
                      <w:rFonts w:hint="eastAsia"/>
                      <w:b/>
                      <w:bCs/>
                      <w:color w:val="auto"/>
                      <w:highlight w:val="none"/>
                      <w:lang w:val="en-US"/>
                    </w:rPr>
                    <w:t>风险物质名称</w:t>
                  </w:r>
                </w:p>
              </w:tc>
              <w:tc>
                <w:tcPr>
                  <w:tcW w:w="1063" w:type="pct"/>
                  <w:tcBorders>
                    <w:tl2br w:val="nil"/>
                    <w:tr2bl w:val="nil"/>
                  </w:tcBorders>
                  <w:vAlign w:val="center"/>
                </w:tcPr>
                <w:p w14:paraId="37998593">
                  <w:pPr>
                    <w:pStyle w:val="21"/>
                    <w:keepNext w:val="0"/>
                    <w:keepLines w:val="0"/>
                    <w:suppressLineNumbers w:val="0"/>
                    <w:spacing w:before="0" w:beforeAutospacing="0" w:after="0" w:afterAutospacing="0"/>
                    <w:ind w:left="0" w:right="0"/>
                    <w:rPr>
                      <w:rFonts w:hint="default"/>
                      <w:b/>
                      <w:bCs/>
                      <w:color w:val="auto"/>
                      <w:highlight w:val="none"/>
                      <w:lang w:val="en-US"/>
                    </w:rPr>
                  </w:pPr>
                  <w:r>
                    <w:rPr>
                      <w:rFonts w:hint="eastAsia"/>
                      <w:b/>
                      <w:bCs/>
                      <w:color w:val="auto"/>
                      <w:highlight w:val="none"/>
                      <w:lang w:val="en-US"/>
                    </w:rPr>
                    <w:t>年用量/年产生量t</w:t>
                  </w:r>
                </w:p>
              </w:tc>
              <w:tc>
                <w:tcPr>
                  <w:tcW w:w="702" w:type="pct"/>
                  <w:tcBorders>
                    <w:tl2br w:val="nil"/>
                    <w:tr2bl w:val="nil"/>
                  </w:tcBorders>
                  <w:vAlign w:val="center"/>
                </w:tcPr>
                <w:p w14:paraId="17A63AC9">
                  <w:pPr>
                    <w:pStyle w:val="21"/>
                    <w:keepNext w:val="0"/>
                    <w:keepLines w:val="0"/>
                    <w:suppressLineNumbers w:val="0"/>
                    <w:spacing w:before="0" w:beforeAutospacing="0" w:after="0" w:afterAutospacing="0"/>
                    <w:ind w:left="0" w:right="0"/>
                    <w:rPr>
                      <w:rFonts w:hint="default"/>
                      <w:b/>
                      <w:bCs/>
                      <w:color w:val="auto"/>
                      <w:highlight w:val="none"/>
                      <w:lang w:val="en-US"/>
                    </w:rPr>
                  </w:pPr>
                  <w:r>
                    <w:rPr>
                      <w:rFonts w:hint="eastAsia"/>
                      <w:b/>
                      <w:bCs/>
                      <w:color w:val="auto"/>
                      <w:highlight w:val="none"/>
                      <w:lang w:val="en-US"/>
                    </w:rPr>
                    <w:t>储存方式</w:t>
                  </w:r>
                </w:p>
              </w:tc>
              <w:tc>
                <w:tcPr>
                  <w:tcW w:w="757" w:type="pct"/>
                  <w:tcBorders>
                    <w:tl2br w:val="nil"/>
                    <w:tr2bl w:val="nil"/>
                  </w:tcBorders>
                  <w:vAlign w:val="center"/>
                </w:tcPr>
                <w:p w14:paraId="5F29F773">
                  <w:pPr>
                    <w:pStyle w:val="21"/>
                    <w:keepNext w:val="0"/>
                    <w:keepLines w:val="0"/>
                    <w:suppressLineNumbers w:val="0"/>
                    <w:spacing w:before="0" w:beforeAutospacing="0" w:after="0" w:afterAutospacing="0"/>
                    <w:ind w:left="0" w:right="0"/>
                    <w:rPr>
                      <w:rFonts w:hint="default"/>
                      <w:b/>
                      <w:bCs/>
                      <w:color w:val="auto"/>
                      <w:highlight w:val="none"/>
                      <w:lang w:val="en-US"/>
                    </w:rPr>
                  </w:pPr>
                  <w:r>
                    <w:rPr>
                      <w:rFonts w:hint="eastAsia"/>
                      <w:b/>
                      <w:bCs/>
                      <w:color w:val="auto"/>
                      <w:highlight w:val="none"/>
                      <w:lang w:val="en-US"/>
                    </w:rPr>
                    <w:t>最大储存量t</w:t>
                  </w:r>
                </w:p>
              </w:tc>
              <w:tc>
                <w:tcPr>
                  <w:tcW w:w="1092" w:type="pct"/>
                  <w:tcBorders>
                    <w:tl2br w:val="nil"/>
                    <w:tr2bl w:val="nil"/>
                  </w:tcBorders>
                  <w:vAlign w:val="center"/>
                </w:tcPr>
                <w:p w14:paraId="6806ED16">
                  <w:pPr>
                    <w:pStyle w:val="21"/>
                    <w:keepNext w:val="0"/>
                    <w:keepLines w:val="0"/>
                    <w:suppressLineNumbers w:val="0"/>
                    <w:spacing w:before="0" w:beforeAutospacing="0" w:after="0" w:afterAutospacing="0"/>
                    <w:ind w:left="0" w:right="0"/>
                    <w:rPr>
                      <w:rFonts w:hint="default"/>
                      <w:b/>
                      <w:bCs/>
                      <w:color w:val="auto"/>
                      <w:highlight w:val="none"/>
                      <w:lang w:val="en-US"/>
                    </w:rPr>
                  </w:pPr>
                  <w:r>
                    <w:rPr>
                      <w:rFonts w:hint="eastAsia"/>
                      <w:b/>
                      <w:bCs/>
                      <w:color w:val="auto"/>
                      <w:highlight w:val="none"/>
                      <w:lang w:val="en-US"/>
                    </w:rPr>
                    <w:t>存储位置</w:t>
                  </w:r>
                </w:p>
              </w:tc>
            </w:tr>
            <w:tr w14:paraId="2FA78E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3" w:type="pct"/>
                  <w:tcBorders>
                    <w:tl2br w:val="nil"/>
                    <w:tr2bl w:val="nil"/>
                  </w:tcBorders>
                  <w:vAlign w:val="center"/>
                </w:tcPr>
                <w:p w14:paraId="7AA42C98">
                  <w:pPr>
                    <w:pStyle w:val="21"/>
                    <w:keepNext w:val="0"/>
                    <w:keepLines w:val="0"/>
                    <w:suppressLineNumbers w:val="0"/>
                    <w:spacing w:before="0" w:beforeAutospacing="0" w:after="0" w:afterAutospacing="0"/>
                    <w:ind w:left="0" w:right="0"/>
                    <w:rPr>
                      <w:rFonts w:hint="eastAsia"/>
                      <w:color w:val="auto"/>
                      <w:highlight w:val="none"/>
                      <w:lang w:val="en-US"/>
                    </w:rPr>
                  </w:pPr>
                  <w:r>
                    <w:rPr>
                      <w:rFonts w:hint="eastAsia"/>
                      <w:color w:val="auto"/>
                      <w:highlight w:val="none"/>
                      <w:lang w:val="en-US"/>
                    </w:rPr>
                    <w:t>1</w:t>
                  </w:r>
                </w:p>
              </w:tc>
              <w:tc>
                <w:tcPr>
                  <w:tcW w:w="1000" w:type="pct"/>
                  <w:tcBorders>
                    <w:tl2br w:val="nil"/>
                    <w:tr2bl w:val="nil"/>
                  </w:tcBorders>
                  <w:shd w:val="clear" w:color="auto" w:fill="auto"/>
                  <w:vAlign w:val="center"/>
                </w:tcPr>
                <w:p w14:paraId="0B8EE450">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机油</w:t>
                  </w:r>
                </w:p>
              </w:tc>
              <w:tc>
                <w:tcPr>
                  <w:tcW w:w="1063" w:type="pct"/>
                  <w:tcBorders>
                    <w:tl2br w:val="nil"/>
                    <w:tr2bl w:val="nil"/>
                  </w:tcBorders>
                  <w:shd w:val="clear" w:color="auto" w:fill="auto"/>
                  <w:vAlign w:val="center"/>
                </w:tcPr>
                <w:p w14:paraId="457282D5">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11.4</w:t>
                  </w:r>
                </w:p>
              </w:tc>
              <w:tc>
                <w:tcPr>
                  <w:tcW w:w="702" w:type="pct"/>
                  <w:tcBorders>
                    <w:tl2br w:val="nil"/>
                    <w:tr2bl w:val="nil"/>
                  </w:tcBorders>
                  <w:shd w:val="clear" w:color="auto" w:fill="auto"/>
                  <w:vAlign w:val="center"/>
                </w:tcPr>
                <w:p w14:paraId="412C1F4D">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桶</w:t>
                  </w:r>
                  <w:r>
                    <w:rPr>
                      <w:rFonts w:hint="eastAsia"/>
                      <w:color w:val="auto"/>
                      <w:highlight w:val="none"/>
                      <w:lang w:val="en-US"/>
                    </w:rPr>
                    <w:t>装</w:t>
                  </w:r>
                </w:p>
              </w:tc>
              <w:tc>
                <w:tcPr>
                  <w:tcW w:w="757" w:type="pct"/>
                  <w:tcBorders>
                    <w:tl2br w:val="nil"/>
                    <w:tr2bl w:val="nil"/>
                  </w:tcBorders>
                  <w:shd w:val="clear" w:color="auto" w:fill="auto"/>
                  <w:vAlign w:val="center"/>
                </w:tcPr>
                <w:p w14:paraId="2BAA522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w:t>
                  </w:r>
                </w:p>
              </w:tc>
              <w:tc>
                <w:tcPr>
                  <w:tcW w:w="1092" w:type="pct"/>
                  <w:tcBorders>
                    <w:tl2br w:val="nil"/>
                    <w:tr2bl w:val="nil"/>
                  </w:tcBorders>
                  <w:vAlign w:val="center"/>
                </w:tcPr>
                <w:p w14:paraId="57B067A1">
                  <w:pPr>
                    <w:pStyle w:val="21"/>
                    <w:keepNext w:val="0"/>
                    <w:keepLines w:val="0"/>
                    <w:suppressLineNumbers w:val="0"/>
                    <w:spacing w:before="0" w:beforeAutospacing="0" w:after="0" w:afterAutospacing="0"/>
                    <w:ind w:left="0" w:right="0"/>
                    <w:rPr>
                      <w:rFonts w:hint="eastAsia"/>
                      <w:color w:val="auto"/>
                      <w:lang w:val="en-US" w:eastAsia="zh-CN"/>
                    </w:rPr>
                  </w:pPr>
                  <w:r>
                    <w:rPr>
                      <w:rFonts w:hint="eastAsia"/>
                      <w:color w:val="auto"/>
                      <w:lang w:val="en-US" w:eastAsia="zh-CN"/>
                    </w:rPr>
                    <w:t>租赁厂区原料仓库</w:t>
                  </w:r>
                </w:p>
              </w:tc>
            </w:tr>
            <w:tr w14:paraId="3F7FCD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3" w:type="pct"/>
                  <w:tcBorders>
                    <w:tl2br w:val="nil"/>
                    <w:tr2bl w:val="nil"/>
                  </w:tcBorders>
                  <w:shd w:val="clear" w:color="auto" w:fill="auto"/>
                  <w:vAlign w:val="center"/>
                </w:tcPr>
                <w:p w14:paraId="779A2D6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rPr>
                    <w:t>2</w:t>
                  </w:r>
                </w:p>
              </w:tc>
              <w:tc>
                <w:tcPr>
                  <w:tcW w:w="1000" w:type="pct"/>
                  <w:tcBorders>
                    <w:tl2br w:val="nil"/>
                    <w:tr2bl w:val="nil"/>
                  </w:tcBorders>
                  <w:shd w:val="clear" w:color="auto" w:fill="auto"/>
                  <w:vAlign w:val="center"/>
                </w:tcPr>
                <w:p w14:paraId="70CBCBCF">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40%硝酸</w:t>
                  </w:r>
                </w:p>
              </w:tc>
              <w:tc>
                <w:tcPr>
                  <w:tcW w:w="1063" w:type="pct"/>
                  <w:tcBorders>
                    <w:tl2br w:val="nil"/>
                    <w:tr2bl w:val="nil"/>
                  </w:tcBorders>
                  <w:shd w:val="clear" w:color="auto" w:fill="auto"/>
                  <w:vAlign w:val="center"/>
                </w:tcPr>
                <w:p w14:paraId="5556C1DA">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0.72</w:t>
                  </w:r>
                </w:p>
              </w:tc>
              <w:tc>
                <w:tcPr>
                  <w:tcW w:w="702" w:type="pct"/>
                  <w:tcBorders>
                    <w:tl2br w:val="nil"/>
                    <w:tr2bl w:val="nil"/>
                  </w:tcBorders>
                  <w:shd w:val="clear" w:color="auto" w:fill="auto"/>
                  <w:vAlign w:val="center"/>
                </w:tcPr>
                <w:p w14:paraId="7C57B98F">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桶</w:t>
                  </w:r>
                  <w:r>
                    <w:rPr>
                      <w:rFonts w:hint="eastAsia"/>
                      <w:color w:val="auto"/>
                      <w:highlight w:val="none"/>
                      <w:lang w:val="en-US"/>
                    </w:rPr>
                    <w:t>装</w:t>
                  </w:r>
                </w:p>
              </w:tc>
              <w:tc>
                <w:tcPr>
                  <w:tcW w:w="757" w:type="pct"/>
                  <w:tcBorders>
                    <w:tl2br w:val="nil"/>
                    <w:tr2bl w:val="nil"/>
                  </w:tcBorders>
                  <w:shd w:val="clear" w:color="auto" w:fill="auto"/>
                  <w:vAlign w:val="center"/>
                </w:tcPr>
                <w:p w14:paraId="4C769C55">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0.4</w:t>
                  </w:r>
                </w:p>
              </w:tc>
              <w:tc>
                <w:tcPr>
                  <w:tcW w:w="1092" w:type="pct"/>
                  <w:vMerge w:val="restart"/>
                  <w:tcBorders>
                    <w:tl2br w:val="nil"/>
                    <w:tr2bl w:val="nil"/>
                  </w:tcBorders>
                  <w:vAlign w:val="center"/>
                </w:tcPr>
                <w:p w14:paraId="7D584C9B">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lang w:val="en-US" w:eastAsia="zh-CN"/>
                    </w:rPr>
                    <w:t>租赁厂区危化品仓库</w:t>
                  </w:r>
                </w:p>
              </w:tc>
            </w:tr>
            <w:tr w14:paraId="3ADFF7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3" w:type="pct"/>
                  <w:tcBorders>
                    <w:tl2br w:val="nil"/>
                    <w:tr2bl w:val="nil"/>
                  </w:tcBorders>
                  <w:shd w:val="clear" w:color="auto" w:fill="auto"/>
                  <w:vAlign w:val="center"/>
                </w:tcPr>
                <w:p w14:paraId="24F96110">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rPr>
                    <w:t>3</w:t>
                  </w:r>
                </w:p>
              </w:tc>
              <w:tc>
                <w:tcPr>
                  <w:tcW w:w="1000" w:type="pct"/>
                  <w:tcBorders>
                    <w:tl2br w:val="nil"/>
                    <w:tr2bl w:val="nil"/>
                  </w:tcBorders>
                  <w:shd w:val="clear" w:color="auto" w:fill="auto"/>
                  <w:vAlign w:val="center"/>
                </w:tcPr>
                <w:p w14:paraId="0E0D63B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10%次氯酸钠</w:t>
                  </w:r>
                </w:p>
              </w:tc>
              <w:tc>
                <w:tcPr>
                  <w:tcW w:w="1063" w:type="pct"/>
                  <w:tcBorders>
                    <w:tl2br w:val="nil"/>
                    <w:tr2bl w:val="nil"/>
                  </w:tcBorders>
                  <w:shd w:val="clear" w:color="auto" w:fill="auto"/>
                  <w:vAlign w:val="center"/>
                </w:tcPr>
                <w:p w14:paraId="32B6AF68">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0.3</w:t>
                  </w:r>
                </w:p>
              </w:tc>
              <w:tc>
                <w:tcPr>
                  <w:tcW w:w="702" w:type="pct"/>
                  <w:tcBorders>
                    <w:tl2br w:val="nil"/>
                    <w:tr2bl w:val="nil"/>
                  </w:tcBorders>
                  <w:shd w:val="clear" w:color="auto" w:fill="auto"/>
                  <w:vAlign w:val="center"/>
                </w:tcPr>
                <w:p w14:paraId="2573F968">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rPr>
                    <w:t>瓶装</w:t>
                  </w:r>
                </w:p>
              </w:tc>
              <w:tc>
                <w:tcPr>
                  <w:tcW w:w="757" w:type="pct"/>
                  <w:tcBorders>
                    <w:tl2br w:val="nil"/>
                    <w:tr2bl w:val="nil"/>
                  </w:tcBorders>
                  <w:shd w:val="clear" w:color="auto" w:fill="auto"/>
                  <w:vAlign w:val="center"/>
                </w:tcPr>
                <w:p w14:paraId="6D33CF5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0.05</w:t>
                  </w:r>
                </w:p>
              </w:tc>
              <w:tc>
                <w:tcPr>
                  <w:tcW w:w="1092" w:type="pct"/>
                  <w:vMerge w:val="continue"/>
                  <w:tcBorders>
                    <w:tl2br w:val="nil"/>
                    <w:tr2bl w:val="nil"/>
                  </w:tcBorders>
                  <w:vAlign w:val="center"/>
                </w:tcPr>
                <w:p w14:paraId="77A61E29">
                  <w:pPr>
                    <w:pStyle w:val="21"/>
                    <w:keepNext w:val="0"/>
                    <w:keepLines w:val="0"/>
                    <w:suppressLineNumbers w:val="0"/>
                    <w:spacing w:before="0" w:beforeAutospacing="0" w:after="0" w:afterAutospacing="0"/>
                    <w:ind w:left="0" w:right="0"/>
                    <w:rPr>
                      <w:rFonts w:hint="default"/>
                      <w:color w:val="auto"/>
                      <w:highlight w:val="none"/>
                    </w:rPr>
                  </w:pPr>
                </w:p>
              </w:tc>
            </w:tr>
            <w:tr w14:paraId="48BB7A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3" w:type="pct"/>
                  <w:tcBorders>
                    <w:tl2br w:val="nil"/>
                    <w:tr2bl w:val="nil"/>
                  </w:tcBorders>
                  <w:shd w:val="clear" w:color="auto" w:fill="auto"/>
                  <w:vAlign w:val="center"/>
                </w:tcPr>
                <w:p w14:paraId="1759058C">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4</w:t>
                  </w:r>
                </w:p>
              </w:tc>
              <w:tc>
                <w:tcPr>
                  <w:tcW w:w="1000" w:type="pct"/>
                  <w:tcBorders>
                    <w:tl2br w:val="nil"/>
                    <w:tr2bl w:val="nil"/>
                  </w:tcBorders>
                  <w:shd w:val="clear" w:color="auto" w:fill="auto"/>
                  <w:vAlign w:val="center"/>
                </w:tcPr>
                <w:p w14:paraId="6D39C475">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油墨</w:t>
                  </w:r>
                </w:p>
              </w:tc>
              <w:tc>
                <w:tcPr>
                  <w:tcW w:w="1063" w:type="pct"/>
                  <w:tcBorders>
                    <w:tl2br w:val="nil"/>
                    <w:tr2bl w:val="nil"/>
                  </w:tcBorders>
                  <w:shd w:val="clear" w:color="auto" w:fill="auto"/>
                  <w:vAlign w:val="center"/>
                </w:tcPr>
                <w:p w14:paraId="090356CE">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sz w:val="21"/>
                      <w:szCs w:val="24"/>
                      <w:highlight w:val="none"/>
                      <w:lang w:val="en-US" w:eastAsia="zh-CN" w:bidi="zh-CN"/>
                    </w:rPr>
                    <w:t>0.2</w:t>
                  </w:r>
                </w:p>
              </w:tc>
              <w:tc>
                <w:tcPr>
                  <w:tcW w:w="702" w:type="pct"/>
                  <w:tcBorders>
                    <w:tl2br w:val="nil"/>
                    <w:tr2bl w:val="nil"/>
                  </w:tcBorders>
                  <w:shd w:val="clear" w:color="auto" w:fill="auto"/>
                  <w:vAlign w:val="center"/>
                </w:tcPr>
                <w:p w14:paraId="2D3D154B">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rPr>
                    <w:t>瓶装</w:t>
                  </w:r>
                </w:p>
              </w:tc>
              <w:tc>
                <w:tcPr>
                  <w:tcW w:w="757" w:type="pct"/>
                  <w:tcBorders>
                    <w:tl2br w:val="nil"/>
                    <w:tr2bl w:val="nil"/>
                  </w:tcBorders>
                  <w:shd w:val="clear" w:color="auto" w:fill="auto"/>
                  <w:vAlign w:val="center"/>
                </w:tcPr>
                <w:p w14:paraId="4C7618C1">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0.05</w:t>
                  </w:r>
                </w:p>
              </w:tc>
              <w:tc>
                <w:tcPr>
                  <w:tcW w:w="1092" w:type="pct"/>
                  <w:tcBorders>
                    <w:tl2br w:val="nil"/>
                    <w:tr2bl w:val="nil"/>
                  </w:tcBorders>
                  <w:vAlign w:val="center"/>
                </w:tcPr>
                <w:p w14:paraId="481CB463">
                  <w:pPr>
                    <w:pStyle w:val="21"/>
                    <w:keepNext w:val="0"/>
                    <w:keepLines w:val="0"/>
                    <w:suppressLineNumbers w:val="0"/>
                    <w:spacing w:before="0" w:beforeAutospacing="0" w:after="0" w:afterAutospacing="0"/>
                    <w:ind w:left="0" w:right="0"/>
                    <w:rPr>
                      <w:rFonts w:hint="default"/>
                      <w:color w:val="auto"/>
                      <w:highlight w:val="none"/>
                    </w:rPr>
                  </w:pPr>
                  <w:r>
                    <w:rPr>
                      <w:rFonts w:hint="eastAsia"/>
                      <w:color w:val="auto"/>
                      <w:lang w:val="en-US" w:eastAsia="zh-CN"/>
                    </w:rPr>
                    <w:t>租赁厂区防爆柜</w:t>
                  </w:r>
                </w:p>
              </w:tc>
            </w:tr>
            <w:tr w14:paraId="6935C3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3" w:type="pct"/>
                  <w:tcBorders>
                    <w:tl2br w:val="nil"/>
                    <w:tr2bl w:val="nil"/>
                  </w:tcBorders>
                  <w:shd w:val="clear" w:color="auto" w:fill="auto"/>
                  <w:vAlign w:val="center"/>
                </w:tcPr>
                <w:p w14:paraId="22F8C6BD">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5</w:t>
                  </w:r>
                </w:p>
              </w:tc>
              <w:tc>
                <w:tcPr>
                  <w:tcW w:w="1000" w:type="pct"/>
                  <w:tcBorders>
                    <w:tl2br w:val="nil"/>
                    <w:tr2bl w:val="nil"/>
                  </w:tcBorders>
                  <w:shd w:val="clear" w:color="auto" w:fill="auto"/>
                  <w:vAlign w:val="center"/>
                </w:tcPr>
                <w:p w14:paraId="3CED07FE">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废紫外灯管</w:t>
                  </w:r>
                </w:p>
              </w:tc>
              <w:tc>
                <w:tcPr>
                  <w:tcW w:w="1063" w:type="pct"/>
                  <w:tcBorders>
                    <w:tl2br w:val="nil"/>
                    <w:tr2bl w:val="nil"/>
                  </w:tcBorders>
                  <w:shd w:val="clear" w:color="auto" w:fill="auto"/>
                  <w:vAlign w:val="center"/>
                </w:tcPr>
                <w:p w14:paraId="6C58721D">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0.005</w:t>
                  </w:r>
                </w:p>
              </w:tc>
              <w:tc>
                <w:tcPr>
                  <w:tcW w:w="702" w:type="pct"/>
                  <w:tcBorders>
                    <w:tl2br w:val="nil"/>
                    <w:tr2bl w:val="nil"/>
                  </w:tcBorders>
                  <w:shd w:val="clear" w:color="auto" w:fill="auto"/>
                  <w:vAlign w:val="center"/>
                </w:tcPr>
                <w:p w14:paraId="181EB062">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bidi="zh-CN"/>
                    </w:rPr>
                  </w:pPr>
                  <w:r>
                    <w:rPr>
                      <w:rFonts w:hint="eastAsia" w:ascii="Times New Roman" w:hAnsi="Times New Roman" w:eastAsia="宋体" w:cs="宋体"/>
                      <w:color w:val="auto"/>
                      <w:sz w:val="21"/>
                      <w:szCs w:val="21"/>
                      <w:highlight w:val="none"/>
                      <w:lang w:val="en-US" w:bidi="ar"/>
                    </w:rPr>
                    <w:t>密封包装</w:t>
                  </w:r>
                </w:p>
              </w:tc>
              <w:tc>
                <w:tcPr>
                  <w:tcW w:w="757" w:type="pct"/>
                  <w:tcBorders>
                    <w:tl2br w:val="nil"/>
                    <w:tr2bl w:val="nil"/>
                  </w:tcBorders>
                  <w:shd w:val="clear" w:color="auto" w:fill="auto"/>
                  <w:vAlign w:val="center"/>
                </w:tcPr>
                <w:p w14:paraId="6C615E2A">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bidi="zh-CN"/>
                    </w:rPr>
                  </w:pPr>
                  <w:r>
                    <w:rPr>
                      <w:rFonts w:hint="eastAsia"/>
                      <w:color w:val="auto"/>
                      <w:sz w:val="21"/>
                      <w:szCs w:val="21"/>
                      <w:highlight w:val="none"/>
                      <w:lang w:val="en-US" w:eastAsia="zh-CN" w:bidi="ar"/>
                    </w:rPr>
                    <w:t>0.01</w:t>
                  </w:r>
                </w:p>
              </w:tc>
              <w:tc>
                <w:tcPr>
                  <w:tcW w:w="1092" w:type="pct"/>
                  <w:vMerge w:val="restart"/>
                  <w:tcBorders>
                    <w:tl2br w:val="nil"/>
                    <w:tr2bl w:val="nil"/>
                  </w:tcBorders>
                  <w:vAlign w:val="center"/>
                </w:tcPr>
                <w:p w14:paraId="6E6664CB">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lang w:val="en-US" w:eastAsia="zh-CN"/>
                    </w:rPr>
                    <w:t>租赁厂区危废仓库</w:t>
                  </w:r>
                </w:p>
              </w:tc>
            </w:tr>
            <w:tr w14:paraId="041A15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3" w:type="pct"/>
                  <w:tcBorders>
                    <w:tl2br w:val="nil"/>
                    <w:tr2bl w:val="nil"/>
                  </w:tcBorders>
                  <w:shd w:val="clear" w:color="auto" w:fill="auto"/>
                  <w:vAlign w:val="center"/>
                </w:tcPr>
                <w:p w14:paraId="4E9B98D1">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6</w:t>
                  </w:r>
                </w:p>
              </w:tc>
              <w:tc>
                <w:tcPr>
                  <w:tcW w:w="1000" w:type="pct"/>
                  <w:tcBorders>
                    <w:tl2br w:val="nil"/>
                    <w:tr2bl w:val="nil"/>
                  </w:tcBorders>
                  <w:shd w:val="clear" w:color="auto" w:fill="auto"/>
                  <w:vAlign w:val="center"/>
                </w:tcPr>
                <w:p w14:paraId="4242644A">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废机油桶</w:t>
                  </w:r>
                </w:p>
              </w:tc>
              <w:tc>
                <w:tcPr>
                  <w:tcW w:w="1063" w:type="pct"/>
                  <w:tcBorders>
                    <w:tl2br w:val="nil"/>
                    <w:tr2bl w:val="nil"/>
                  </w:tcBorders>
                  <w:shd w:val="clear" w:color="auto" w:fill="auto"/>
                  <w:vAlign w:val="center"/>
                </w:tcPr>
                <w:p w14:paraId="080E46F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0.3</w:t>
                  </w:r>
                </w:p>
              </w:tc>
              <w:tc>
                <w:tcPr>
                  <w:tcW w:w="702" w:type="pct"/>
                  <w:tcBorders>
                    <w:tl2br w:val="nil"/>
                    <w:tr2bl w:val="nil"/>
                  </w:tcBorders>
                  <w:shd w:val="clear" w:color="auto" w:fill="auto"/>
                  <w:vAlign w:val="center"/>
                </w:tcPr>
                <w:p w14:paraId="26C57B00">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宋体"/>
                      <w:color w:val="auto"/>
                      <w:sz w:val="21"/>
                      <w:szCs w:val="21"/>
                      <w:highlight w:val="none"/>
                      <w:lang w:val="en-US" w:eastAsia="zh-CN" w:bidi="ar"/>
                    </w:rPr>
                  </w:pPr>
                  <w:r>
                    <w:rPr>
                      <w:rFonts w:hint="eastAsia" w:cs="宋体"/>
                      <w:color w:val="auto"/>
                      <w:sz w:val="21"/>
                      <w:szCs w:val="21"/>
                      <w:highlight w:val="none"/>
                      <w:lang w:val="en-US" w:eastAsia="zh-CN" w:bidi="ar"/>
                    </w:rPr>
                    <w:t>加盖密闭</w:t>
                  </w:r>
                </w:p>
              </w:tc>
              <w:tc>
                <w:tcPr>
                  <w:tcW w:w="757" w:type="pct"/>
                  <w:tcBorders>
                    <w:tl2br w:val="nil"/>
                    <w:tr2bl w:val="nil"/>
                  </w:tcBorders>
                  <w:shd w:val="clear" w:color="auto" w:fill="auto"/>
                  <w:vAlign w:val="center"/>
                </w:tcPr>
                <w:p w14:paraId="010C7FDA">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bidi="ar"/>
                    </w:rPr>
                  </w:pPr>
                  <w:r>
                    <w:rPr>
                      <w:rFonts w:hint="eastAsia"/>
                      <w:color w:val="auto"/>
                      <w:sz w:val="21"/>
                      <w:szCs w:val="21"/>
                      <w:highlight w:val="none"/>
                      <w:lang w:val="en-US" w:eastAsia="zh-CN" w:bidi="ar"/>
                    </w:rPr>
                    <w:t>0.5</w:t>
                  </w:r>
                </w:p>
              </w:tc>
              <w:tc>
                <w:tcPr>
                  <w:tcW w:w="1092" w:type="pct"/>
                  <w:vMerge w:val="continue"/>
                  <w:tcBorders>
                    <w:tl2br w:val="nil"/>
                    <w:tr2bl w:val="nil"/>
                  </w:tcBorders>
                  <w:vAlign w:val="center"/>
                </w:tcPr>
                <w:p w14:paraId="5791814C">
                  <w:pPr>
                    <w:pStyle w:val="21"/>
                    <w:keepNext w:val="0"/>
                    <w:keepLines w:val="0"/>
                    <w:suppressLineNumbers w:val="0"/>
                    <w:spacing w:before="0" w:beforeAutospacing="0" w:after="0" w:afterAutospacing="0"/>
                    <w:ind w:left="0" w:right="0"/>
                    <w:rPr>
                      <w:rFonts w:hint="default"/>
                      <w:color w:val="auto"/>
                      <w:highlight w:val="none"/>
                      <w:lang w:val="en-US"/>
                    </w:rPr>
                  </w:pPr>
                </w:p>
              </w:tc>
            </w:tr>
            <w:tr w14:paraId="4458CC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3" w:type="pct"/>
                  <w:tcBorders>
                    <w:tl2br w:val="nil"/>
                    <w:tr2bl w:val="nil"/>
                  </w:tcBorders>
                  <w:shd w:val="clear" w:color="auto" w:fill="auto"/>
                  <w:vAlign w:val="center"/>
                </w:tcPr>
                <w:p w14:paraId="77C352EE">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7</w:t>
                  </w:r>
                </w:p>
              </w:tc>
              <w:tc>
                <w:tcPr>
                  <w:tcW w:w="1000" w:type="pct"/>
                  <w:tcBorders>
                    <w:tl2br w:val="nil"/>
                    <w:tr2bl w:val="nil"/>
                  </w:tcBorders>
                  <w:shd w:val="clear" w:color="auto" w:fill="auto"/>
                  <w:vAlign w:val="center"/>
                </w:tcPr>
                <w:p w14:paraId="1B515F29">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废化学品包装桶</w:t>
                  </w:r>
                </w:p>
              </w:tc>
              <w:tc>
                <w:tcPr>
                  <w:tcW w:w="1063" w:type="pct"/>
                  <w:tcBorders>
                    <w:tl2br w:val="nil"/>
                    <w:tr2bl w:val="nil"/>
                  </w:tcBorders>
                  <w:shd w:val="clear" w:color="auto" w:fill="auto"/>
                  <w:vAlign w:val="center"/>
                </w:tcPr>
                <w:p w14:paraId="1BBC748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0.05</w:t>
                  </w:r>
                </w:p>
              </w:tc>
              <w:tc>
                <w:tcPr>
                  <w:tcW w:w="702" w:type="pct"/>
                  <w:tcBorders>
                    <w:tl2br w:val="nil"/>
                    <w:tr2bl w:val="nil"/>
                  </w:tcBorders>
                  <w:shd w:val="clear" w:color="auto" w:fill="auto"/>
                  <w:vAlign w:val="center"/>
                </w:tcPr>
                <w:p w14:paraId="27CFF1BB">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宋体"/>
                      <w:color w:val="auto"/>
                      <w:sz w:val="21"/>
                      <w:szCs w:val="21"/>
                      <w:highlight w:val="none"/>
                      <w:lang w:val="en-US" w:eastAsia="zh-CN" w:bidi="ar"/>
                    </w:rPr>
                  </w:pPr>
                  <w:r>
                    <w:rPr>
                      <w:rFonts w:hint="eastAsia" w:cs="宋体"/>
                      <w:color w:val="auto"/>
                      <w:sz w:val="21"/>
                      <w:szCs w:val="21"/>
                      <w:highlight w:val="none"/>
                      <w:lang w:val="en-US" w:eastAsia="zh-CN" w:bidi="ar"/>
                    </w:rPr>
                    <w:t>加盖密闭</w:t>
                  </w:r>
                </w:p>
              </w:tc>
              <w:tc>
                <w:tcPr>
                  <w:tcW w:w="757" w:type="pct"/>
                  <w:tcBorders>
                    <w:tl2br w:val="nil"/>
                    <w:tr2bl w:val="nil"/>
                  </w:tcBorders>
                  <w:shd w:val="clear" w:color="auto" w:fill="auto"/>
                  <w:vAlign w:val="center"/>
                </w:tcPr>
                <w:p w14:paraId="6F7968B9">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bidi="ar"/>
                    </w:rPr>
                  </w:pPr>
                  <w:r>
                    <w:rPr>
                      <w:rFonts w:hint="eastAsia"/>
                      <w:color w:val="auto"/>
                      <w:sz w:val="21"/>
                      <w:szCs w:val="21"/>
                      <w:highlight w:val="none"/>
                      <w:lang w:val="en-US" w:eastAsia="zh-CN" w:bidi="ar"/>
                    </w:rPr>
                    <w:t>0.1</w:t>
                  </w:r>
                </w:p>
              </w:tc>
              <w:tc>
                <w:tcPr>
                  <w:tcW w:w="1092" w:type="pct"/>
                  <w:vMerge w:val="continue"/>
                  <w:tcBorders>
                    <w:tl2br w:val="nil"/>
                    <w:tr2bl w:val="nil"/>
                  </w:tcBorders>
                  <w:vAlign w:val="center"/>
                </w:tcPr>
                <w:p w14:paraId="1FB38096">
                  <w:pPr>
                    <w:pStyle w:val="21"/>
                    <w:keepNext w:val="0"/>
                    <w:keepLines w:val="0"/>
                    <w:suppressLineNumbers w:val="0"/>
                    <w:spacing w:before="0" w:beforeAutospacing="0" w:after="0" w:afterAutospacing="0"/>
                    <w:ind w:left="0" w:right="0"/>
                    <w:rPr>
                      <w:rFonts w:hint="default"/>
                      <w:color w:val="auto"/>
                      <w:highlight w:val="none"/>
                      <w:lang w:val="en-US"/>
                    </w:rPr>
                  </w:pPr>
                </w:p>
              </w:tc>
            </w:tr>
            <w:tr w14:paraId="7BA2DF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3" w:type="pct"/>
                  <w:tcBorders>
                    <w:tl2br w:val="nil"/>
                    <w:tr2bl w:val="nil"/>
                  </w:tcBorders>
                  <w:shd w:val="clear" w:color="auto" w:fill="auto"/>
                  <w:vAlign w:val="center"/>
                </w:tcPr>
                <w:p w14:paraId="1DA02085">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8</w:t>
                  </w:r>
                </w:p>
              </w:tc>
              <w:tc>
                <w:tcPr>
                  <w:tcW w:w="1000" w:type="pct"/>
                  <w:tcBorders>
                    <w:tl2br w:val="nil"/>
                    <w:tr2bl w:val="nil"/>
                  </w:tcBorders>
                  <w:shd w:val="clear" w:color="auto" w:fill="auto"/>
                  <w:vAlign w:val="center"/>
                </w:tcPr>
                <w:p w14:paraId="230C586C">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废机油</w:t>
                  </w:r>
                </w:p>
              </w:tc>
              <w:tc>
                <w:tcPr>
                  <w:tcW w:w="1063" w:type="pct"/>
                  <w:tcBorders>
                    <w:tl2br w:val="nil"/>
                    <w:tr2bl w:val="nil"/>
                  </w:tcBorders>
                  <w:shd w:val="clear" w:color="auto" w:fill="auto"/>
                  <w:vAlign w:val="center"/>
                </w:tcPr>
                <w:p w14:paraId="2BA8F35D">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11.4</w:t>
                  </w:r>
                </w:p>
              </w:tc>
              <w:tc>
                <w:tcPr>
                  <w:tcW w:w="702" w:type="pct"/>
                  <w:tcBorders>
                    <w:tl2br w:val="nil"/>
                    <w:tr2bl w:val="nil"/>
                  </w:tcBorders>
                  <w:shd w:val="clear" w:color="auto" w:fill="auto"/>
                  <w:vAlign w:val="center"/>
                </w:tcPr>
                <w:p w14:paraId="0B8CFF3F">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宋体"/>
                      <w:color w:val="auto"/>
                      <w:sz w:val="21"/>
                      <w:szCs w:val="21"/>
                      <w:highlight w:val="none"/>
                      <w:lang w:val="en-US" w:eastAsia="zh-CN" w:bidi="ar"/>
                    </w:rPr>
                  </w:pPr>
                  <w:r>
                    <w:rPr>
                      <w:rFonts w:hint="eastAsia" w:cs="宋体"/>
                      <w:color w:val="auto"/>
                      <w:sz w:val="21"/>
                      <w:szCs w:val="21"/>
                      <w:highlight w:val="none"/>
                      <w:lang w:val="en-US" w:eastAsia="zh-CN" w:bidi="ar"/>
                    </w:rPr>
                    <w:t>密封袋装</w:t>
                  </w:r>
                </w:p>
              </w:tc>
              <w:tc>
                <w:tcPr>
                  <w:tcW w:w="757" w:type="pct"/>
                  <w:tcBorders>
                    <w:tl2br w:val="nil"/>
                    <w:tr2bl w:val="nil"/>
                  </w:tcBorders>
                  <w:shd w:val="clear" w:color="auto" w:fill="auto"/>
                  <w:vAlign w:val="center"/>
                </w:tcPr>
                <w:p w14:paraId="3B28B9CD">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bidi="ar"/>
                    </w:rPr>
                  </w:pPr>
                  <w:r>
                    <w:rPr>
                      <w:rFonts w:hint="eastAsia"/>
                      <w:color w:val="auto"/>
                      <w:sz w:val="21"/>
                      <w:szCs w:val="21"/>
                      <w:highlight w:val="none"/>
                      <w:lang w:val="en-US" w:eastAsia="zh-CN" w:bidi="ar"/>
                    </w:rPr>
                    <w:t>4</w:t>
                  </w:r>
                </w:p>
              </w:tc>
              <w:tc>
                <w:tcPr>
                  <w:tcW w:w="1092" w:type="pct"/>
                  <w:vMerge w:val="continue"/>
                  <w:tcBorders>
                    <w:tl2br w:val="nil"/>
                    <w:tr2bl w:val="nil"/>
                  </w:tcBorders>
                  <w:vAlign w:val="center"/>
                </w:tcPr>
                <w:p w14:paraId="246CC3DE">
                  <w:pPr>
                    <w:pStyle w:val="21"/>
                    <w:keepNext w:val="0"/>
                    <w:keepLines w:val="0"/>
                    <w:suppressLineNumbers w:val="0"/>
                    <w:spacing w:before="0" w:beforeAutospacing="0" w:after="0" w:afterAutospacing="0"/>
                    <w:ind w:left="0" w:right="0"/>
                    <w:rPr>
                      <w:rFonts w:hint="default"/>
                      <w:color w:val="auto"/>
                      <w:highlight w:val="none"/>
                      <w:lang w:val="en-US"/>
                    </w:rPr>
                  </w:pPr>
                </w:p>
              </w:tc>
            </w:tr>
            <w:tr w14:paraId="0B2FAE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3" w:type="pct"/>
                  <w:tcBorders>
                    <w:tl2br w:val="nil"/>
                    <w:tr2bl w:val="nil"/>
                  </w:tcBorders>
                  <w:vAlign w:val="center"/>
                </w:tcPr>
                <w:p w14:paraId="326C13B8">
                  <w:pPr>
                    <w:pStyle w:val="21"/>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9</w:t>
                  </w:r>
                </w:p>
              </w:tc>
              <w:tc>
                <w:tcPr>
                  <w:tcW w:w="1000" w:type="pct"/>
                  <w:tcBorders>
                    <w:tl2br w:val="nil"/>
                    <w:tr2bl w:val="nil"/>
                  </w:tcBorders>
                  <w:shd w:val="clear" w:color="auto" w:fill="auto"/>
                  <w:vAlign w:val="center"/>
                </w:tcPr>
                <w:p w14:paraId="773D36E8">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含油废液</w:t>
                  </w:r>
                </w:p>
              </w:tc>
              <w:tc>
                <w:tcPr>
                  <w:tcW w:w="1063" w:type="pct"/>
                  <w:tcBorders>
                    <w:tl2br w:val="nil"/>
                    <w:tr2bl w:val="nil"/>
                  </w:tcBorders>
                  <w:shd w:val="clear" w:color="auto" w:fill="auto"/>
                  <w:vAlign w:val="center"/>
                </w:tcPr>
                <w:p w14:paraId="027063E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w:t>
                  </w:r>
                </w:p>
              </w:tc>
              <w:tc>
                <w:tcPr>
                  <w:tcW w:w="702" w:type="pct"/>
                  <w:tcBorders>
                    <w:tl2br w:val="nil"/>
                    <w:tr2bl w:val="nil"/>
                  </w:tcBorders>
                  <w:shd w:val="clear" w:color="auto" w:fill="auto"/>
                  <w:vAlign w:val="center"/>
                </w:tcPr>
                <w:p w14:paraId="2CB59E6A">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宋体"/>
                      <w:color w:val="auto"/>
                      <w:sz w:val="21"/>
                      <w:szCs w:val="21"/>
                      <w:highlight w:val="none"/>
                      <w:lang w:val="en-US" w:eastAsia="zh-CN" w:bidi="ar"/>
                    </w:rPr>
                  </w:pPr>
                  <w:r>
                    <w:rPr>
                      <w:rFonts w:hint="eastAsia" w:cs="宋体"/>
                      <w:color w:val="auto"/>
                      <w:sz w:val="21"/>
                      <w:szCs w:val="21"/>
                      <w:highlight w:val="none"/>
                      <w:lang w:val="en-US" w:eastAsia="zh-CN" w:bidi="ar"/>
                    </w:rPr>
                    <w:t>密封桶装</w:t>
                  </w:r>
                </w:p>
              </w:tc>
              <w:tc>
                <w:tcPr>
                  <w:tcW w:w="757" w:type="pct"/>
                  <w:tcBorders>
                    <w:tl2br w:val="nil"/>
                    <w:tr2bl w:val="nil"/>
                  </w:tcBorders>
                  <w:shd w:val="clear" w:color="auto" w:fill="auto"/>
                  <w:vAlign w:val="center"/>
                </w:tcPr>
                <w:p w14:paraId="4E8B07E6">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bidi="ar"/>
                    </w:rPr>
                  </w:pPr>
                  <w:r>
                    <w:rPr>
                      <w:rFonts w:hint="eastAsia"/>
                      <w:color w:val="auto"/>
                      <w:sz w:val="21"/>
                      <w:szCs w:val="21"/>
                      <w:highlight w:val="none"/>
                      <w:lang w:val="en-US" w:eastAsia="zh-CN" w:bidi="ar"/>
                    </w:rPr>
                    <w:t>1</w:t>
                  </w:r>
                </w:p>
              </w:tc>
              <w:tc>
                <w:tcPr>
                  <w:tcW w:w="1092" w:type="pct"/>
                  <w:vMerge w:val="continue"/>
                  <w:tcBorders>
                    <w:tl2br w:val="nil"/>
                    <w:tr2bl w:val="nil"/>
                  </w:tcBorders>
                  <w:vAlign w:val="center"/>
                </w:tcPr>
                <w:p w14:paraId="46BAE6A9">
                  <w:pPr>
                    <w:pStyle w:val="21"/>
                    <w:keepNext w:val="0"/>
                    <w:keepLines w:val="0"/>
                    <w:suppressLineNumbers w:val="0"/>
                    <w:spacing w:before="0" w:beforeAutospacing="0" w:after="0" w:afterAutospacing="0"/>
                    <w:ind w:left="0" w:right="0"/>
                    <w:rPr>
                      <w:rFonts w:hint="default"/>
                      <w:color w:val="auto"/>
                      <w:highlight w:val="none"/>
                      <w:lang w:val="en-US"/>
                    </w:rPr>
                  </w:pPr>
                </w:p>
              </w:tc>
            </w:tr>
            <w:tr w14:paraId="31DDB4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83" w:type="pct"/>
                  <w:vAlign w:val="center"/>
                </w:tcPr>
                <w:p w14:paraId="37D0B130">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10</w:t>
                  </w:r>
                </w:p>
              </w:tc>
              <w:tc>
                <w:tcPr>
                  <w:tcW w:w="1000" w:type="pct"/>
                  <w:shd w:val="clear" w:color="auto" w:fill="auto"/>
                  <w:vAlign w:val="center"/>
                </w:tcPr>
                <w:p w14:paraId="412E276D">
                  <w:pPr>
                    <w:pStyle w:val="21"/>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废活性炭</w:t>
                  </w:r>
                </w:p>
              </w:tc>
              <w:tc>
                <w:tcPr>
                  <w:tcW w:w="1063" w:type="pct"/>
                  <w:shd w:val="clear" w:color="auto" w:fill="auto"/>
                  <w:vAlign w:val="center"/>
                </w:tcPr>
                <w:p w14:paraId="5F1FAE4A">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26.3</w:t>
                  </w:r>
                </w:p>
              </w:tc>
              <w:tc>
                <w:tcPr>
                  <w:tcW w:w="702" w:type="pct"/>
                  <w:shd w:val="clear" w:color="auto" w:fill="auto"/>
                  <w:vAlign w:val="center"/>
                </w:tcPr>
                <w:p w14:paraId="5C7CE1AE">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宋体"/>
                      <w:color w:val="auto"/>
                      <w:sz w:val="21"/>
                      <w:szCs w:val="21"/>
                      <w:highlight w:val="none"/>
                      <w:lang w:val="en-US" w:eastAsia="zh-CN" w:bidi="ar"/>
                    </w:rPr>
                  </w:pPr>
                  <w:r>
                    <w:rPr>
                      <w:rFonts w:hint="eastAsia" w:cs="宋体"/>
                      <w:color w:val="auto"/>
                      <w:sz w:val="21"/>
                      <w:szCs w:val="21"/>
                      <w:highlight w:val="none"/>
                      <w:lang w:val="en-US" w:eastAsia="zh-CN" w:bidi="ar"/>
                    </w:rPr>
                    <w:t>密封袋装</w:t>
                  </w:r>
                </w:p>
              </w:tc>
              <w:tc>
                <w:tcPr>
                  <w:tcW w:w="757" w:type="pct"/>
                  <w:shd w:val="clear" w:color="auto" w:fill="auto"/>
                  <w:vAlign w:val="center"/>
                </w:tcPr>
                <w:p w14:paraId="56172769">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highlight w:val="none"/>
                      <w:lang w:val="en-US" w:eastAsia="zh-CN" w:bidi="ar"/>
                    </w:rPr>
                  </w:pPr>
                  <w:r>
                    <w:rPr>
                      <w:rFonts w:hint="eastAsia"/>
                      <w:color w:val="auto"/>
                      <w:sz w:val="21"/>
                      <w:szCs w:val="21"/>
                      <w:highlight w:val="none"/>
                      <w:lang w:val="en-US" w:eastAsia="zh-CN" w:bidi="ar"/>
                    </w:rPr>
                    <w:t>6</w:t>
                  </w:r>
                </w:p>
              </w:tc>
              <w:tc>
                <w:tcPr>
                  <w:tcW w:w="1092" w:type="pct"/>
                  <w:vMerge w:val="continue"/>
                  <w:vAlign w:val="center"/>
                </w:tcPr>
                <w:p w14:paraId="0A5006B9">
                  <w:pPr>
                    <w:pStyle w:val="21"/>
                    <w:keepNext w:val="0"/>
                    <w:keepLines w:val="0"/>
                    <w:suppressLineNumbers w:val="0"/>
                    <w:spacing w:before="0" w:beforeAutospacing="0" w:after="0" w:afterAutospacing="0"/>
                    <w:ind w:left="0" w:right="0"/>
                    <w:rPr>
                      <w:rFonts w:hint="default"/>
                      <w:color w:val="auto"/>
                      <w:highlight w:val="none"/>
                      <w:lang w:val="en-US"/>
                    </w:rPr>
                  </w:pPr>
                </w:p>
              </w:tc>
            </w:tr>
          </w:tbl>
          <w:p w14:paraId="3F4BD432">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（2）风险潜势初判</w:t>
            </w:r>
          </w:p>
          <w:p w14:paraId="461AB3BA">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根据《建设项目环境风险评价技术导则》（HJ169-2018）附录C，当存在多种危险物质时，则按式（C.1）计算物质总量与其临界量比值（Q）。</w:t>
            </w:r>
          </w:p>
          <w:p w14:paraId="096DBD7E">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rPr>
            </w:pPr>
            <m:oMathPara>
              <m:oMath>
                <m:r>
                  <m:rPr>
                    <m:sty m:val="p"/>
                  </m:rPr>
                  <w:rPr>
                    <w:rFonts w:hint="default" w:ascii="Cambria Math" w:hAnsi="Cambria Math" w:eastAsia="宋体"/>
                    <w:color w:val="auto"/>
                    <w:highlight w:val="none"/>
                  </w:rPr>
                  <m:t>Q=</m:t>
                </m:r>
                <m:f>
                  <m:fPr>
                    <m:ctrlPr>
                      <w:rPr>
                        <w:rFonts w:hint="default" w:ascii="Cambria Math" w:hAnsi="Cambria Math" w:eastAsia="宋体"/>
                        <w:color w:val="auto"/>
                        <w:highlight w:val="none"/>
                      </w:rPr>
                    </m:ctrlPr>
                  </m:fPr>
                  <m:num>
                    <m:sSub>
                      <m:sSubPr>
                        <m:ctrlPr>
                          <w:rPr>
                            <w:rFonts w:hint="default" w:ascii="Cambria Math" w:hAnsi="Cambria Math" w:eastAsia="宋体"/>
                            <w:color w:val="auto"/>
                            <w:highlight w:val="none"/>
                          </w:rPr>
                        </m:ctrlPr>
                      </m:sSubPr>
                      <m:e>
                        <m:r>
                          <m:rPr>
                            <m:sty m:val="p"/>
                          </m:rPr>
                          <w:rPr>
                            <w:rFonts w:hint="eastAsia" w:ascii="Cambria Math" w:hAnsi="Cambria Math" w:eastAsia="宋体"/>
                            <w:color w:val="auto"/>
                            <w:highlight w:val="none"/>
                          </w:rPr>
                          <m:t>q</m:t>
                        </m:r>
                        <m:ctrlPr>
                          <w:rPr>
                            <w:rFonts w:hint="default" w:ascii="Cambria Math" w:hAnsi="Cambria Math" w:eastAsia="宋体"/>
                            <w:color w:val="auto"/>
                            <w:highlight w:val="none"/>
                          </w:rPr>
                        </m:ctrlPr>
                      </m:e>
                      <m:sub>
                        <m:r>
                          <m:rPr>
                            <m:sty m:val="p"/>
                          </m:rPr>
                          <w:rPr>
                            <w:rFonts w:hint="default" w:ascii="Cambria Math" w:hAnsi="Cambria Math" w:eastAsia="宋体"/>
                            <w:color w:val="auto"/>
                            <w:highlight w:val="none"/>
                          </w:rPr>
                          <m:t>1</m:t>
                        </m:r>
                        <m:ctrlPr>
                          <w:rPr>
                            <w:rFonts w:hint="default" w:ascii="Cambria Math" w:hAnsi="Cambria Math" w:eastAsia="宋体"/>
                            <w:color w:val="auto"/>
                            <w:highlight w:val="none"/>
                          </w:rPr>
                        </m:ctrlPr>
                      </m:sub>
                    </m:sSub>
                    <m:ctrlPr>
                      <w:rPr>
                        <w:rFonts w:hint="default" w:ascii="Cambria Math" w:hAnsi="Cambria Math" w:eastAsia="宋体"/>
                        <w:color w:val="auto"/>
                        <w:highlight w:val="none"/>
                      </w:rPr>
                    </m:ctrlPr>
                  </m:num>
                  <m:den>
                    <m:sSub>
                      <m:sSubPr>
                        <m:ctrlPr>
                          <w:rPr>
                            <w:rFonts w:hint="default" w:ascii="Cambria Math" w:hAnsi="Cambria Math" w:eastAsia="宋体"/>
                            <w:color w:val="auto"/>
                            <w:highlight w:val="none"/>
                          </w:rPr>
                        </m:ctrlPr>
                      </m:sSubPr>
                      <m:e>
                        <m:r>
                          <m:rPr>
                            <m:sty m:val="p"/>
                          </m:rPr>
                          <w:rPr>
                            <w:rFonts w:hint="default" w:ascii="Cambria Math" w:hAnsi="Cambria Math" w:eastAsia="宋体"/>
                            <w:color w:val="auto"/>
                            <w:highlight w:val="none"/>
                          </w:rPr>
                          <m:t>Q</m:t>
                        </m:r>
                        <m:ctrlPr>
                          <w:rPr>
                            <w:rFonts w:hint="default" w:ascii="Cambria Math" w:hAnsi="Cambria Math" w:eastAsia="宋体"/>
                            <w:color w:val="auto"/>
                            <w:highlight w:val="none"/>
                          </w:rPr>
                        </m:ctrlPr>
                      </m:e>
                      <m:sub>
                        <m:r>
                          <m:rPr>
                            <m:sty m:val="p"/>
                          </m:rPr>
                          <w:rPr>
                            <w:rFonts w:hint="default" w:ascii="Cambria Math" w:hAnsi="Cambria Math" w:eastAsia="宋体"/>
                            <w:color w:val="auto"/>
                            <w:highlight w:val="none"/>
                          </w:rPr>
                          <m:t>1</m:t>
                        </m:r>
                        <m:ctrlPr>
                          <w:rPr>
                            <w:rFonts w:hint="default" w:ascii="Cambria Math" w:hAnsi="Cambria Math" w:eastAsia="宋体"/>
                            <w:color w:val="auto"/>
                            <w:highlight w:val="none"/>
                          </w:rPr>
                        </m:ctrlPr>
                      </m:sub>
                    </m:sSub>
                    <m:ctrlPr>
                      <w:rPr>
                        <w:rFonts w:hint="default" w:ascii="Cambria Math" w:hAnsi="Cambria Math" w:eastAsia="宋体"/>
                        <w:color w:val="auto"/>
                        <w:highlight w:val="none"/>
                      </w:rPr>
                    </m:ctrlPr>
                  </m:den>
                </m:f>
                <m:r>
                  <m:rPr>
                    <m:sty m:val="p"/>
                  </m:rPr>
                  <w:rPr>
                    <w:rFonts w:hint="default" w:ascii="Cambria Math" w:hAnsi="Cambria Math" w:eastAsia="宋体"/>
                    <w:color w:val="auto"/>
                    <w:highlight w:val="none"/>
                  </w:rPr>
                  <m:t>+</m:t>
                </m:r>
                <m:f>
                  <m:fPr>
                    <m:ctrlPr>
                      <w:rPr>
                        <w:rFonts w:hint="default" w:ascii="Cambria Math" w:hAnsi="Cambria Math" w:eastAsia="宋体"/>
                        <w:color w:val="auto"/>
                        <w:highlight w:val="none"/>
                      </w:rPr>
                    </m:ctrlPr>
                  </m:fPr>
                  <m:num>
                    <m:sSub>
                      <m:sSubPr>
                        <m:ctrlPr>
                          <w:rPr>
                            <w:rFonts w:hint="default" w:ascii="Cambria Math" w:hAnsi="Cambria Math" w:eastAsia="宋体"/>
                            <w:color w:val="auto"/>
                            <w:highlight w:val="none"/>
                          </w:rPr>
                        </m:ctrlPr>
                      </m:sSubPr>
                      <m:e>
                        <m:r>
                          <m:rPr>
                            <m:sty m:val="p"/>
                          </m:rPr>
                          <w:rPr>
                            <w:rFonts w:hint="eastAsia" w:ascii="Cambria Math" w:hAnsi="Cambria Math" w:eastAsia="宋体"/>
                            <w:color w:val="auto"/>
                            <w:highlight w:val="none"/>
                          </w:rPr>
                          <m:t>q</m:t>
                        </m:r>
                        <m:ctrlPr>
                          <w:rPr>
                            <w:rFonts w:hint="default" w:ascii="Cambria Math" w:hAnsi="Cambria Math" w:eastAsia="宋体"/>
                            <w:color w:val="auto"/>
                            <w:highlight w:val="none"/>
                          </w:rPr>
                        </m:ctrlPr>
                      </m:e>
                      <m:sub>
                        <m:r>
                          <m:rPr>
                            <m:sty m:val="p"/>
                          </m:rPr>
                          <w:rPr>
                            <w:rFonts w:hint="default" w:ascii="Cambria Math" w:hAnsi="Cambria Math" w:eastAsia="宋体"/>
                            <w:color w:val="auto"/>
                            <w:highlight w:val="none"/>
                          </w:rPr>
                          <m:t>2</m:t>
                        </m:r>
                        <m:ctrlPr>
                          <w:rPr>
                            <w:rFonts w:hint="default" w:ascii="Cambria Math" w:hAnsi="Cambria Math" w:eastAsia="宋体"/>
                            <w:color w:val="auto"/>
                            <w:highlight w:val="none"/>
                          </w:rPr>
                        </m:ctrlPr>
                      </m:sub>
                    </m:sSub>
                    <m:ctrlPr>
                      <w:rPr>
                        <w:rFonts w:hint="default" w:ascii="Cambria Math" w:hAnsi="Cambria Math" w:eastAsia="宋体"/>
                        <w:color w:val="auto"/>
                        <w:highlight w:val="none"/>
                      </w:rPr>
                    </m:ctrlPr>
                  </m:num>
                  <m:den>
                    <m:sSub>
                      <m:sSubPr>
                        <m:ctrlPr>
                          <w:rPr>
                            <w:rFonts w:hint="default" w:ascii="Cambria Math" w:hAnsi="Cambria Math" w:eastAsia="宋体"/>
                            <w:color w:val="auto"/>
                            <w:highlight w:val="none"/>
                          </w:rPr>
                        </m:ctrlPr>
                      </m:sSubPr>
                      <m:e>
                        <m:r>
                          <m:rPr>
                            <m:sty m:val="p"/>
                          </m:rPr>
                          <w:rPr>
                            <w:rFonts w:hint="default" w:ascii="Cambria Math" w:hAnsi="Cambria Math" w:eastAsia="宋体"/>
                            <w:color w:val="auto"/>
                            <w:highlight w:val="none"/>
                          </w:rPr>
                          <m:t>Q</m:t>
                        </m:r>
                        <m:ctrlPr>
                          <w:rPr>
                            <w:rFonts w:hint="default" w:ascii="Cambria Math" w:hAnsi="Cambria Math" w:eastAsia="宋体"/>
                            <w:color w:val="auto"/>
                            <w:highlight w:val="none"/>
                          </w:rPr>
                        </m:ctrlPr>
                      </m:e>
                      <m:sub>
                        <m:r>
                          <m:rPr>
                            <m:sty m:val="p"/>
                          </m:rPr>
                          <w:rPr>
                            <w:rFonts w:hint="default" w:ascii="Cambria Math" w:hAnsi="Cambria Math" w:eastAsia="宋体"/>
                            <w:color w:val="auto"/>
                            <w:highlight w:val="none"/>
                          </w:rPr>
                          <m:t>2</m:t>
                        </m:r>
                        <m:ctrlPr>
                          <w:rPr>
                            <w:rFonts w:hint="default" w:ascii="Cambria Math" w:hAnsi="Cambria Math" w:eastAsia="宋体"/>
                            <w:color w:val="auto"/>
                            <w:highlight w:val="none"/>
                          </w:rPr>
                        </m:ctrlPr>
                      </m:sub>
                    </m:sSub>
                    <m:ctrlPr>
                      <w:rPr>
                        <w:rFonts w:hint="default" w:ascii="Cambria Math" w:hAnsi="Cambria Math" w:eastAsia="宋体"/>
                        <w:color w:val="auto"/>
                        <w:highlight w:val="none"/>
                      </w:rPr>
                    </m:ctrlPr>
                  </m:den>
                </m:f>
                <m:r>
                  <m:rPr>
                    <m:sty m:val="p"/>
                  </m:rPr>
                  <w:rPr>
                    <w:rFonts w:hint="default" w:ascii="Cambria Math" w:hAnsi="Cambria Math" w:eastAsia="宋体"/>
                    <w:color w:val="auto"/>
                    <w:highlight w:val="none"/>
                  </w:rPr>
                  <m:t>+⋯⋯+</m:t>
                </m:r>
                <m:f>
                  <m:fPr>
                    <m:ctrlPr>
                      <w:rPr>
                        <w:rFonts w:hint="default" w:ascii="Cambria Math" w:hAnsi="Cambria Math" w:eastAsia="宋体"/>
                        <w:color w:val="auto"/>
                        <w:highlight w:val="none"/>
                      </w:rPr>
                    </m:ctrlPr>
                  </m:fPr>
                  <m:num>
                    <m:sSub>
                      <m:sSubPr>
                        <m:ctrlPr>
                          <w:rPr>
                            <w:rFonts w:hint="default" w:ascii="Cambria Math" w:hAnsi="Cambria Math" w:eastAsia="宋体"/>
                            <w:color w:val="auto"/>
                            <w:highlight w:val="none"/>
                          </w:rPr>
                        </m:ctrlPr>
                      </m:sSubPr>
                      <m:e>
                        <m:r>
                          <m:rPr>
                            <m:sty m:val="p"/>
                          </m:rPr>
                          <w:rPr>
                            <w:rFonts w:hint="eastAsia" w:ascii="Cambria Math" w:hAnsi="Cambria Math" w:eastAsia="宋体"/>
                            <w:color w:val="auto"/>
                            <w:highlight w:val="none"/>
                          </w:rPr>
                          <m:t>q</m:t>
                        </m:r>
                        <m:ctrlPr>
                          <w:rPr>
                            <w:rFonts w:hint="default" w:ascii="Cambria Math" w:hAnsi="Cambria Math" w:eastAsia="宋体"/>
                            <w:color w:val="auto"/>
                            <w:highlight w:val="none"/>
                          </w:rPr>
                        </m:ctrlPr>
                      </m:e>
                      <m:sub>
                        <m:r>
                          <m:rPr>
                            <m:sty m:val="p"/>
                          </m:rPr>
                          <w:rPr>
                            <w:rFonts w:hint="eastAsia" w:ascii="Cambria Math" w:hAnsi="Cambria Math" w:eastAsia="宋体"/>
                            <w:color w:val="auto"/>
                            <w:highlight w:val="none"/>
                          </w:rPr>
                          <m:t>n</m:t>
                        </m:r>
                        <m:ctrlPr>
                          <w:rPr>
                            <w:rFonts w:hint="default" w:ascii="Cambria Math" w:hAnsi="Cambria Math" w:eastAsia="宋体"/>
                            <w:color w:val="auto"/>
                            <w:highlight w:val="none"/>
                          </w:rPr>
                        </m:ctrlPr>
                      </m:sub>
                    </m:sSub>
                    <m:ctrlPr>
                      <w:rPr>
                        <w:rFonts w:hint="default" w:ascii="Cambria Math" w:hAnsi="Cambria Math" w:eastAsia="宋体"/>
                        <w:color w:val="auto"/>
                        <w:highlight w:val="none"/>
                      </w:rPr>
                    </m:ctrlPr>
                  </m:num>
                  <m:den>
                    <m:sSub>
                      <m:sSubPr>
                        <m:ctrlPr>
                          <w:rPr>
                            <w:rFonts w:hint="default" w:ascii="Cambria Math" w:hAnsi="Cambria Math" w:eastAsia="宋体"/>
                            <w:color w:val="auto"/>
                            <w:highlight w:val="none"/>
                          </w:rPr>
                        </m:ctrlPr>
                      </m:sSubPr>
                      <m:e>
                        <m:r>
                          <m:rPr>
                            <m:sty m:val="p"/>
                          </m:rPr>
                          <w:rPr>
                            <w:rFonts w:hint="default" w:ascii="Cambria Math" w:hAnsi="Cambria Math" w:eastAsia="宋体"/>
                            <w:color w:val="auto"/>
                            <w:highlight w:val="none"/>
                          </w:rPr>
                          <m:t>Q</m:t>
                        </m:r>
                        <m:ctrlPr>
                          <w:rPr>
                            <w:rFonts w:hint="default" w:ascii="Cambria Math" w:hAnsi="Cambria Math" w:eastAsia="宋体"/>
                            <w:color w:val="auto"/>
                            <w:highlight w:val="none"/>
                          </w:rPr>
                        </m:ctrlPr>
                      </m:e>
                      <m:sub>
                        <m:r>
                          <m:rPr>
                            <m:sty m:val="p"/>
                          </m:rPr>
                          <w:rPr>
                            <w:rFonts w:hint="eastAsia" w:ascii="Cambria Math" w:hAnsi="Cambria Math" w:eastAsia="宋体"/>
                            <w:color w:val="auto"/>
                            <w:highlight w:val="none"/>
                          </w:rPr>
                          <m:t>n</m:t>
                        </m:r>
                        <m:ctrlPr>
                          <w:rPr>
                            <w:rFonts w:hint="default" w:ascii="Cambria Math" w:hAnsi="Cambria Math" w:eastAsia="宋体"/>
                            <w:color w:val="auto"/>
                            <w:highlight w:val="none"/>
                          </w:rPr>
                        </m:ctrlPr>
                      </m:sub>
                    </m:sSub>
                    <m:ctrlPr>
                      <w:rPr>
                        <w:rFonts w:hint="default" w:ascii="Cambria Math" w:hAnsi="Cambria Math" w:eastAsia="宋体"/>
                        <w:color w:val="auto"/>
                        <w:highlight w:val="none"/>
                      </w:rPr>
                    </m:ctrlPr>
                  </m:den>
                </m:f>
              </m:oMath>
            </m:oMathPara>
          </w:p>
          <w:p w14:paraId="520B32DC">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式中：</w:t>
            </w:r>
          </w:p>
          <w:p w14:paraId="12AB0295">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q</w:t>
            </w:r>
            <w:r>
              <w:rPr>
                <w:rFonts w:hint="default" w:ascii="Times New Roman" w:hAnsi="Times New Roman" w:eastAsia="宋体"/>
                <w:color w:val="auto"/>
                <w:highlight w:val="none"/>
                <w:vertAlign w:val="subscript"/>
                <w:lang w:val="en-US"/>
              </w:rPr>
              <w:t>1</w:t>
            </w:r>
            <w:r>
              <w:rPr>
                <w:rFonts w:hint="default" w:ascii="Times New Roman" w:hAnsi="Times New Roman" w:eastAsia="宋体"/>
                <w:color w:val="auto"/>
                <w:highlight w:val="none"/>
                <w:lang w:val="en-US"/>
              </w:rPr>
              <w:t>，q</w:t>
            </w:r>
            <w:r>
              <w:rPr>
                <w:rFonts w:hint="default" w:ascii="Times New Roman" w:hAnsi="Times New Roman" w:eastAsia="宋体"/>
                <w:color w:val="auto"/>
                <w:highlight w:val="none"/>
                <w:vertAlign w:val="subscript"/>
                <w:lang w:val="en-US"/>
              </w:rPr>
              <w:t>2</w:t>
            </w:r>
            <w:r>
              <w:rPr>
                <w:rFonts w:hint="default" w:ascii="Times New Roman" w:hAnsi="Times New Roman" w:eastAsia="宋体"/>
                <w:color w:val="auto"/>
                <w:highlight w:val="none"/>
                <w:lang w:val="en-US"/>
              </w:rPr>
              <w:t>，…，q</w:t>
            </w:r>
            <w:r>
              <w:rPr>
                <w:rFonts w:hint="default" w:ascii="Times New Roman" w:hAnsi="Times New Roman" w:eastAsia="宋体"/>
                <w:color w:val="auto"/>
                <w:highlight w:val="none"/>
                <w:vertAlign w:val="subscript"/>
                <w:lang w:val="en-US"/>
              </w:rPr>
              <w:t>n</w:t>
            </w:r>
            <w:r>
              <w:rPr>
                <w:rFonts w:hint="default" w:ascii="Times New Roman" w:hAnsi="Times New Roman" w:eastAsia="宋体"/>
                <w:color w:val="auto"/>
                <w:highlight w:val="none"/>
                <w:lang w:val="en-US"/>
              </w:rPr>
              <w:t>—每种危险物质的最大存在总量，t；</w:t>
            </w:r>
          </w:p>
          <w:p w14:paraId="458ECDBE">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Q</w:t>
            </w:r>
            <w:r>
              <w:rPr>
                <w:rFonts w:hint="default" w:ascii="Times New Roman" w:hAnsi="Times New Roman" w:eastAsia="宋体"/>
                <w:color w:val="auto"/>
                <w:highlight w:val="none"/>
                <w:vertAlign w:val="subscript"/>
                <w:lang w:val="en-US"/>
              </w:rPr>
              <w:t>1</w:t>
            </w:r>
            <w:r>
              <w:rPr>
                <w:rFonts w:hint="default" w:ascii="Times New Roman" w:hAnsi="Times New Roman" w:eastAsia="宋体"/>
                <w:color w:val="auto"/>
                <w:highlight w:val="none"/>
                <w:lang w:val="en-US"/>
              </w:rPr>
              <w:t>，Q</w:t>
            </w:r>
            <w:r>
              <w:rPr>
                <w:rFonts w:hint="default" w:ascii="Times New Roman" w:hAnsi="Times New Roman" w:eastAsia="宋体"/>
                <w:color w:val="auto"/>
                <w:highlight w:val="none"/>
                <w:vertAlign w:val="subscript"/>
                <w:lang w:val="en-US"/>
              </w:rPr>
              <w:t>2</w:t>
            </w:r>
            <w:r>
              <w:rPr>
                <w:rFonts w:hint="default" w:ascii="Times New Roman" w:hAnsi="Times New Roman" w:eastAsia="宋体"/>
                <w:color w:val="auto"/>
                <w:highlight w:val="none"/>
                <w:lang w:val="en-US"/>
              </w:rPr>
              <w:t>，…，Q</w:t>
            </w:r>
            <w:r>
              <w:rPr>
                <w:rFonts w:hint="default" w:ascii="Times New Roman" w:hAnsi="Times New Roman" w:eastAsia="宋体"/>
                <w:color w:val="auto"/>
                <w:highlight w:val="none"/>
                <w:vertAlign w:val="subscript"/>
                <w:lang w:val="en-US"/>
              </w:rPr>
              <w:t>n</w:t>
            </w:r>
            <w:r>
              <w:rPr>
                <w:rFonts w:hint="default" w:ascii="Times New Roman" w:hAnsi="Times New Roman" w:eastAsia="宋体"/>
                <w:color w:val="auto"/>
                <w:highlight w:val="none"/>
                <w:lang w:val="en-US"/>
              </w:rPr>
              <w:t>—每种危险物质的临界量，t。</w:t>
            </w:r>
          </w:p>
          <w:p w14:paraId="61608578">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本项目风险物质</w:t>
            </w:r>
            <w:r>
              <w:rPr>
                <w:rFonts w:hint="default"/>
                <w:color w:val="auto"/>
                <w:highlight w:val="none"/>
                <w:lang w:val="en-US"/>
              </w:rPr>
              <w:t>总量与其临界量比值</w:t>
            </w:r>
            <w:r>
              <w:rPr>
                <w:rFonts w:hint="eastAsia"/>
                <w:color w:val="auto"/>
                <w:highlight w:val="none"/>
                <w:lang w:val="en-US" w:eastAsia="zh-CN"/>
              </w:rPr>
              <w:t>见下表：</w:t>
            </w:r>
          </w:p>
          <w:p w14:paraId="495F2CB5">
            <w:pPr>
              <w:pStyle w:val="23"/>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表4-</w:t>
            </w:r>
            <w:r>
              <w:rPr>
                <w:color w:val="auto"/>
                <w:highlight w:val="none"/>
              </w:rPr>
              <w:t>2</w:t>
            </w:r>
            <w:r>
              <w:rPr>
                <w:rFonts w:hint="eastAsia"/>
                <w:color w:val="auto"/>
                <w:highlight w:val="none"/>
                <w:lang w:val="en-US" w:eastAsia="zh-CN"/>
              </w:rPr>
              <w:t>7</w:t>
            </w:r>
            <w:r>
              <w:rPr>
                <w:rFonts w:hint="default"/>
                <w:color w:val="auto"/>
                <w:highlight w:val="none"/>
              </w:rPr>
              <w:t>建设项目涉及环境风险物质识别表</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84"/>
              <w:gridCol w:w="1581"/>
              <w:gridCol w:w="1294"/>
              <w:gridCol w:w="998"/>
              <w:gridCol w:w="2252"/>
              <w:gridCol w:w="1113"/>
            </w:tblGrid>
            <w:tr w14:paraId="4162CC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3" w:type="pct"/>
                  <w:tcBorders>
                    <w:tl2br w:val="nil"/>
                    <w:tr2bl w:val="nil"/>
                  </w:tcBorders>
                  <w:shd w:val="clear" w:color="auto" w:fill="auto"/>
                  <w:vAlign w:val="center"/>
                </w:tcPr>
                <w:p w14:paraId="034303AC">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szCs w:val="21"/>
                      <w:highlight w:val="none"/>
                    </w:rPr>
                  </w:pPr>
                  <w:r>
                    <w:rPr>
                      <w:rFonts w:hint="eastAsia" w:ascii="宋体" w:hAnsi="宋体" w:cs="宋体"/>
                      <w:b/>
                      <w:bCs/>
                      <w:color w:val="auto"/>
                      <w:sz w:val="21"/>
                      <w:szCs w:val="21"/>
                      <w:highlight w:val="none"/>
                      <w:lang w:val="en-US" w:bidi="ar"/>
                    </w:rPr>
                    <w:t>序号</w:t>
                  </w:r>
                </w:p>
              </w:tc>
              <w:tc>
                <w:tcPr>
                  <w:tcW w:w="1010" w:type="pct"/>
                  <w:tcBorders>
                    <w:tl2br w:val="nil"/>
                    <w:tr2bl w:val="nil"/>
                  </w:tcBorders>
                  <w:shd w:val="clear" w:color="auto" w:fill="auto"/>
                  <w:vAlign w:val="center"/>
                </w:tcPr>
                <w:p w14:paraId="241C4B0A">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szCs w:val="21"/>
                      <w:highlight w:val="none"/>
                    </w:rPr>
                  </w:pPr>
                  <w:r>
                    <w:rPr>
                      <w:rFonts w:hint="eastAsia" w:ascii="宋体" w:hAnsi="宋体" w:cs="宋体"/>
                      <w:b/>
                      <w:bCs/>
                      <w:color w:val="auto"/>
                      <w:sz w:val="21"/>
                      <w:szCs w:val="21"/>
                      <w:highlight w:val="none"/>
                      <w:lang w:val="en-US" w:bidi="ar"/>
                    </w:rPr>
                    <w:t>危险物质名称</w:t>
                  </w:r>
                </w:p>
              </w:tc>
              <w:tc>
                <w:tcPr>
                  <w:tcW w:w="827" w:type="pct"/>
                  <w:tcBorders>
                    <w:tl2br w:val="nil"/>
                    <w:tr2bl w:val="nil"/>
                  </w:tcBorders>
                  <w:shd w:val="clear" w:color="auto" w:fill="auto"/>
                  <w:vAlign w:val="center"/>
                </w:tcPr>
                <w:p w14:paraId="7BF67FFB">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szCs w:val="21"/>
                      <w:highlight w:val="none"/>
                    </w:rPr>
                  </w:pPr>
                  <w:r>
                    <w:rPr>
                      <w:rFonts w:hint="eastAsia" w:ascii="宋体" w:hAnsi="宋体" w:cs="宋体"/>
                      <w:b/>
                      <w:bCs/>
                      <w:color w:val="auto"/>
                      <w:sz w:val="21"/>
                      <w:szCs w:val="21"/>
                      <w:highlight w:val="none"/>
                      <w:lang w:val="en-US" w:bidi="ar"/>
                    </w:rPr>
                    <w:t>最大存在总量</w:t>
                  </w:r>
                  <w:r>
                    <w:rPr>
                      <w:rFonts w:hint="default"/>
                      <w:b/>
                      <w:bCs/>
                      <w:color w:val="auto"/>
                      <w:sz w:val="21"/>
                      <w:szCs w:val="21"/>
                      <w:highlight w:val="none"/>
                      <w:lang w:val="en-US" w:bidi="ar"/>
                    </w:rPr>
                    <w:t>qn/t</w:t>
                  </w:r>
                </w:p>
              </w:tc>
              <w:tc>
                <w:tcPr>
                  <w:tcW w:w="637" w:type="pct"/>
                  <w:tcBorders>
                    <w:tl2br w:val="nil"/>
                    <w:tr2bl w:val="nil"/>
                  </w:tcBorders>
                  <w:shd w:val="clear" w:color="auto" w:fill="auto"/>
                  <w:vAlign w:val="center"/>
                </w:tcPr>
                <w:p w14:paraId="42E4CE63">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szCs w:val="21"/>
                      <w:highlight w:val="none"/>
                    </w:rPr>
                  </w:pPr>
                  <w:r>
                    <w:rPr>
                      <w:rFonts w:hint="eastAsia" w:ascii="宋体" w:hAnsi="宋体" w:cs="宋体"/>
                      <w:b/>
                      <w:bCs/>
                      <w:color w:val="auto"/>
                      <w:sz w:val="21"/>
                      <w:szCs w:val="21"/>
                      <w:highlight w:val="none"/>
                      <w:lang w:val="en-US" w:bidi="ar"/>
                    </w:rPr>
                    <w:t>临界量</w:t>
                  </w:r>
                  <w:r>
                    <w:rPr>
                      <w:rFonts w:hint="default"/>
                      <w:b/>
                      <w:bCs/>
                      <w:color w:val="auto"/>
                      <w:sz w:val="21"/>
                      <w:szCs w:val="21"/>
                      <w:highlight w:val="none"/>
                      <w:lang w:val="en-US" w:bidi="ar"/>
                    </w:rPr>
                    <w:t>Qn/t</w:t>
                  </w:r>
                </w:p>
              </w:tc>
              <w:tc>
                <w:tcPr>
                  <w:tcW w:w="1439" w:type="pct"/>
                  <w:tcBorders>
                    <w:tl2br w:val="nil"/>
                    <w:tr2bl w:val="nil"/>
                  </w:tcBorders>
                  <w:shd w:val="clear" w:color="auto" w:fill="auto"/>
                  <w:vAlign w:val="center"/>
                </w:tcPr>
                <w:p w14:paraId="05A0C7DB">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szCs w:val="21"/>
                      <w:highlight w:val="none"/>
                    </w:rPr>
                  </w:pPr>
                  <w:r>
                    <w:rPr>
                      <w:rFonts w:hint="eastAsia" w:ascii="宋体" w:hAnsi="宋体" w:cs="宋体"/>
                      <w:b/>
                      <w:bCs/>
                      <w:color w:val="auto"/>
                      <w:sz w:val="21"/>
                      <w:szCs w:val="21"/>
                      <w:highlight w:val="none"/>
                      <w:lang w:val="en-US" w:bidi="ar"/>
                    </w:rPr>
                    <w:t>对应</w:t>
                  </w:r>
                  <w:r>
                    <w:rPr>
                      <w:rFonts w:hint="default"/>
                      <w:b/>
                      <w:bCs/>
                      <w:color w:val="auto"/>
                      <w:sz w:val="21"/>
                      <w:szCs w:val="21"/>
                      <w:highlight w:val="none"/>
                      <w:lang w:val="en-US" w:bidi="ar"/>
                    </w:rPr>
                    <w:t>HJ169/HJ941</w:t>
                  </w:r>
                  <w:r>
                    <w:rPr>
                      <w:rFonts w:hint="eastAsia" w:ascii="宋体" w:hAnsi="宋体" w:cs="宋体"/>
                      <w:b/>
                      <w:bCs/>
                      <w:color w:val="auto"/>
                      <w:sz w:val="21"/>
                      <w:szCs w:val="21"/>
                      <w:highlight w:val="none"/>
                      <w:lang w:val="en-US" w:bidi="ar"/>
                    </w:rPr>
                    <w:t>物质名称</w:t>
                  </w:r>
                </w:p>
              </w:tc>
              <w:tc>
                <w:tcPr>
                  <w:tcW w:w="711" w:type="pct"/>
                  <w:tcBorders>
                    <w:tl2br w:val="nil"/>
                    <w:tr2bl w:val="nil"/>
                  </w:tcBorders>
                  <w:shd w:val="clear" w:color="auto" w:fill="auto"/>
                  <w:vAlign w:val="center"/>
                </w:tcPr>
                <w:p w14:paraId="73022D37">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szCs w:val="21"/>
                      <w:highlight w:val="none"/>
                    </w:rPr>
                  </w:pPr>
                  <w:r>
                    <w:rPr>
                      <w:rFonts w:hint="eastAsia" w:ascii="宋体" w:hAnsi="宋体" w:cs="宋体"/>
                      <w:b/>
                      <w:bCs/>
                      <w:color w:val="auto"/>
                      <w:sz w:val="21"/>
                      <w:szCs w:val="21"/>
                      <w:highlight w:val="none"/>
                      <w:lang w:val="en-US" w:bidi="ar"/>
                    </w:rPr>
                    <w:t>危险物质</w:t>
                  </w:r>
                </w:p>
                <w:p w14:paraId="1E14E998">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szCs w:val="21"/>
                      <w:highlight w:val="none"/>
                    </w:rPr>
                  </w:pPr>
                  <w:r>
                    <w:rPr>
                      <w:rFonts w:hint="default"/>
                      <w:b/>
                      <w:bCs/>
                      <w:color w:val="auto"/>
                      <w:sz w:val="21"/>
                      <w:szCs w:val="21"/>
                      <w:highlight w:val="none"/>
                      <w:lang w:val="en-US" w:bidi="ar"/>
                    </w:rPr>
                    <w:t>Q</w:t>
                  </w:r>
                  <w:r>
                    <w:rPr>
                      <w:rFonts w:hint="eastAsia" w:ascii="宋体" w:hAnsi="宋体" w:cs="宋体"/>
                      <w:b/>
                      <w:bCs/>
                      <w:color w:val="auto"/>
                      <w:sz w:val="21"/>
                      <w:szCs w:val="21"/>
                      <w:highlight w:val="none"/>
                      <w:lang w:val="en-US" w:bidi="ar"/>
                    </w:rPr>
                    <w:t>值</w:t>
                  </w:r>
                </w:p>
              </w:tc>
            </w:tr>
            <w:tr w14:paraId="6B982C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3" w:type="pct"/>
                  <w:tcBorders>
                    <w:tl2br w:val="nil"/>
                    <w:tr2bl w:val="nil"/>
                  </w:tcBorders>
                  <w:shd w:val="clear" w:color="auto" w:fill="auto"/>
                  <w:vAlign w:val="center"/>
                </w:tcPr>
                <w:p w14:paraId="5DE6B0B4">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rPr>
                    <w:t>1</w:t>
                  </w:r>
                </w:p>
              </w:tc>
              <w:tc>
                <w:tcPr>
                  <w:tcW w:w="1010" w:type="pct"/>
                  <w:tcBorders>
                    <w:tl2br w:val="nil"/>
                    <w:tr2bl w:val="nil"/>
                  </w:tcBorders>
                  <w:shd w:val="clear" w:color="auto" w:fill="auto"/>
                  <w:vAlign w:val="center"/>
                </w:tcPr>
                <w:p w14:paraId="2B55C27C">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机油</w:t>
                  </w:r>
                </w:p>
              </w:tc>
              <w:tc>
                <w:tcPr>
                  <w:tcW w:w="827" w:type="pct"/>
                  <w:tcBorders>
                    <w:tl2br w:val="nil"/>
                    <w:tr2bl w:val="nil"/>
                  </w:tcBorders>
                  <w:shd w:val="clear" w:color="auto" w:fill="auto"/>
                  <w:vAlign w:val="center"/>
                </w:tcPr>
                <w:p w14:paraId="7CB939DA">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w:t>
                  </w:r>
                </w:p>
              </w:tc>
              <w:tc>
                <w:tcPr>
                  <w:tcW w:w="637" w:type="pct"/>
                  <w:tcBorders>
                    <w:tl2br w:val="nil"/>
                    <w:tr2bl w:val="nil"/>
                  </w:tcBorders>
                  <w:shd w:val="clear" w:color="auto" w:fill="auto"/>
                  <w:vAlign w:val="center"/>
                </w:tcPr>
                <w:p w14:paraId="5C9C08D6">
                  <w:pPr>
                    <w:keepNext w:val="0"/>
                    <w:keepLines w:val="0"/>
                    <w:suppressLineNumbers w:val="0"/>
                    <w:spacing w:before="0" w:beforeAutospacing="0" w:after="0" w:afterAutospacing="0" w:line="240" w:lineRule="auto"/>
                    <w:ind w:left="0" w:right="0" w:firstLine="0" w:firstLineChars="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2500</w:t>
                  </w:r>
                </w:p>
              </w:tc>
              <w:tc>
                <w:tcPr>
                  <w:tcW w:w="1439" w:type="pct"/>
                  <w:tcBorders>
                    <w:tl2br w:val="nil"/>
                    <w:tr2bl w:val="nil"/>
                  </w:tcBorders>
                  <w:shd w:val="clear" w:color="auto" w:fill="auto"/>
                  <w:vAlign w:val="center"/>
                </w:tcPr>
                <w:p w14:paraId="706EC901">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lang w:val="en-US"/>
                    </w:rPr>
                  </w:pPr>
                  <w:r>
                    <w:rPr>
                      <w:rFonts w:hint="eastAsia"/>
                      <w:color w:val="auto"/>
                      <w:sz w:val="21"/>
                      <w:highlight w:val="none"/>
                      <w:lang w:val="en-US" w:eastAsia="zh-CN"/>
                    </w:rPr>
                    <w:t>油类物质</w:t>
                  </w:r>
                </w:p>
              </w:tc>
              <w:tc>
                <w:tcPr>
                  <w:tcW w:w="711" w:type="pct"/>
                  <w:tcBorders>
                    <w:tl2br w:val="nil"/>
                    <w:tr2bl w:val="nil"/>
                  </w:tcBorders>
                  <w:shd w:val="clear" w:color="auto" w:fill="auto"/>
                  <w:vAlign w:val="center"/>
                </w:tcPr>
                <w:p w14:paraId="2C5DC831">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0.0004</w:t>
                  </w:r>
                </w:p>
              </w:tc>
            </w:tr>
            <w:tr w14:paraId="0BD326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3" w:type="pct"/>
                  <w:tcBorders>
                    <w:tl2br w:val="nil"/>
                    <w:tr2bl w:val="nil"/>
                  </w:tcBorders>
                  <w:shd w:val="clear" w:color="auto" w:fill="auto"/>
                  <w:vAlign w:val="center"/>
                </w:tcPr>
                <w:p w14:paraId="31F917BD">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rPr>
                    <w:t>2</w:t>
                  </w:r>
                </w:p>
              </w:tc>
              <w:tc>
                <w:tcPr>
                  <w:tcW w:w="1010" w:type="pct"/>
                  <w:tcBorders>
                    <w:tl2br w:val="nil"/>
                    <w:tr2bl w:val="nil"/>
                  </w:tcBorders>
                  <w:shd w:val="clear" w:color="auto" w:fill="auto"/>
                  <w:vAlign w:val="center"/>
                </w:tcPr>
                <w:p w14:paraId="49B94277">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油墨</w:t>
                  </w:r>
                </w:p>
              </w:tc>
              <w:tc>
                <w:tcPr>
                  <w:tcW w:w="827" w:type="pct"/>
                  <w:tcBorders>
                    <w:tl2br w:val="nil"/>
                    <w:tr2bl w:val="nil"/>
                  </w:tcBorders>
                  <w:shd w:val="clear" w:color="auto" w:fill="auto"/>
                  <w:vAlign w:val="center"/>
                </w:tcPr>
                <w:p w14:paraId="31A59872">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0.05</w:t>
                  </w:r>
                </w:p>
              </w:tc>
              <w:tc>
                <w:tcPr>
                  <w:tcW w:w="637" w:type="pct"/>
                  <w:tcBorders>
                    <w:tl2br w:val="nil"/>
                    <w:tr2bl w:val="nil"/>
                  </w:tcBorders>
                  <w:shd w:val="clear" w:color="auto" w:fill="auto"/>
                  <w:vAlign w:val="center"/>
                </w:tcPr>
                <w:p w14:paraId="00B54DB0">
                  <w:pPr>
                    <w:keepNext w:val="0"/>
                    <w:keepLines w:val="0"/>
                    <w:suppressLineNumbers w:val="0"/>
                    <w:spacing w:before="0" w:beforeAutospacing="0" w:after="0" w:afterAutospacing="0" w:line="240" w:lineRule="auto"/>
                    <w:ind w:left="0" w:right="0" w:firstLine="0" w:firstLineChars="0"/>
                    <w:jc w:val="center"/>
                    <w:rPr>
                      <w:rFonts w:hint="default" w:eastAsia="宋体"/>
                      <w:color w:val="auto"/>
                      <w:sz w:val="21"/>
                      <w:highlight w:val="none"/>
                      <w:lang w:val="en-US" w:eastAsia="zh-CN"/>
                    </w:rPr>
                  </w:pPr>
                  <w:r>
                    <w:rPr>
                      <w:rFonts w:hint="eastAsia"/>
                      <w:color w:val="auto"/>
                      <w:sz w:val="21"/>
                      <w:highlight w:val="none"/>
                      <w:lang w:val="en-US" w:eastAsia="zh-CN"/>
                    </w:rPr>
                    <w:t>50</w:t>
                  </w:r>
                </w:p>
              </w:tc>
              <w:tc>
                <w:tcPr>
                  <w:tcW w:w="1439" w:type="pct"/>
                  <w:tcBorders>
                    <w:tl2br w:val="nil"/>
                    <w:tr2bl w:val="nil"/>
                  </w:tcBorders>
                  <w:shd w:val="clear" w:color="auto" w:fill="auto"/>
                  <w:vAlign w:val="center"/>
                </w:tcPr>
                <w:p w14:paraId="3C05F221">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lang w:val="en-US"/>
                    </w:rPr>
                  </w:pPr>
                  <w:r>
                    <w:rPr>
                      <w:rFonts w:hint="eastAsia"/>
                      <w:color w:val="auto"/>
                      <w:sz w:val="21"/>
                      <w:highlight w:val="none"/>
                      <w:lang w:val="en-US"/>
                    </w:rPr>
                    <w:t>健康危害</w:t>
                  </w:r>
                  <w:r>
                    <w:rPr>
                      <w:rFonts w:hint="default"/>
                      <w:color w:val="auto"/>
                      <w:sz w:val="21"/>
                      <w:highlight w:val="none"/>
                      <w:lang w:val="en-US"/>
                    </w:rPr>
                    <w:t>物质</w:t>
                  </w:r>
                  <w:r>
                    <w:rPr>
                      <w:rFonts w:hint="eastAsia"/>
                      <w:color w:val="auto"/>
                      <w:sz w:val="21"/>
                      <w:highlight w:val="none"/>
                      <w:lang w:val="en-US"/>
                    </w:rPr>
                    <w:t>急性</w:t>
                  </w:r>
                  <w:r>
                    <w:rPr>
                      <w:rFonts w:hint="default"/>
                      <w:color w:val="auto"/>
                      <w:sz w:val="21"/>
                      <w:highlight w:val="none"/>
                      <w:lang w:val="en-US"/>
                    </w:rPr>
                    <w:t>毒性类别</w:t>
                  </w:r>
                  <w:r>
                    <w:rPr>
                      <w:rFonts w:hint="eastAsia"/>
                      <w:color w:val="auto"/>
                      <w:sz w:val="21"/>
                      <w:highlight w:val="none"/>
                      <w:lang w:val="en-US"/>
                    </w:rPr>
                    <w:t>2</w:t>
                  </w:r>
                </w:p>
              </w:tc>
              <w:tc>
                <w:tcPr>
                  <w:tcW w:w="711" w:type="pct"/>
                  <w:tcBorders>
                    <w:tl2br w:val="nil"/>
                    <w:tr2bl w:val="nil"/>
                  </w:tcBorders>
                  <w:shd w:val="clear" w:color="auto" w:fill="auto"/>
                  <w:vAlign w:val="center"/>
                </w:tcPr>
                <w:p w14:paraId="70BB3DEB">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0.001</w:t>
                  </w:r>
                </w:p>
              </w:tc>
            </w:tr>
            <w:tr w14:paraId="458B5D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3" w:type="pct"/>
                  <w:tcBorders>
                    <w:tl2br w:val="nil"/>
                    <w:tr2bl w:val="nil"/>
                  </w:tcBorders>
                  <w:shd w:val="clear" w:color="auto" w:fill="auto"/>
                  <w:vAlign w:val="center"/>
                </w:tcPr>
                <w:p w14:paraId="018DEEA3">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rPr>
                    <w:t>3</w:t>
                  </w:r>
                </w:p>
              </w:tc>
              <w:tc>
                <w:tcPr>
                  <w:tcW w:w="1010" w:type="pct"/>
                  <w:tcBorders>
                    <w:tl2br w:val="nil"/>
                    <w:tr2bl w:val="nil"/>
                  </w:tcBorders>
                  <w:shd w:val="clear" w:color="auto" w:fill="auto"/>
                  <w:vAlign w:val="center"/>
                </w:tcPr>
                <w:p w14:paraId="16893DF8">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硝酸</w:t>
                  </w:r>
                </w:p>
              </w:tc>
              <w:tc>
                <w:tcPr>
                  <w:tcW w:w="827" w:type="pct"/>
                  <w:tcBorders>
                    <w:tl2br w:val="nil"/>
                    <w:tr2bl w:val="nil"/>
                  </w:tcBorders>
                  <w:shd w:val="clear" w:color="auto" w:fill="auto"/>
                  <w:vAlign w:val="center"/>
                </w:tcPr>
                <w:p w14:paraId="6990E649">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0.4</w:t>
                  </w:r>
                </w:p>
              </w:tc>
              <w:tc>
                <w:tcPr>
                  <w:tcW w:w="637" w:type="pct"/>
                  <w:tcBorders>
                    <w:tl2br w:val="nil"/>
                    <w:tr2bl w:val="nil"/>
                  </w:tcBorders>
                  <w:shd w:val="clear" w:color="auto" w:fill="auto"/>
                  <w:vAlign w:val="center"/>
                </w:tcPr>
                <w:p w14:paraId="7F227525">
                  <w:pPr>
                    <w:keepNext w:val="0"/>
                    <w:keepLines w:val="0"/>
                    <w:suppressLineNumbers w:val="0"/>
                    <w:spacing w:before="0" w:beforeAutospacing="0" w:after="0" w:afterAutospacing="0" w:line="240" w:lineRule="auto"/>
                    <w:ind w:left="0" w:right="0" w:firstLine="0" w:firstLineChars="0"/>
                    <w:jc w:val="center"/>
                    <w:rPr>
                      <w:rFonts w:hint="default" w:eastAsia="宋体"/>
                      <w:color w:val="auto"/>
                      <w:sz w:val="21"/>
                      <w:highlight w:val="none"/>
                      <w:lang w:val="en-US" w:eastAsia="zh-CN"/>
                    </w:rPr>
                  </w:pPr>
                  <w:r>
                    <w:rPr>
                      <w:rFonts w:hint="eastAsia"/>
                      <w:color w:val="auto"/>
                      <w:sz w:val="21"/>
                      <w:highlight w:val="none"/>
                      <w:lang w:val="en-US" w:eastAsia="zh-CN"/>
                    </w:rPr>
                    <w:t>7.5</w:t>
                  </w:r>
                </w:p>
              </w:tc>
              <w:tc>
                <w:tcPr>
                  <w:tcW w:w="1439" w:type="pct"/>
                  <w:tcBorders>
                    <w:tl2br w:val="nil"/>
                    <w:tr2bl w:val="nil"/>
                  </w:tcBorders>
                  <w:shd w:val="clear" w:color="auto" w:fill="auto"/>
                  <w:vAlign w:val="center"/>
                </w:tcPr>
                <w:p w14:paraId="233BB1E5">
                  <w:pPr>
                    <w:pStyle w:val="21"/>
                    <w:keepNext w:val="0"/>
                    <w:keepLines w:val="0"/>
                    <w:suppressLineNumbers w:val="0"/>
                    <w:spacing w:before="0" w:beforeAutospacing="0" w:after="0" w:afterAutospacing="0"/>
                    <w:ind w:left="0" w:right="0" w:firstLine="0" w:firstLineChars="0"/>
                    <w:rPr>
                      <w:rFonts w:hint="default"/>
                      <w:color w:val="auto"/>
                      <w:sz w:val="21"/>
                      <w:highlight w:val="none"/>
                      <w:lang w:val="en-US"/>
                    </w:rPr>
                  </w:pPr>
                  <w:r>
                    <w:rPr>
                      <w:rFonts w:hint="eastAsia"/>
                      <w:color w:val="auto"/>
                      <w:highlight w:val="none"/>
                      <w:lang w:val="en-US" w:eastAsia="zh-CN"/>
                    </w:rPr>
                    <w:t>硝酸</w:t>
                  </w:r>
                </w:p>
              </w:tc>
              <w:tc>
                <w:tcPr>
                  <w:tcW w:w="711" w:type="pct"/>
                  <w:tcBorders>
                    <w:tl2br w:val="nil"/>
                    <w:tr2bl w:val="nil"/>
                  </w:tcBorders>
                  <w:shd w:val="clear" w:color="auto" w:fill="auto"/>
                  <w:vAlign w:val="center"/>
                </w:tcPr>
                <w:p w14:paraId="15AFDDE4">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0.053</w:t>
                  </w:r>
                </w:p>
              </w:tc>
            </w:tr>
            <w:tr w14:paraId="36E181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3" w:type="pct"/>
                  <w:tcBorders>
                    <w:tl2br w:val="nil"/>
                    <w:tr2bl w:val="nil"/>
                  </w:tcBorders>
                  <w:shd w:val="clear" w:color="auto" w:fill="auto"/>
                  <w:vAlign w:val="center"/>
                </w:tcPr>
                <w:p w14:paraId="09FE65E6">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4</w:t>
                  </w:r>
                </w:p>
              </w:tc>
              <w:tc>
                <w:tcPr>
                  <w:tcW w:w="1010" w:type="pct"/>
                  <w:tcBorders>
                    <w:tl2br w:val="nil"/>
                    <w:tr2bl w:val="nil"/>
                  </w:tcBorders>
                  <w:shd w:val="clear" w:color="auto" w:fill="auto"/>
                  <w:vAlign w:val="center"/>
                </w:tcPr>
                <w:p w14:paraId="0EE8DD24">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次氯酸钠（折纯）</w:t>
                  </w:r>
                </w:p>
              </w:tc>
              <w:tc>
                <w:tcPr>
                  <w:tcW w:w="827" w:type="pct"/>
                  <w:tcBorders>
                    <w:tl2br w:val="nil"/>
                    <w:tr2bl w:val="nil"/>
                  </w:tcBorders>
                  <w:shd w:val="clear" w:color="auto" w:fill="auto"/>
                  <w:vAlign w:val="center"/>
                </w:tcPr>
                <w:p w14:paraId="4FD1469E">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0.005</w:t>
                  </w:r>
                </w:p>
              </w:tc>
              <w:tc>
                <w:tcPr>
                  <w:tcW w:w="637" w:type="pct"/>
                  <w:tcBorders>
                    <w:tl2br w:val="nil"/>
                    <w:tr2bl w:val="nil"/>
                  </w:tcBorders>
                  <w:shd w:val="clear" w:color="auto" w:fill="auto"/>
                  <w:vAlign w:val="center"/>
                </w:tcPr>
                <w:p w14:paraId="7F5DA5F7">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lang w:val="en-US"/>
                    </w:rPr>
                  </w:pPr>
                  <w:r>
                    <w:rPr>
                      <w:rFonts w:hint="eastAsia"/>
                      <w:color w:val="auto"/>
                      <w:sz w:val="21"/>
                      <w:highlight w:val="none"/>
                      <w:lang w:val="en-US"/>
                    </w:rPr>
                    <w:t>5</w:t>
                  </w:r>
                </w:p>
              </w:tc>
              <w:tc>
                <w:tcPr>
                  <w:tcW w:w="1439" w:type="pct"/>
                  <w:tcBorders>
                    <w:tl2br w:val="nil"/>
                    <w:tr2bl w:val="nil"/>
                  </w:tcBorders>
                  <w:shd w:val="clear" w:color="auto" w:fill="auto"/>
                  <w:vAlign w:val="center"/>
                </w:tcPr>
                <w:p w14:paraId="46E91FDA">
                  <w:pPr>
                    <w:pStyle w:val="21"/>
                    <w:keepNext w:val="0"/>
                    <w:keepLines w:val="0"/>
                    <w:suppressLineNumbers w:val="0"/>
                    <w:spacing w:before="0" w:beforeAutospacing="0" w:after="0" w:afterAutospacing="0"/>
                    <w:ind w:left="0" w:right="0" w:firstLine="0" w:firstLineChars="0"/>
                    <w:rPr>
                      <w:rFonts w:hint="default"/>
                      <w:color w:val="auto"/>
                      <w:sz w:val="21"/>
                      <w:highlight w:val="none"/>
                      <w:lang w:val="en-US"/>
                    </w:rPr>
                  </w:pPr>
                  <w:r>
                    <w:rPr>
                      <w:rFonts w:hint="eastAsia"/>
                      <w:color w:val="auto"/>
                      <w:highlight w:val="none"/>
                      <w:lang w:val="en-US" w:eastAsia="zh-CN"/>
                    </w:rPr>
                    <w:t>次氯酸钠</w:t>
                  </w:r>
                </w:p>
              </w:tc>
              <w:tc>
                <w:tcPr>
                  <w:tcW w:w="711" w:type="pct"/>
                  <w:tcBorders>
                    <w:tl2br w:val="nil"/>
                    <w:tr2bl w:val="nil"/>
                  </w:tcBorders>
                  <w:shd w:val="clear" w:color="auto" w:fill="auto"/>
                  <w:vAlign w:val="center"/>
                </w:tcPr>
                <w:p w14:paraId="29F70768">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0.001</w:t>
                  </w:r>
                </w:p>
              </w:tc>
            </w:tr>
            <w:tr w14:paraId="306CAF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3" w:type="pct"/>
                  <w:tcBorders>
                    <w:tl2br w:val="nil"/>
                    <w:tr2bl w:val="nil"/>
                  </w:tcBorders>
                  <w:shd w:val="clear" w:color="auto" w:fill="auto"/>
                  <w:vAlign w:val="center"/>
                </w:tcPr>
                <w:p w14:paraId="5FAA698F">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5</w:t>
                  </w:r>
                </w:p>
              </w:tc>
              <w:tc>
                <w:tcPr>
                  <w:tcW w:w="1010" w:type="pct"/>
                  <w:tcBorders>
                    <w:tl2br w:val="nil"/>
                    <w:tr2bl w:val="nil"/>
                  </w:tcBorders>
                  <w:shd w:val="clear" w:color="auto" w:fill="auto"/>
                  <w:vAlign w:val="center"/>
                </w:tcPr>
                <w:p w14:paraId="281AFF0A">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废紫外灯管</w:t>
                  </w:r>
                </w:p>
              </w:tc>
              <w:tc>
                <w:tcPr>
                  <w:tcW w:w="827" w:type="pct"/>
                  <w:tcBorders>
                    <w:tl2br w:val="nil"/>
                    <w:tr2bl w:val="nil"/>
                  </w:tcBorders>
                  <w:shd w:val="clear" w:color="auto" w:fill="auto"/>
                  <w:vAlign w:val="center"/>
                </w:tcPr>
                <w:p w14:paraId="4F23F635">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bidi="zh-CN"/>
                    </w:rPr>
                  </w:pPr>
                  <w:r>
                    <w:rPr>
                      <w:rFonts w:hint="eastAsia"/>
                      <w:color w:val="auto"/>
                      <w:sz w:val="21"/>
                      <w:szCs w:val="21"/>
                      <w:highlight w:val="none"/>
                      <w:lang w:val="en-US" w:eastAsia="zh-CN" w:bidi="ar"/>
                    </w:rPr>
                    <w:t>0.01</w:t>
                  </w:r>
                </w:p>
              </w:tc>
              <w:tc>
                <w:tcPr>
                  <w:tcW w:w="637" w:type="pct"/>
                  <w:tcBorders>
                    <w:tl2br w:val="nil"/>
                    <w:tr2bl w:val="nil"/>
                  </w:tcBorders>
                  <w:shd w:val="clear" w:color="auto" w:fill="auto"/>
                  <w:vAlign w:val="center"/>
                </w:tcPr>
                <w:p w14:paraId="2A7A4954">
                  <w:pPr>
                    <w:pStyle w:val="21"/>
                    <w:keepNext w:val="0"/>
                    <w:keepLines w:val="0"/>
                    <w:suppressLineNumbers w:val="0"/>
                    <w:spacing w:before="0" w:beforeAutospacing="0" w:after="0" w:afterAutospacing="0"/>
                    <w:ind w:left="0" w:right="0"/>
                    <w:rPr>
                      <w:rFonts w:hint="default"/>
                      <w:color w:val="auto"/>
                      <w:highlight w:val="none"/>
                      <w:lang w:val="en-US"/>
                    </w:rPr>
                  </w:pPr>
                  <w:r>
                    <w:rPr>
                      <w:rFonts w:hint="eastAsia"/>
                      <w:color w:val="auto"/>
                      <w:highlight w:val="none"/>
                      <w:lang w:val="en-US"/>
                    </w:rPr>
                    <w:t>50</w:t>
                  </w:r>
                </w:p>
              </w:tc>
              <w:tc>
                <w:tcPr>
                  <w:tcW w:w="1439" w:type="pct"/>
                  <w:tcBorders>
                    <w:tl2br w:val="nil"/>
                    <w:tr2bl w:val="nil"/>
                  </w:tcBorders>
                  <w:shd w:val="clear" w:color="auto" w:fill="auto"/>
                  <w:vAlign w:val="center"/>
                </w:tcPr>
                <w:p w14:paraId="558442FD">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lang w:val="en-US"/>
                    </w:rPr>
                  </w:pPr>
                  <w:r>
                    <w:rPr>
                      <w:rFonts w:hint="eastAsia"/>
                      <w:color w:val="auto"/>
                      <w:sz w:val="21"/>
                      <w:highlight w:val="none"/>
                      <w:lang w:val="en-US"/>
                    </w:rPr>
                    <w:t>健康危害</w:t>
                  </w:r>
                  <w:r>
                    <w:rPr>
                      <w:rFonts w:hint="default"/>
                      <w:color w:val="auto"/>
                      <w:sz w:val="21"/>
                      <w:highlight w:val="none"/>
                      <w:lang w:val="en-US"/>
                    </w:rPr>
                    <w:t>物质</w:t>
                  </w:r>
                  <w:r>
                    <w:rPr>
                      <w:rFonts w:hint="eastAsia"/>
                      <w:color w:val="auto"/>
                      <w:sz w:val="21"/>
                      <w:highlight w:val="none"/>
                      <w:lang w:val="en-US"/>
                    </w:rPr>
                    <w:t>急性</w:t>
                  </w:r>
                  <w:r>
                    <w:rPr>
                      <w:rFonts w:hint="default"/>
                      <w:color w:val="auto"/>
                      <w:sz w:val="21"/>
                      <w:highlight w:val="none"/>
                      <w:lang w:val="en-US"/>
                    </w:rPr>
                    <w:t>毒性类别</w:t>
                  </w:r>
                  <w:r>
                    <w:rPr>
                      <w:rFonts w:hint="eastAsia"/>
                      <w:color w:val="auto"/>
                      <w:sz w:val="21"/>
                      <w:highlight w:val="none"/>
                      <w:lang w:val="en-US"/>
                    </w:rPr>
                    <w:t>2</w:t>
                  </w:r>
                </w:p>
              </w:tc>
              <w:tc>
                <w:tcPr>
                  <w:tcW w:w="711" w:type="pct"/>
                  <w:tcBorders>
                    <w:tl2br w:val="nil"/>
                    <w:tr2bl w:val="nil"/>
                  </w:tcBorders>
                  <w:shd w:val="clear" w:color="auto" w:fill="auto"/>
                  <w:vAlign w:val="center"/>
                </w:tcPr>
                <w:p w14:paraId="7FCC51D1">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0.0002</w:t>
                  </w:r>
                </w:p>
              </w:tc>
            </w:tr>
            <w:tr w14:paraId="311CBF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73" w:type="pct"/>
                  <w:tcBorders>
                    <w:tl2br w:val="nil"/>
                    <w:tr2bl w:val="nil"/>
                  </w:tcBorders>
                  <w:shd w:val="clear" w:color="auto" w:fill="auto"/>
                  <w:vAlign w:val="center"/>
                </w:tcPr>
                <w:p w14:paraId="43D0B15E">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6</w:t>
                  </w:r>
                </w:p>
              </w:tc>
              <w:tc>
                <w:tcPr>
                  <w:tcW w:w="1010" w:type="pct"/>
                  <w:tcBorders>
                    <w:tl2br w:val="nil"/>
                    <w:tr2bl w:val="nil"/>
                  </w:tcBorders>
                  <w:shd w:val="clear" w:color="auto" w:fill="auto"/>
                  <w:vAlign w:val="center"/>
                </w:tcPr>
                <w:p w14:paraId="5DE694B6">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废机油桶</w:t>
                  </w:r>
                </w:p>
              </w:tc>
              <w:tc>
                <w:tcPr>
                  <w:tcW w:w="827" w:type="pct"/>
                  <w:tcBorders>
                    <w:tl2br w:val="nil"/>
                    <w:tr2bl w:val="nil"/>
                  </w:tcBorders>
                  <w:shd w:val="clear" w:color="auto" w:fill="auto"/>
                  <w:vAlign w:val="center"/>
                </w:tcPr>
                <w:p w14:paraId="4774DE4B">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bidi="ar"/>
                    </w:rPr>
                  </w:pPr>
                  <w:r>
                    <w:rPr>
                      <w:rFonts w:hint="eastAsia"/>
                      <w:color w:val="auto"/>
                      <w:sz w:val="21"/>
                      <w:szCs w:val="21"/>
                      <w:highlight w:val="none"/>
                      <w:lang w:val="en-US" w:eastAsia="zh-CN" w:bidi="ar"/>
                    </w:rPr>
                    <w:t>0.5</w:t>
                  </w:r>
                </w:p>
              </w:tc>
              <w:tc>
                <w:tcPr>
                  <w:tcW w:w="637" w:type="pct"/>
                  <w:tcBorders>
                    <w:tl2br w:val="nil"/>
                    <w:tr2bl w:val="nil"/>
                  </w:tcBorders>
                  <w:shd w:val="clear" w:color="auto" w:fill="auto"/>
                  <w:vAlign w:val="center"/>
                </w:tcPr>
                <w:p w14:paraId="5D66DECC">
                  <w:pPr>
                    <w:pStyle w:val="21"/>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2500</w:t>
                  </w:r>
                </w:p>
              </w:tc>
              <w:tc>
                <w:tcPr>
                  <w:tcW w:w="1439" w:type="pct"/>
                  <w:tcBorders>
                    <w:tl2br w:val="nil"/>
                    <w:tr2bl w:val="nil"/>
                  </w:tcBorders>
                  <w:shd w:val="clear" w:color="auto" w:fill="auto"/>
                  <w:vAlign w:val="center"/>
                </w:tcPr>
                <w:p w14:paraId="053DE716">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lang w:val="en-US"/>
                    </w:rPr>
                  </w:pPr>
                  <w:r>
                    <w:rPr>
                      <w:rFonts w:hint="eastAsia"/>
                      <w:color w:val="auto"/>
                      <w:sz w:val="21"/>
                      <w:highlight w:val="none"/>
                      <w:lang w:val="en-US" w:eastAsia="zh-CN"/>
                    </w:rPr>
                    <w:t>油类物质</w:t>
                  </w:r>
                </w:p>
              </w:tc>
              <w:tc>
                <w:tcPr>
                  <w:tcW w:w="711" w:type="pct"/>
                  <w:tcBorders>
                    <w:tl2br w:val="nil"/>
                    <w:tr2bl w:val="nil"/>
                  </w:tcBorders>
                  <w:shd w:val="clear" w:color="auto" w:fill="auto"/>
                  <w:vAlign w:val="center"/>
                </w:tcPr>
                <w:p w14:paraId="6590D862">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0.0002</w:t>
                  </w:r>
                </w:p>
              </w:tc>
            </w:tr>
            <w:tr w14:paraId="2E6179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shd w:val="clear" w:color="auto" w:fill="auto"/>
                  <w:vAlign w:val="center"/>
                </w:tcPr>
                <w:p w14:paraId="7C186631">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7</w:t>
                  </w:r>
                </w:p>
              </w:tc>
              <w:tc>
                <w:tcPr>
                  <w:tcW w:w="1010" w:type="pct"/>
                  <w:shd w:val="clear" w:color="auto" w:fill="auto"/>
                  <w:vAlign w:val="center"/>
                </w:tcPr>
                <w:p w14:paraId="76B4877A">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废化学品包装桶</w:t>
                  </w:r>
                </w:p>
              </w:tc>
              <w:tc>
                <w:tcPr>
                  <w:tcW w:w="827" w:type="pct"/>
                  <w:shd w:val="clear" w:color="auto" w:fill="auto"/>
                  <w:vAlign w:val="center"/>
                </w:tcPr>
                <w:p w14:paraId="376564F6">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bidi="ar"/>
                    </w:rPr>
                  </w:pPr>
                  <w:r>
                    <w:rPr>
                      <w:rFonts w:hint="eastAsia"/>
                      <w:color w:val="auto"/>
                      <w:sz w:val="21"/>
                      <w:szCs w:val="21"/>
                      <w:highlight w:val="none"/>
                      <w:lang w:val="en-US" w:eastAsia="zh-CN" w:bidi="ar"/>
                    </w:rPr>
                    <w:t>0.1</w:t>
                  </w:r>
                </w:p>
              </w:tc>
              <w:tc>
                <w:tcPr>
                  <w:tcW w:w="637" w:type="pct"/>
                  <w:vAlign w:val="center"/>
                </w:tcPr>
                <w:p w14:paraId="4B781B2A">
                  <w:pPr>
                    <w:pStyle w:val="21"/>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50</w:t>
                  </w:r>
                </w:p>
              </w:tc>
              <w:tc>
                <w:tcPr>
                  <w:tcW w:w="0" w:type="auto"/>
                  <w:vAlign w:val="center"/>
                </w:tcPr>
                <w:p w14:paraId="466E9342">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lang w:val="en-US"/>
                    </w:rPr>
                  </w:pPr>
                  <w:r>
                    <w:rPr>
                      <w:rFonts w:hint="eastAsia"/>
                      <w:color w:val="auto"/>
                      <w:sz w:val="21"/>
                      <w:highlight w:val="none"/>
                      <w:lang w:val="en-US"/>
                    </w:rPr>
                    <w:t>健康危害</w:t>
                  </w:r>
                  <w:r>
                    <w:rPr>
                      <w:rFonts w:hint="default"/>
                      <w:color w:val="auto"/>
                      <w:sz w:val="21"/>
                      <w:highlight w:val="none"/>
                      <w:lang w:val="en-US"/>
                    </w:rPr>
                    <w:t>物质</w:t>
                  </w:r>
                  <w:r>
                    <w:rPr>
                      <w:rFonts w:hint="eastAsia"/>
                      <w:color w:val="auto"/>
                      <w:sz w:val="21"/>
                      <w:highlight w:val="none"/>
                      <w:lang w:val="en-US"/>
                    </w:rPr>
                    <w:t>急性</w:t>
                  </w:r>
                  <w:r>
                    <w:rPr>
                      <w:rFonts w:hint="default"/>
                      <w:color w:val="auto"/>
                      <w:sz w:val="21"/>
                      <w:highlight w:val="none"/>
                      <w:lang w:val="en-US"/>
                    </w:rPr>
                    <w:t>毒性类别</w:t>
                  </w:r>
                  <w:r>
                    <w:rPr>
                      <w:rFonts w:hint="eastAsia"/>
                      <w:color w:val="auto"/>
                      <w:sz w:val="21"/>
                      <w:highlight w:val="none"/>
                      <w:lang w:val="en-US"/>
                    </w:rPr>
                    <w:t>2</w:t>
                  </w:r>
                </w:p>
              </w:tc>
              <w:tc>
                <w:tcPr>
                  <w:tcW w:w="711" w:type="pct"/>
                  <w:vAlign w:val="center"/>
                </w:tcPr>
                <w:p w14:paraId="007192A0">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0.002</w:t>
                  </w:r>
                </w:p>
              </w:tc>
            </w:tr>
            <w:tr w14:paraId="49542F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shd w:val="clear" w:color="auto" w:fill="auto"/>
                  <w:vAlign w:val="center"/>
                </w:tcPr>
                <w:p w14:paraId="2E6B5772">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8</w:t>
                  </w:r>
                </w:p>
              </w:tc>
              <w:tc>
                <w:tcPr>
                  <w:tcW w:w="1010" w:type="pct"/>
                  <w:shd w:val="clear" w:color="auto" w:fill="auto"/>
                  <w:vAlign w:val="center"/>
                </w:tcPr>
                <w:p w14:paraId="4A97C572">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废机油</w:t>
                  </w:r>
                </w:p>
              </w:tc>
              <w:tc>
                <w:tcPr>
                  <w:tcW w:w="827" w:type="pct"/>
                  <w:shd w:val="clear" w:color="auto" w:fill="auto"/>
                  <w:vAlign w:val="center"/>
                </w:tcPr>
                <w:p w14:paraId="3798BE12">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bidi="ar"/>
                    </w:rPr>
                  </w:pPr>
                  <w:r>
                    <w:rPr>
                      <w:rFonts w:hint="eastAsia"/>
                      <w:color w:val="auto"/>
                      <w:sz w:val="21"/>
                      <w:szCs w:val="21"/>
                      <w:highlight w:val="none"/>
                      <w:lang w:val="en-US" w:eastAsia="zh-CN" w:bidi="ar"/>
                    </w:rPr>
                    <w:t>4</w:t>
                  </w:r>
                </w:p>
              </w:tc>
              <w:tc>
                <w:tcPr>
                  <w:tcW w:w="637" w:type="pct"/>
                  <w:vAlign w:val="center"/>
                </w:tcPr>
                <w:p w14:paraId="3EBFED37">
                  <w:pPr>
                    <w:pStyle w:val="21"/>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2500</w:t>
                  </w:r>
                </w:p>
              </w:tc>
              <w:tc>
                <w:tcPr>
                  <w:tcW w:w="1439" w:type="pct"/>
                  <w:vMerge w:val="restart"/>
                  <w:vAlign w:val="center"/>
                </w:tcPr>
                <w:p w14:paraId="5A6F9B93">
                  <w:pPr>
                    <w:keepNext w:val="0"/>
                    <w:keepLines w:val="0"/>
                    <w:suppressLineNumbers w:val="0"/>
                    <w:spacing w:before="0" w:beforeAutospacing="0" w:after="0" w:afterAutospacing="0" w:line="240" w:lineRule="auto"/>
                    <w:ind w:left="0" w:right="0" w:firstLine="0" w:firstLineChars="0"/>
                    <w:jc w:val="center"/>
                    <w:rPr>
                      <w:rFonts w:hint="default" w:eastAsia="宋体"/>
                      <w:color w:val="auto"/>
                      <w:sz w:val="21"/>
                      <w:highlight w:val="none"/>
                      <w:lang w:val="en-US" w:eastAsia="zh-CN"/>
                    </w:rPr>
                  </w:pPr>
                  <w:r>
                    <w:rPr>
                      <w:rFonts w:hint="eastAsia"/>
                      <w:color w:val="auto"/>
                      <w:sz w:val="21"/>
                      <w:highlight w:val="none"/>
                      <w:lang w:val="en-US" w:eastAsia="zh-CN"/>
                    </w:rPr>
                    <w:t>油类物质</w:t>
                  </w:r>
                </w:p>
              </w:tc>
              <w:tc>
                <w:tcPr>
                  <w:tcW w:w="711" w:type="pct"/>
                  <w:vAlign w:val="center"/>
                </w:tcPr>
                <w:p w14:paraId="78AA8D11">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0.0016</w:t>
                  </w:r>
                </w:p>
              </w:tc>
            </w:tr>
            <w:tr w14:paraId="1968AF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shd w:val="clear" w:color="auto" w:fill="auto"/>
                  <w:vAlign w:val="center"/>
                </w:tcPr>
                <w:p w14:paraId="2345F7E6">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9</w:t>
                  </w:r>
                </w:p>
              </w:tc>
              <w:tc>
                <w:tcPr>
                  <w:tcW w:w="1010" w:type="pct"/>
                  <w:shd w:val="clear" w:color="auto" w:fill="auto"/>
                  <w:vAlign w:val="center"/>
                </w:tcPr>
                <w:p w14:paraId="382D824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含油废液</w:t>
                  </w:r>
                </w:p>
              </w:tc>
              <w:tc>
                <w:tcPr>
                  <w:tcW w:w="827" w:type="pct"/>
                  <w:shd w:val="clear" w:color="auto" w:fill="auto"/>
                  <w:vAlign w:val="center"/>
                </w:tcPr>
                <w:p w14:paraId="141699FC">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bidi="ar"/>
                    </w:rPr>
                  </w:pPr>
                  <w:r>
                    <w:rPr>
                      <w:rFonts w:hint="eastAsia"/>
                      <w:color w:val="auto"/>
                      <w:sz w:val="21"/>
                      <w:szCs w:val="21"/>
                      <w:highlight w:val="none"/>
                      <w:lang w:val="en-US" w:eastAsia="zh-CN" w:bidi="ar"/>
                    </w:rPr>
                    <w:t>1</w:t>
                  </w:r>
                </w:p>
              </w:tc>
              <w:tc>
                <w:tcPr>
                  <w:tcW w:w="637" w:type="pct"/>
                  <w:vAlign w:val="center"/>
                </w:tcPr>
                <w:p w14:paraId="7450E5B5">
                  <w:pPr>
                    <w:pStyle w:val="21"/>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2500</w:t>
                  </w:r>
                </w:p>
              </w:tc>
              <w:tc>
                <w:tcPr>
                  <w:tcW w:w="1439" w:type="pct"/>
                  <w:vMerge w:val="continue"/>
                  <w:vAlign w:val="center"/>
                </w:tcPr>
                <w:p w14:paraId="4DB8217E">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lang w:val="en-US"/>
                    </w:rPr>
                  </w:pPr>
                </w:p>
              </w:tc>
              <w:tc>
                <w:tcPr>
                  <w:tcW w:w="711" w:type="pct"/>
                  <w:vAlign w:val="center"/>
                </w:tcPr>
                <w:p w14:paraId="75B10834">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0.0004</w:t>
                  </w:r>
                </w:p>
              </w:tc>
            </w:tr>
            <w:tr w14:paraId="39AEFB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shd w:val="clear" w:color="auto" w:fill="auto"/>
                  <w:vAlign w:val="center"/>
                </w:tcPr>
                <w:p w14:paraId="188F3D6C">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s="Times New Roman"/>
                      <w:color w:val="auto"/>
                      <w:highlight w:val="none"/>
                      <w:lang w:val="en-US" w:eastAsia="zh-CN"/>
                    </w:rPr>
                    <w:t>10</w:t>
                  </w:r>
                </w:p>
              </w:tc>
              <w:tc>
                <w:tcPr>
                  <w:tcW w:w="1010" w:type="pct"/>
                  <w:shd w:val="clear" w:color="auto" w:fill="auto"/>
                  <w:vAlign w:val="center"/>
                </w:tcPr>
                <w:p w14:paraId="39A59E65">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s="Times New Roman"/>
                      <w:color w:val="auto"/>
                      <w:highlight w:val="none"/>
                      <w:lang w:val="en-US" w:eastAsia="zh-CN"/>
                    </w:rPr>
                    <w:t>废活性炭</w:t>
                  </w:r>
                </w:p>
              </w:tc>
              <w:tc>
                <w:tcPr>
                  <w:tcW w:w="827" w:type="pct"/>
                  <w:shd w:val="clear" w:color="auto" w:fill="auto"/>
                  <w:vAlign w:val="center"/>
                </w:tcPr>
                <w:p w14:paraId="16B96A39">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highlight w:val="none"/>
                      <w:lang w:val="en-US" w:eastAsia="zh-CN" w:bidi="ar"/>
                    </w:rPr>
                  </w:pPr>
                  <w:r>
                    <w:rPr>
                      <w:rFonts w:hint="eastAsia"/>
                      <w:color w:val="auto"/>
                      <w:sz w:val="21"/>
                      <w:szCs w:val="21"/>
                      <w:highlight w:val="none"/>
                      <w:lang w:val="en-US" w:eastAsia="zh-CN" w:bidi="ar"/>
                    </w:rPr>
                    <w:t>6</w:t>
                  </w:r>
                </w:p>
              </w:tc>
              <w:tc>
                <w:tcPr>
                  <w:tcW w:w="637" w:type="pct"/>
                  <w:vAlign w:val="center"/>
                </w:tcPr>
                <w:p w14:paraId="68B2249F">
                  <w:pPr>
                    <w:pStyle w:val="21"/>
                    <w:keepNext w:val="0"/>
                    <w:keepLines w:val="0"/>
                    <w:suppressLineNumbers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val="en-US" w:eastAsia="zh-CN"/>
                    </w:rPr>
                    <w:t>50</w:t>
                  </w:r>
                </w:p>
              </w:tc>
              <w:tc>
                <w:tcPr>
                  <w:tcW w:w="0" w:type="auto"/>
                  <w:vAlign w:val="center"/>
                </w:tcPr>
                <w:p w14:paraId="458A3EB5">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lang w:val="en-US"/>
                    </w:rPr>
                  </w:pPr>
                  <w:r>
                    <w:rPr>
                      <w:rFonts w:hint="eastAsia"/>
                      <w:color w:val="auto"/>
                      <w:sz w:val="21"/>
                      <w:highlight w:val="none"/>
                      <w:lang w:val="en-US"/>
                    </w:rPr>
                    <w:t>健康危害</w:t>
                  </w:r>
                  <w:r>
                    <w:rPr>
                      <w:rFonts w:hint="default"/>
                      <w:color w:val="auto"/>
                      <w:sz w:val="21"/>
                      <w:highlight w:val="none"/>
                      <w:lang w:val="en-US"/>
                    </w:rPr>
                    <w:t>物质</w:t>
                  </w:r>
                  <w:r>
                    <w:rPr>
                      <w:rFonts w:hint="eastAsia"/>
                      <w:color w:val="auto"/>
                      <w:sz w:val="21"/>
                      <w:highlight w:val="none"/>
                      <w:lang w:val="en-US"/>
                    </w:rPr>
                    <w:t>急性</w:t>
                  </w:r>
                  <w:r>
                    <w:rPr>
                      <w:rFonts w:hint="default"/>
                      <w:color w:val="auto"/>
                      <w:sz w:val="21"/>
                      <w:highlight w:val="none"/>
                      <w:lang w:val="en-US"/>
                    </w:rPr>
                    <w:t>毒性类别</w:t>
                  </w:r>
                  <w:r>
                    <w:rPr>
                      <w:rFonts w:hint="eastAsia"/>
                      <w:color w:val="auto"/>
                      <w:sz w:val="21"/>
                      <w:highlight w:val="none"/>
                      <w:lang w:val="en-US"/>
                    </w:rPr>
                    <w:t>2</w:t>
                  </w:r>
                </w:p>
              </w:tc>
              <w:tc>
                <w:tcPr>
                  <w:tcW w:w="711" w:type="pct"/>
                  <w:vAlign w:val="center"/>
                </w:tcPr>
                <w:p w14:paraId="31CDCEBB">
                  <w:pPr>
                    <w:pStyle w:val="21"/>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eastAsia="zh-CN"/>
                    </w:rPr>
                    <w:t>0.12</w:t>
                  </w:r>
                </w:p>
              </w:tc>
            </w:tr>
            <w:tr w14:paraId="4785D7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288" w:type="pct"/>
                  <w:gridSpan w:val="5"/>
                  <w:shd w:val="clear" w:color="auto" w:fill="auto"/>
                  <w:vAlign w:val="center"/>
                </w:tcPr>
                <w:p w14:paraId="389136E4">
                  <w:pPr>
                    <w:keepNext w:val="0"/>
                    <w:keepLines w:val="0"/>
                    <w:suppressLineNumbers w:val="0"/>
                    <w:spacing w:before="0" w:beforeAutospacing="0" w:after="0" w:afterAutospacing="0" w:line="240" w:lineRule="auto"/>
                    <w:ind w:left="0" w:right="0" w:firstLine="0" w:firstLineChars="0"/>
                    <w:jc w:val="center"/>
                    <w:rPr>
                      <w:rFonts w:hint="default" w:eastAsia="宋体"/>
                      <w:color w:val="auto"/>
                      <w:sz w:val="21"/>
                      <w:highlight w:val="none"/>
                      <w:lang w:val="en-US" w:eastAsia="zh-CN"/>
                    </w:rPr>
                  </w:pPr>
                  <w:r>
                    <w:rPr>
                      <w:rFonts w:hint="eastAsia"/>
                      <w:color w:val="auto"/>
                      <w:sz w:val="21"/>
                      <w:highlight w:val="none"/>
                      <w:lang w:val="en-US" w:eastAsia="zh-CN"/>
                    </w:rPr>
                    <w:t>合计</w:t>
                  </w:r>
                </w:p>
              </w:tc>
              <w:tc>
                <w:tcPr>
                  <w:tcW w:w="711" w:type="pct"/>
                  <w:vAlign w:val="center"/>
                </w:tcPr>
                <w:p w14:paraId="555D7FD4">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0.18</w:t>
                  </w:r>
                </w:p>
              </w:tc>
            </w:tr>
          </w:tbl>
          <w:p w14:paraId="1277D408">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color w:val="auto"/>
                <w:highlight w:val="none"/>
                <w:lang w:val="en-US" w:eastAsia="zh-CN"/>
              </w:rPr>
              <w:t>本项目不涉及危险物质贮存</w:t>
            </w:r>
            <w:r>
              <w:rPr>
                <w:rFonts w:hint="eastAsia" w:ascii="Times New Roman" w:hAnsi="Times New Roman" w:eastAsia="宋体"/>
                <w:color w:val="auto"/>
                <w:highlight w:val="none"/>
                <w:lang w:val="en-US" w:eastAsia="zh-CN"/>
              </w:rPr>
              <w:t>，</w:t>
            </w:r>
            <w:r>
              <w:rPr>
                <w:rFonts w:hint="default" w:ascii="Times New Roman" w:hAnsi="Times New Roman" w:eastAsia="宋体"/>
                <w:color w:val="auto"/>
                <w:highlight w:val="none"/>
                <w:lang w:val="en-US"/>
              </w:rPr>
              <w:t>Q=</w:t>
            </w:r>
            <w:r>
              <w:rPr>
                <w:rFonts w:hint="eastAsia"/>
                <w:color w:val="auto"/>
                <w:highlight w:val="none"/>
                <w:lang w:val="en-US" w:eastAsia="zh-CN"/>
              </w:rPr>
              <w:t>0.18</w:t>
            </w:r>
            <w:r>
              <w:rPr>
                <w:rFonts w:hint="default" w:ascii="Times New Roman" w:hAnsi="Times New Roman" w:eastAsia="宋体"/>
                <w:color w:val="auto"/>
                <w:highlight w:val="none"/>
                <w:lang w:val="en-US"/>
              </w:rPr>
              <w:t>&lt;1，风险较小。</w:t>
            </w:r>
          </w:p>
          <w:p w14:paraId="1A0E00DD">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（2）评价等级</w:t>
            </w:r>
          </w:p>
          <w:p w14:paraId="2643DC7A">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表4-</w:t>
            </w:r>
            <w:r>
              <w:rPr>
                <w:rFonts w:ascii="Times New Roman" w:hAnsi="Times New Roman" w:eastAsia="宋体"/>
                <w:color w:val="auto"/>
                <w:highlight w:val="none"/>
              </w:rPr>
              <w:t>2</w:t>
            </w:r>
            <w:r>
              <w:rPr>
                <w:rFonts w:hint="eastAsia"/>
                <w:color w:val="auto"/>
                <w:highlight w:val="none"/>
                <w:lang w:val="en-US" w:eastAsia="zh-CN"/>
              </w:rPr>
              <w:t>8</w:t>
            </w:r>
            <w:r>
              <w:rPr>
                <w:rFonts w:hint="default" w:ascii="Times New Roman" w:hAnsi="Times New Roman" w:eastAsia="宋体"/>
                <w:color w:val="auto"/>
                <w:highlight w:val="none"/>
              </w:rPr>
              <w:t>评价工作等级划分</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561"/>
              <w:gridCol w:w="1565"/>
              <w:gridCol w:w="1565"/>
              <w:gridCol w:w="1565"/>
              <w:gridCol w:w="1566"/>
            </w:tblGrid>
            <w:tr w14:paraId="21CD0A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25" w:type="dxa"/>
                  <w:tcBorders>
                    <w:tl2br w:val="nil"/>
                    <w:tr2bl w:val="nil"/>
                  </w:tcBorders>
                  <w:vAlign w:val="center"/>
                </w:tcPr>
                <w:p w14:paraId="146E0505">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rPr>
                    <w:t>环境风险潜势</w:t>
                  </w:r>
                </w:p>
              </w:tc>
              <w:tc>
                <w:tcPr>
                  <w:tcW w:w="1628" w:type="dxa"/>
                  <w:tcBorders>
                    <w:tl2br w:val="nil"/>
                    <w:tr2bl w:val="nil"/>
                  </w:tcBorders>
                  <w:vAlign w:val="center"/>
                </w:tcPr>
                <w:p w14:paraId="5BC35C5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Ⅳ、Ⅳ+</w:t>
                  </w:r>
                </w:p>
              </w:tc>
              <w:tc>
                <w:tcPr>
                  <w:tcW w:w="1628" w:type="dxa"/>
                  <w:tcBorders>
                    <w:tl2br w:val="nil"/>
                    <w:tr2bl w:val="nil"/>
                  </w:tcBorders>
                  <w:vAlign w:val="center"/>
                </w:tcPr>
                <w:p w14:paraId="70BA796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Ⅲ</w:t>
                  </w:r>
                </w:p>
              </w:tc>
              <w:tc>
                <w:tcPr>
                  <w:tcW w:w="1628" w:type="dxa"/>
                  <w:tcBorders>
                    <w:tl2br w:val="nil"/>
                    <w:tr2bl w:val="nil"/>
                  </w:tcBorders>
                  <w:vAlign w:val="center"/>
                </w:tcPr>
                <w:p w14:paraId="3CD051A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Ⅱ</w:t>
                  </w:r>
                </w:p>
              </w:tc>
              <w:tc>
                <w:tcPr>
                  <w:tcW w:w="1629" w:type="dxa"/>
                  <w:tcBorders>
                    <w:tl2br w:val="nil"/>
                    <w:tr2bl w:val="nil"/>
                  </w:tcBorders>
                  <w:vAlign w:val="center"/>
                </w:tcPr>
                <w:p w14:paraId="1ED9BA4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Ⅰ</w:t>
                  </w:r>
                </w:p>
              </w:tc>
            </w:tr>
            <w:tr w14:paraId="409D33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25" w:type="dxa"/>
                  <w:tcBorders>
                    <w:tl2br w:val="nil"/>
                    <w:tr2bl w:val="nil"/>
                  </w:tcBorders>
                  <w:shd w:val="clear" w:color="auto" w:fill="auto"/>
                  <w:vAlign w:val="center"/>
                </w:tcPr>
                <w:p w14:paraId="5209FB30">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rPr>
                    <w:t>评价工作等级</w:t>
                  </w:r>
                </w:p>
              </w:tc>
              <w:tc>
                <w:tcPr>
                  <w:tcW w:w="1628" w:type="dxa"/>
                  <w:tcBorders>
                    <w:tl2br w:val="nil"/>
                    <w:tr2bl w:val="nil"/>
                  </w:tcBorders>
                  <w:shd w:val="clear" w:color="auto" w:fill="auto"/>
                  <w:vAlign w:val="center"/>
                </w:tcPr>
                <w:p w14:paraId="63F6358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一</w:t>
                  </w:r>
                </w:p>
              </w:tc>
              <w:tc>
                <w:tcPr>
                  <w:tcW w:w="1628" w:type="dxa"/>
                  <w:tcBorders>
                    <w:tl2br w:val="nil"/>
                    <w:tr2bl w:val="nil"/>
                  </w:tcBorders>
                  <w:shd w:val="clear" w:color="auto" w:fill="auto"/>
                  <w:vAlign w:val="center"/>
                </w:tcPr>
                <w:p w14:paraId="77716F9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二</w:t>
                  </w:r>
                </w:p>
              </w:tc>
              <w:tc>
                <w:tcPr>
                  <w:tcW w:w="1628" w:type="dxa"/>
                  <w:tcBorders>
                    <w:tl2br w:val="nil"/>
                    <w:tr2bl w:val="nil"/>
                  </w:tcBorders>
                  <w:shd w:val="clear" w:color="auto" w:fill="auto"/>
                  <w:vAlign w:val="center"/>
                </w:tcPr>
                <w:p w14:paraId="55D3AA8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三</w:t>
                  </w:r>
                </w:p>
              </w:tc>
              <w:tc>
                <w:tcPr>
                  <w:tcW w:w="1629" w:type="dxa"/>
                  <w:tcBorders>
                    <w:tl2br w:val="nil"/>
                    <w:tr2bl w:val="nil"/>
                  </w:tcBorders>
                  <w:shd w:val="clear" w:color="auto" w:fill="D7D7D7"/>
                  <w:vAlign w:val="center"/>
                </w:tcPr>
                <w:p w14:paraId="34411A5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简单分析a</w:t>
                  </w:r>
                </w:p>
              </w:tc>
            </w:tr>
            <w:tr w14:paraId="1598BF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138" w:type="dxa"/>
                  <w:gridSpan w:val="5"/>
                  <w:tcBorders>
                    <w:tl2br w:val="nil"/>
                    <w:tr2bl w:val="nil"/>
                  </w:tcBorders>
                  <w:vAlign w:val="center"/>
                </w:tcPr>
                <w:p w14:paraId="69C06969">
                  <w:pPr>
                    <w:pStyle w:val="21"/>
                    <w:keepNext w:val="0"/>
                    <w:keepLines w:val="0"/>
                    <w:suppressLineNumbers w:val="0"/>
                    <w:spacing w:before="0" w:beforeAutospacing="0" w:after="0" w:afterAutospacing="0"/>
                    <w:ind w:left="0" w:right="0"/>
                    <w:jc w:val="left"/>
                    <w:rPr>
                      <w:rFonts w:hint="default" w:ascii="Times New Roman" w:hAnsi="Times New Roman" w:eastAsia="宋体"/>
                      <w:color w:val="auto"/>
                      <w:highlight w:val="none"/>
                    </w:rPr>
                  </w:pPr>
                  <w:r>
                    <w:rPr>
                      <w:rFonts w:hint="eastAsia" w:ascii="Times New Roman" w:hAnsi="Times New Roman" w:eastAsia="宋体"/>
                      <w:color w:val="auto"/>
                      <w:highlight w:val="none"/>
                    </w:rPr>
                    <w:t>a：是相对于详细评价工作内容而言，在描述危险物质、环境影响途径、环境危害后果。风险防范措施等方面给出定性的说明。见附录A。</w:t>
                  </w:r>
                </w:p>
              </w:tc>
            </w:tr>
          </w:tbl>
          <w:p w14:paraId="2004FED1">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根据对照，本</w:t>
            </w:r>
            <w:r>
              <w:rPr>
                <w:rFonts w:hint="eastAsia" w:ascii="Times New Roman" w:hAnsi="Times New Roman" w:eastAsia="宋体"/>
                <w:color w:val="auto"/>
                <w:highlight w:val="none"/>
                <w:lang w:val="en-US"/>
              </w:rPr>
              <w:t>项目</w:t>
            </w:r>
            <w:r>
              <w:rPr>
                <w:rFonts w:hint="default" w:ascii="Times New Roman" w:hAnsi="Times New Roman" w:eastAsia="宋体"/>
                <w:color w:val="auto"/>
                <w:highlight w:val="none"/>
                <w:lang w:val="en-US"/>
              </w:rPr>
              <w:t>Q</w:t>
            </w:r>
            <w:r>
              <w:rPr>
                <w:rFonts w:hint="eastAsia"/>
                <w:color w:val="auto"/>
                <w:highlight w:val="none"/>
                <w:lang w:val="en-US" w:eastAsia="zh-CN"/>
              </w:rPr>
              <w:t>=0.18</w:t>
            </w:r>
            <w:r>
              <w:rPr>
                <w:rFonts w:hint="default" w:ascii="Times New Roman" w:hAnsi="Times New Roman" w:eastAsia="宋体"/>
                <w:color w:val="auto"/>
                <w:highlight w:val="none"/>
                <w:lang w:val="en-US"/>
              </w:rPr>
              <w:t>＜1，环境风险较小，环境风险评价等级为简单分析。</w:t>
            </w:r>
          </w:p>
          <w:p w14:paraId="7AB04BA0">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（3）环境风险识别</w:t>
            </w:r>
          </w:p>
          <w:p w14:paraId="58521FB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1）</w:t>
            </w:r>
            <w:r>
              <w:rPr>
                <w:rFonts w:hint="eastAsia" w:ascii="Times New Roman" w:hAnsi="Times New Roman" w:eastAsia="宋体"/>
                <w:color w:val="auto"/>
                <w:highlight w:val="none"/>
                <w:lang w:val="en-US"/>
              </w:rPr>
              <w:t>风险</w:t>
            </w:r>
            <w:r>
              <w:rPr>
                <w:rFonts w:hint="default" w:ascii="Times New Roman" w:hAnsi="Times New Roman" w:eastAsia="宋体"/>
                <w:color w:val="auto"/>
                <w:highlight w:val="none"/>
                <w:lang w:val="en-US"/>
              </w:rPr>
              <w:t>物质危险性识别</w:t>
            </w:r>
          </w:p>
          <w:p w14:paraId="6197097D">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根据《建设项目环境风险评价技术导则》（HJ169-2018）附录B和《企业突发环境事件风险分级方法》（HJ941-2018），本项目</w:t>
            </w:r>
            <w:r>
              <w:rPr>
                <w:rFonts w:hint="eastAsia"/>
                <w:color w:val="auto"/>
                <w:highlight w:val="none"/>
                <w:lang w:val="en-US" w:eastAsia="zh-CN"/>
              </w:rPr>
              <w:t>设计风险物质为机油、油墨、硝酸、次氯酸钠等化学原料及废紫外灯管、废机油桶、废化学品包装桶、废机油、含油废液、废活性炭等危险废物</w:t>
            </w:r>
            <w:r>
              <w:rPr>
                <w:rFonts w:hint="default" w:ascii="Times New Roman" w:hAnsi="Times New Roman" w:eastAsia="宋体"/>
                <w:color w:val="auto"/>
                <w:highlight w:val="none"/>
                <w:lang w:val="en-US"/>
              </w:rPr>
              <w:t>。</w:t>
            </w:r>
          </w:p>
          <w:p w14:paraId="7A53FD16">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2）生产系统危险性识别</w:t>
            </w:r>
          </w:p>
          <w:p w14:paraId="03213ECA">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eastAsia="zh-CN"/>
              </w:rPr>
            </w:pPr>
            <w:r>
              <w:rPr>
                <w:rFonts w:hint="default" w:ascii="Times New Roman" w:hAnsi="Times New Roman" w:eastAsia="宋体"/>
                <w:color w:val="auto"/>
                <w:highlight w:val="none"/>
                <w:lang w:val="en-US"/>
              </w:rPr>
              <w:t>本项目生产过程中存在的环境风险主要有以下几方面：</w:t>
            </w:r>
          </w:p>
          <w:p w14:paraId="121C4C7D">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①废气处理设施发生故障，导致废气超标排放；</w:t>
            </w:r>
          </w:p>
          <w:p w14:paraId="55CAACC3">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②</w:t>
            </w:r>
            <w:r>
              <w:rPr>
                <w:rFonts w:hint="eastAsia"/>
                <w:color w:val="auto"/>
                <w:highlight w:val="none"/>
                <w:lang w:val="en-US" w:eastAsia="zh-CN"/>
              </w:rPr>
              <w:t>危化品仓库</w:t>
            </w:r>
            <w:r>
              <w:rPr>
                <w:rFonts w:hint="eastAsia" w:ascii="Times New Roman" w:hAnsi="Times New Roman" w:eastAsia="宋体"/>
                <w:color w:val="auto"/>
                <w:highlight w:val="none"/>
                <w:lang w:val="en-US" w:eastAsia="zh-CN"/>
              </w:rPr>
              <w:t>及危废暂存库发生泄漏，对周边土壤、地下水造成污染；</w:t>
            </w:r>
          </w:p>
          <w:p w14:paraId="761681BA">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③污水管网管线破裂，废水</w:t>
            </w:r>
            <w:r>
              <w:rPr>
                <w:rFonts w:hint="eastAsia"/>
                <w:color w:val="auto"/>
                <w:highlight w:val="none"/>
                <w:lang w:val="en-US" w:eastAsia="zh-CN"/>
              </w:rPr>
              <w:t>泄漏</w:t>
            </w:r>
            <w:r>
              <w:rPr>
                <w:rFonts w:hint="eastAsia" w:ascii="Times New Roman" w:hAnsi="Times New Roman" w:eastAsia="宋体"/>
                <w:color w:val="auto"/>
                <w:highlight w:val="none"/>
                <w:lang w:val="en-US" w:eastAsia="zh-CN"/>
              </w:rPr>
              <w:t>造成周围土壤、地下水环境污染。</w:t>
            </w:r>
          </w:p>
          <w:p w14:paraId="1C06F06D">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3）危险物质向环境转移的途径识别</w:t>
            </w:r>
          </w:p>
          <w:p w14:paraId="51425240">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本项目危险物质在事故情形下对环境的影响途径具体见</w:t>
            </w:r>
            <w:r>
              <w:rPr>
                <w:rFonts w:hint="eastAsia" w:ascii="Times New Roman" w:hAnsi="Times New Roman" w:eastAsia="宋体"/>
                <w:color w:val="auto"/>
                <w:highlight w:val="none"/>
                <w:lang w:val="en-US"/>
              </w:rPr>
              <w:t>下表：</w:t>
            </w:r>
          </w:p>
          <w:p w14:paraId="785A341E">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ascii="Times New Roman" w:hAnsi="Times New Roman" w:eastAsia="宋体"/>
                <w:color w:val="auto"/>
                <w:highlight w:val="none"/>
              </w:rPr>
              <w:t>表4-</w:t>
            </w:r>
            <w:r>
              <w:rPr>
                <w:rFonts w:hint="eastAsia"/>
                <w:color w:val="auto"/>
                <w:highlight w:val="none"/>
                <w:lang w:val="en-US" w:eastAsia="zh-CN"/>
              </w:rPr>
              <w:t>30</w:t>
            </w:r>
            <w:r>
              <w:rPr>
                <w:rFonts w:hint="default" w:ascii="Times New Roman" w:hAnsi="Times New Roman" w:eastAsia="宋体"/>
                <w:color w:val="auto"/>
                <w:highlight w:val="none"/>
              </w:rPr>
              <w:t>本项目环境风险识别表</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82"/>
              <w:gridCol w:w="864"/>
              <w:gridCol w:w="2263"/>
              <w:gridCol w:w="1015"/>
              <w:gridCol w:w="1535"/>
              <w:gridCol w:w="1664"/>
            </w:tblGrid>
            <w:tr w14:paraId="4FC790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08" w:type="pct"/>
                  <w:tcBorders>
                    <w:tl2br w:val="nil"/>
                    <w:tr2bl w:val="nil"/>
                  </w:tcBorders>
                  <w:vAlign w:val="center"/>
                </w:tcPr>
                <w:p w14:paraId="378E5F0E">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序号</w:t>
                  </w:r>
                </w:p>
              </w:tc>
              <w:tc>
                <w:tcPr>
                  <w:tcW w:w="552" w:type="pct"/>
                  <w:tcBorders>
                    <w:tl2br w:val="nil"/>
                    <w:tr2bl w:val="nil"/>
                  </w:tcBorders>
                  <w:vAlign w:val="center"/>
                </w:tcPr>
                <w:p w14:paraId="6BE1752C">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风险源</w:t>
                  </w:r>
                </w:p>
              </w:tc>
              <w:tc>
                <w:tcPr>
                  <w:tcW w:w="1446" w:type="pct"/>
                  <w:tcBorders>
                    <w:tl2br w:val="nil"/>
                    <w:tr2bl w:val="nil"/>
                  </w:tcBorders>
                  <w:vAlign w:val="center"/>
                </w:tcPr>
                <w:p w14:paraId="43591810">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主要危险物质</w:t>
                  </w:r>
                </w:p>
              </w:tc>
              <w:tc>
                <w:tcPr>
                  <w:tcW w:w="648" w:type="pct"/>
                  <w:tcBorders>
                    <w:tl2br w:val="nil"/>
                    <w:tr2bl w:val="nil"/>
                  </w:tcBorders>
                  <w:vAlign w:val="center"/>
                </w:tcPr>
                <w:p w14:paraId="4BFCFA0C">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环境风险类型</w:t>
                  </w:r>
                </w:p>
              </w:tc>
              <w:tc>
                <w:tcPr>
                  <w:tcW w:w="981" w:type="pct"/>
                  <w:tcBorders>
                    <w:tl2br w:val="nil"/>
                    <w:tr2bl w:val="nil"/>
                  </w:tcBorders>
                  <w:vAlign w:val="center"/>
                </w:tcPr>
                <w:p w14:paraId="43118F34">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环境影响途径</w:t>
                  </w:r>
                </w:p>
              </w:tc>
              <w:tc>
                <w:tcPr>
                  <w:tcW w:w="1063" w:type="pct"/>
                  <w:tcBorders>
                    <w:tl2br w:val="nil"/>
                    <w:tr2bl w:val="nil"/>
                  </w:tcBorders>
                  <w:vAlign w:val="center"/>
                </w:tcPr>
                <w:p w14:paraId="13AF8680">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可能受影响的环境敏感目标</w:t>
                  </w:r>
                </w:p>
              </w:tc>
            </w:tr>
            <w:tr w14:paraId="004ABF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08" w:type="pct"/>
                  <w:tcBorders>
                    <w:tl2br w:val="nil"/>
                    <w:tr2bl w:val="nil"/>
                  </w:tcBorders>
                  <w:vAlign w:val="center"/>
                </w:tcPr>
                <w:p w14:paraId="49C1BDA4">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eastAsia="zh-CN"/>
                    </w:rPr>
                  </w:pPr>
                  <w:r>
                    <w:rPr>
                      <w:rFonts w:hint="eastAsia" w:ascii="Times New Roman" w:hAnsi="Times New Roman" w:eastAsia="宋体"/>
                      <w:color w:val="auto"/>
                      <w:highlight w:val="none"/>
                      <w:lang w:val="en-US" w:eastAsia="zh-CN"/>
                    </w:rPr>
                    <w:t>1</w:t>
                  </w:r>
                </w:p>
              </w:tc>
              <w:tc>
                <w:tcPr>
                  <w:tcW w:w="552" w:type="pct"/>
                  <w:tcBorders>
                    <w:tl2br w:val="nil"/>
                    <w:tr2bl w:val="nil"/>
                  </w:tcBorders>
                  <w:vAlign w:val="center"/>
                </w:tcPr>
                <w:p w14:paraId="2895102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废气处理设施</w:t>
                  </w:r>
                </w:p>
              </w:tc>
              <w:tc>
                <w:tcPr>
                  <w:tcW w:w="1446" w:type="pct"/>
                  <w:tcBorders>
                    <w:tl2br w:val="nil"/>
                    <w:tr2bl w:val="nil"/>
                  </w:tcBorders>
                  <w:vAlign w:val="center"/>
                </w:tcPr>
                <w:p w14:paraId="7998636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非甲烷总烃、乙醛</w:t>
                  </w:r>
                </w:p>
              </w:tc>
              <w:tc>
                <w:tcPr>
                  <w:tcW w:w="648" w:type="pct"/>
                  <w:tcBorders>
                    <w:tl2br w:val="nil"/>
                    <w:tr2bl w:val="nil"/>
                  </w:tcBorders>
                  <w:vAlign w:val="center"/>
                </w:tcPr>
                <w:p w14:paraId="662A671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事故排放</w:t>
                  </w:r>
                </w:p>
              </w:tc>
              <w:tc>
                <w:tcPr>
                  <w:tcW w:w="981" w:type="pct"/>
                  <w:tcBorders>
                    <w:tl2br w:val="nil"/>
                    <w:tr2bl w:val="nil"/>
                  </w:tcBorders>
                  <w:vAlign w:val="center"/>
                </w:tcPr>
                <w:p w14:paraId="03C0F2B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大气扩散</w:t>
                  </w:r>
                </w:p>
              </w:tc>
              <w:tc>
                <w:tcPr>
                  <w:tcW w:w="1063" w:type="pct"/>
                  <w:tcBorders>
                    <w:tl2br w:val="nil"/>
                    <w:tr2bl w:val="nil"/>
                  </w:tcBorders>
                  <w:vAlign w:val="center"/>
                </w:tcPr>
                <w:p w14:paraId="1C2CDDE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环境空气</w:t>
                  </w:r>
                </w:p>
              </w:tc>
            </w:tr>
            <w:tr w14:paraId="07995F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08" w:type="pct"/>
                  <w:tcBorders>
                    <w:tl2br w:val="nil"/>
                    <w:tr2bl w:val="nil"/>
                  </w:tcBorders>
                  <w:vAlign w:val="center"/>
                </w:tcPr>
                <w:p w14:paraId="69DFCB5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2</w:t>
                  </w:r>
                </w:p>
              </w:tc>
              <w:tc>
                <w:tcPr>
                  <w:tcW w:w="552" w:type="pct"/>
                  <w:tcBorders>
                    <w:tl2br w:val="nil"/>
                    <w:tr2bl w:val="nil"/>
                  </w:tcBorders>
                  <w:vAlign w:val="center"/>
                </w:tcPr>
                <w:p w14:paraId="3971BFB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危化品库</w:t>
                  </w:r>
                </w:p>
              </w:tc>
              <w:tc>
                <w:tcPr>
                  <w:tcW w:w="1446" w:type="pct"/>
                  <w:tcBorders>
                    <w:tl2br w:val="nil"/>
                    <w:tr2bl w:val="nil"/>
                  </w:tcBorders>
                  <w:vAlign w:val="center"/>
                </w:tcPr>
                <w:p w14:paraId="3E208FED">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机油、硝酸、次氯酸钠</w:t>
                  </w:r>
                </w:p>
              </w:tc>
              <w:tc>
                <w:tcPr>
                  <w:tcW w:w="648" w:type="pct"/>
                  <w:tcBorders>
                    <w:tl2br w:val="nil"/>
                    <w:tr2bl w:val="nil"/>
                  </w:tcBorders>
                  <w:vAlign w:val="center"/>
                </w:tcPr>
                <w:p w14:paraId="79794932">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泄漏</w:t>
                  </w:r>
                </w:p>
              </w:tc>
              <w:tc>
                <w:tcPr>
                  <w:tcW w:w="981" w:type="pct"/>
                  <w:tcBorders>
                    <w:tl2br w:val="nil"/>
                    <w:tr2bl w:val="nil"/>
                  </w:tcBorders>
                  <w:vAlign w:val="center"/>
                </w:tcPr>
                <w:p w14:paraId="01175F95">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地表漫流</w:t>
                  </w:r>
                  <w:r>
                    <w:rPr>
                      <w:rFonts w:hint="eastAsia" w:ascii="Times New Roman" w:hAnsi="Times New Roman" w:eastAsia="宋体"/>
                      <w:color w:val="auto"/>
                      <w:highlight w:val="none"/>
                      <w:lang w:val="en-US" w:eastAsia="zh-CN"/>
                    </w:rPr>
                    <w:t>、</w:t>
                  </w:r>
                  <w:r>
                    <w:rPr>
                      <w:rFonts w:hint="eastAsia"/>
                      <w:color w:val="auto"/>
                      <w:highlight w:val="none"/>
                      <w:lang w:val="en-US" w:eastAsia="zh-CN"/>
                    </w:rPr>
                    <w:t>垂直入渗、</w:t>
                  </w:r>
                  <w:r>
                    <w:rPr>
                      <w:rFonts w:hint="eastAsia" w:ascii="Times New Roman" w:hAnsi="Times New Roman" w:eastAsia="宋体"/>
                      <w:color w:val="auto"/>
                      <w:highlight w:val="none"/>
                      <w:lang w:val="en-US" w:eastAsia="zh-CN"/>
                    </w:rPr>
                    <w:t>大气扩散</w:t>
                  </w:r>
                </w:p>
              </w:tc>
              <w:tc>
                <w:tcPr>
                  <w:tcW w:w="1063" w:type="pct"/>
                  <w:tcBorders>
                    <w:tl2br w:val="nil"/>
                    <w:tr2bl w:val="nil"/>
                  </w:tcBorders>
                  <w:vAlign w:val="center"/>
                </w:tcPr>
                <w:p w14:paraId="7B40E86B">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地表水</w:t>
                  </w:r>
                  <w:r>
                    <w:rPr>
                      <w:rFonts w:hint="default" w:ascii="Times New Roman" w:hAnsi="Times New Roman" w:eastAsia="宋体"/>
                      <w:color w:val="auto"/>
                      <w:highlight w:val="none"/>
                    </w:rPr>
                    <w:t>、土壤、地下水</w:t>
                  </w:r>
                  <w:r>
                    <w:rPr>
                      <w:rFonts w:hint="eastAsia" w:ascii="Times New Roman" w:hAnsi="Times New Roman" w:eastAsia="宋体"/>
                      <w:color w:val="auto"/>
                      <w:highlight w:val="none"/>
                      <w:lang w:val="en-US" w:eastAsia="zh-CN"/>
                    </w:rPr>
                    <w:t>环境空气</w:t>
                  </w:r>
                </w:p>
              </w:tc>
            </w:tr>
            <w:tr w14:paraId="01BE8B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08" w:type="pct"/>
                  <w:tcBorders>
                    <w:tl2br w:val="nil"/>
                    <w:tr2bl w:val="nil"/>
                  </w:tcBorders>
                  <w:vAlign w:val="center"/>
                </w:tcPr>
                <w:p w14:paraId="3B54DDD1">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3</w:t>
                  </w:r>
                </w:p>
              </w:tc>
              <w:tc>
                <w:tcPr>
                  <w:tcW w:w="552" w:type="pct"/>
                  <w:tcBorders>
                    <w:tl2br w:val="nil"/>
                    <w:tr2bl w:val="nil"/>
                  </w:tcBorders>
                  <w:vAlign w:val="center"/>
                </w:tcPr>
                <w:p w14:paraId="622A7021">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危废仓库</w:t>
                  </w:r>
                </w:p>
              </w:tc>
              <w:tc>
                <w:tcPr>
                  <w:tcW w:w="1446" w:type="pct"/>
                  <w:tcBorders>
                    <w:tl2br w:val="nil"/>
                    <w:tr2bl w:val="nil"/>
                  </w:tcBorders>
                  <w:vAlign w:val="center"/>
                </w:tcPr>
                <w:p w14:paraId="55A7A8B3">
                  <w:pPr>
                    <w:pStyle w:val="21"/>
                    <w:keepNext w:val="0"/>
                    <w:keepLines w:val="0"/>
                    <w:suppressLineNumbers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废紫外灯管、废机油桶、废化学品包装桶、废机油、含油废液、废活性炭</w:t>
                  </w:r>
                </w:p>
              </w:tc>
              <w:tc>
                <w:tcPr>
                  <w:tcW w:w="648" w:type="pct"/>
                  <w:tcBorders>
                    <w:tl2br w:val="nil"/>
                    <w:tr2bl w:val="nil"/>
                  </w:tcBorders>
                  <w:vAlign w:val="center"/>
                </w:tcPr>
                <w:p w14:paraId="736D6047">
                  <w:pPr>
                    <w:pStyle w:val="21"/>
                    <w:keepNext w:val="0"/>
                    <w:keepLines w:val="0"/>
                    <w:suppressLineNumbers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泄漏、火灾伴生/次生污染物</w:t>
                  </w:r>
                </w:p>
              </w:tc>
              <w:tc>
                <w:tcPr>
                  <w:tcW w:w="981" w:type="pct"/>
                  <w:tcBorders>
                    <w:tl2br w:val="nil"/>
                    <w:tr2bl w:val="nil"/>
                  </w:tcBorders>
                  <w:shd w:val="clear" w:color="auto" w:fill="auto"/>
                  <w:vAlign w:val="center"/>
                </w:tcPr>
                <w:p w14:paraId="5A788E03">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地表漫流</w:t>
                  </w:r>
                  <w:r>
                    <w:rPr>
                      <w:rFonts w:hint="eastAsia" w:ascii="Times New Roman" w:hAnsi="Times New Roman" w:eastAsia="宋体"/>
                      <w:color w:val="auto"/>
                      <w:highlight w:val="none"/>
                      <w:lang w:val="en-US" w:eastAsia="zh-CN"/>
                    </w:rPr>
                    <w:t>、</w:t>
                  </w:r>
                  <w:r>
                    <w:rPr>
                      <w:rFonts w:hint="eastAsia"/>
                      <w:color w:val="auto"/>
                      <w:highlight w:val="none"/>
                      <w:lang w:val="en-US" w:eastAsia="zh-CN"/>
                    </w:rPr>
                    <w:t>垂直入渗、</w:t>
                  </w:r>
                  <w:r>
                    <w:rPr>
                      <w:rFonts w:hint="eastAsia" w:ascii="Times New Roman" w:hAnsi="Times New Roman" w:eastAsia="宋体"/>
                      <w:color w:val="auto"/>
                      <w:highlight w:val="none"/>
                      <w:lang w:val="en-US" w:eastAsia="zh-CN"/>
                    </w:rPr>
                    <w:t>大气扩散</w:t>
                  </w:r>
                </w:p>
              </w:tc>
              <w:tc>
                <w:tcPr>
                  <w:tcW w:w="1063" w:type="pct"/>
                  <w:tcBorders>
                    <w:tl2br w:val="nil"/>
                    <w:tr2bl w:val="nil"/>
                  </w:tcBorders>
                  <w:shd w:val="clear" w:color="auto" w:fill="auto"/>
                  <w:vAlign w:val="center"/>
                </w:tcPr>
                <w:p w14:paraId="191E5DB6">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地表水</w:t>
                  </w:r>
                  <w:r>
                    <w:rPr>
                      <w:rFonts w:hint="default" w:ascii="Times New Roman" w:hAnsi="Times New Roman" w:eastAsia="宋体"/>
                      <w:color w:val="auto"/>
                      <w:highlight w:val="none"/>
                    </w:rPr>
                    <w:t>、土壤、地下水</w:t>
                  </w:r>
                  <w:r>
                    <w:rPr>
                      <w:rFonts w:hint="eastAsia" w:ascii="Times New Roman" w:hAnsi="Times New Roman" w:eastAsia="宋体"/>
                      <w:color w:val="auto"/>
                      <w:highlight w:val="none"/>
                      <w:lang w:val="en-US" w:eastAsia="zh-CN"/>
                    </w:rPr>
                    <w:t>环境空气</w:t>
                  </w:r>
                </w:p>
              </w:tc>
            </w:tr>
          </w:tbl>
          <w:p w14:paraId="4EAD6BEC">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（4）环境风险防范措施</w:t>
            </w:r>
          </w:p>
          <w:p w14:paraId="67B8AA29">
            <w:pPr>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rPr>
              <w:t>1）技术、工艺及装备、设备、设施方面</w:t>
            </w:r>
          </w:p>
          <w:p w14:paraId="377010E1">
            <w:pPr>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rPr>
              <w:t>为降低生产场所空气中的有害物质浓度,车间及仓库需要配备必要的通、排风装置，以保持通风状况良好，必要时应采取机械式强制通风。确保通风装置的完好、有效。</w:t>
            </w:r>
          </w:p>
          <w:p w14:paraId="42A0702E">
            <w:pPr>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rPr>
              <w:t>各类设备、泵机、管线、阀门、电气控制部位均应按规范设置位号、色标、输送介质、流向、开关等标志标识及安全警示标识。</w:t>
            </w:r>
          </w:p>
          <w:p w14:paraId="0EB86D91">
            <w:pPr>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rPr>
              <w:t>2）物料泄漏事故防范措施</w:t>
            </w:r>
          </w:p>
          <w:p w14:paraId="147CEBB8">
            <w:pPr>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rPr>
              <w:t>泄漏事故的预防是生产和储运过程中最重要的环节，发生泄漏事故可能引起火灾和爆炸等一系列重大事故。经验表明：设备失灵和人为地操作失误是引发泄漏的主要原因。因此选用较好的设备、精心设计、认真地管理和操作人员的责任心是减少泄漏事故的关键。</w:t>
            </w:r>
          </w:p>
          <w:p w14:paraId="066D196D">
            <w:pPr>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rPr>
              <w:t>经常检查管道，并控制管道支撑的磨损。定期系统试压、定期检漏。</w:t>
            </w:r>
          </w:p>
          <w:p w14:paraId="0FECE228">
            <w:pPr>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rPr>
              <w:t>化学品泄漏应急处理措施：迅速撤离泄漏污染区人员至安全区，并进行隔离，严格限制出入。切断火源。建议应急处理人员戴自给正压式呼吸器，穿防毒服。尽可能切断泄漏源。防止流入下水道、排洪沟等限制性空间。</w:t>
            </w:r>
          </w:p>
          <w:p w14:paraId="0CFDD9F6">
            <w:pPr>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rPr>
              <w:t>3）废气处理设施故障应急处置措施</w:t>
            </w:r>
          </w:p>
          <w:p w14:paraId="1FAB34A6">
            <w:pPr>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rPr>
              <w:t>加强对废气处理系统的维护和检修，使其处于良好的运行状态，并且需加强管理，一旦出现异常现象应停止生产，从根源上切断污染，查出异常原因，事故发生后应在最短的时间内排除故障，确保对周围环境的影响降到最低。</w:t>
            </w:r>
          </w:p>
          <w:p w14:paraId="419A6348">
            <w:pPr>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rPr>
              <w:t>4）危废贮存、运输过程风险防范措施</w:t>
            </w:r>
          </w:p>
          <w:p w14:paraId="60396A29">
            <w:pPr>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lang w:val="en-US" w:eastAsia="zh-CN"/>
              </w:rPr>
              <w:t>项目依托</w:t>
            </w:r>
            <w:r>
              <w:rPr>
                <w:rFonts w:hint="eastAsia"/>
                <w:color w:val="auto"/>
                <w:highlight w:val="none"/>
              </w:rPr>
              <w:t>危废暂存库满足《危险废物贮存污染控制标准》（GB18597-2023）等要求。危险废物的运输应由危险废物处置单位安排专人专车运送，同时注意运输工具的密封，采取相应的安全防护和污染防治措施，包括防爆、防火、防中毒、防泄漏、防飞扬、防雨或其他防治污染环境的措施等，防止造成二次污染。</w:t>
            </w:r>
          </w:p>
          <w:p w14:paraId="7FD0C71B">
            <w:pPr>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rPr>
              <w:t>在环境管理中注意以下内容：建设单位应通过“江苏省危险废物动态管理信息系统”（江苏省环保厅网站）进行危险废物申报登记，将危险废物的实际产生、贮存、利用、处置等情况纳入生产记录，建立危险废物管理台账和企业内部产生和收集、贮存、转移等部门危险废物交接制度；必须明确企业为固体废物污染防治的责任主体，要求企业建立风险管理及应急救援体系，执行环境监测计划、转移联单管理制度及国家和省有关转移管理的相关规定、处置过程安全操作规程、人员培训考核制度、档案管理制度、处置全过程管理制度等。</w:t>
            </w:r>
          </w:p>
          <w:p w14:paraId="7A917B71">
            <w:pPr>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rPr>
              <w:t>做好雨、污水排放口水质监测工作，发现超标及时排查事故原因。</w:t>
            </w:r>
          </w:p>
          <w:p w14:paraId="6A73E66E">
            <w:pPr>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rPr>
              <w:t>5）定时巡检，做好台账表。</w:t>
            </w:r>
          </w:p>
          <w:p w14:paraId="48F042B4">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color w:val="auto"/>
                <w:highlight w:val="none"/>
                <w:lang w:val="en-US" w:eastAsia="zh-CN"/>
              </w:rPr>
              <w:t>6</w:t>
            </w:r>
            <w:r>
              <w:rPr>
                <w:rFonts w:hint="default" w:ascii="Times New Roman" w:hAnsi="Times New Roman" w:eastAsia="宋体"/>
                <w:color w:val="auto"/>
                <w:highlight w:val="none"/>
                <w:lang w:val="en-US"/>
              </w:rPr>
              <w:t>）建设单位应依据相关法律法规履行安全生产“三同时”手续。</w:t>
            </w:r>
          </w:p>
          <w:p w14:paraId="443BCE81">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表4-</w:t>
            </w:r>
            <w:r>
              <w:rPr>
                <w:rFonts w:hint="eastAsia"/>
                <w:color w:val="auto"/>
                <w:highlight w:val="none"/>
                <w:lang w:val="en-US" w:eastAsia="zh-CN"/>
              </w:rPr>
              <w:t>31</w:t>
            </w:r>
            <w:r>
              <w:rPr>
                <w:rFonts w:hint="default" w:ascii="Times New Roman" w:hAnsi="Times New Roman" w:eastAsia="宋体"/>
                <w:color w:val="auto"/>
                <w:highlight w:val="none"/>
              </w:rPr>
              <w:t>预防机制详情</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503"/>
              <w:gridCol w:w="6319"/>
            </w:tblGrid>
            <w:tr w14:paraId="0760A9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61" w:type="pct"/>
                  <w:tcBorders>
                    <w:tl2br w:val="nil"/>
                    <w:tr2bl w:val="nil"/>
                  </w:tcBorders>
                  <w:vAlign w:val="center"/>
                </w:tcPr>
                <w:p w14:paraId="456DFFE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b/>
                      <w:bCs/>
                      <w:color w:val="auto"/>
                      <w:sz w:val="21"/>
                      <w:szCs w:val="21"/>
                      <w:highlight w:val="none"/>
                    </w:rPr>
                  </w:pPr>
                  <w:r>
                    <w:rPr>
                      <w:rFonts w:hint="default" w:ascii="Times New Roman" w:hAnsi="Times New Roman" w:eastAsia="宋体"/>
                      <w:b/>
                      <w:bCs/>
                      <w:color w:val="auto"/>
                      <w:sz w:val="21"/>
                      <w:szCs w:val="21"/>
                      <w:highlight w:val="none"/>
                    </w:rPr>
                    <w:t>突发环境事件</w:t>
                  </w:r>
                </w:p>
              </w:tc>
              <w:tc>
                <w:tcPr>
                  <w:tcW w:w="4038" w:type="pct"/>
                  <w:tcBorders>
                    <w:tl2br w:val="nil"/>
                    <w:tr2bl w:val="nil"/>
                  </w:tcBorders>
                  <w:vAlign w:val="center"/>
                </w:tcPr>
                <w:p w14:paraId="27FF475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b/>
                      <w:bCs/>
                      <w:color w:val="auto"/>
                      <w:sz w:val="21"/>
                      <w:szCs w:val="21"/>
                      <w:highlight w:val="none"/>
                    </w:rPr>
                  </w:pPr>
                  <w:r>
                    <w:rPr>
                      <w:rFonts w:hint="default" w:ascii="Times New Roman" w:hAnsi="Times New Roman" w:eastAsia="宋体"/>
                      <w:b/>
                      <w:bCs/>
                      <w:color w:val="auto"/>
                      <w:sz w:val="21"/>
                      <w:szCs w:val="21"/>
                      <w:highlight w:val="none"/>
                    </w:rPr>
                    <w:t>预防机制</w:t>
                  </w:r>
                </w:p>
              </w:tc>
            </w:tr>
            <w:tr w14:paraId="73B7B3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61" w:type="pct"/>
                  <w:tcBorders>
                    <w:tl2br w:val="nil"/>
                    <w:tr2bl w:val="nil"/>
                  </w:tcBorders>
                  <w:vAlign w:val="center"/>
                </w:tcPr>
                <w:p w14:paraId="2247E62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rPr>
                  </w:pPr>
                  <w:r>
                    <w:rPr>
                      <w:rFonts w:hint="default" w:ascii="Times New Roman" w:hAnsi="Times New Roman" w:eastAsia="宋体"/>
                      <w:color w:val="auto"/>
                      <w:sz w:val="21"/>
                      <w:szCs w:val="21"/>
                      <w:highlight w:val="none"/>
                    </w:rPr>
                    <w:t>物料泄漏</w:t>
                  </w:r>
                </w:p>
              </w:tc>
              <w:tc>
                <w:tcPr>
                  <w:tcW w:w="4038" w:type="pct"/>
                  <w:tcBorders>
                    <w:tl2br w:val="nil"/>
                    <w:tr2bl w:val="nil"/>
                  </w:tcBorders>
                  <w:vAlign w:val="center"/>
                </w:tcPr>
                <w:p w14:paraId="3C71C5A2">
                  <w:pPr>
                    <w:keepNext w:val="0"/>
                    <w:keepLines w:val="0"/>
                    <w:suppressLineNumbers w:val="0"/>
                    <w:spacing w:before="0" w:beforeAutospacing="0" w:after="0" w:afterAutospacing="0" w:line="240" w:lineRule="auto"/>
                    <w:ind w:left="0" w:right="0" w:firstLine="0" w:firstLineChars="0"/>
                    <w:rPr>
                      <w:rFonts w:hint="default" w:ascii="Times New Roman" w:hAnsi="Times New Roman" w:eastAsia="宋体"/>
                      <w:color w:val="auto"/>
                      <w:sz w:val="21"/>
                      <w:szCs w:val="21"/>
                      <w:highlight w:val="none"/>
                    </w:rPr>
                  </w:pPr>
                  <w:r>
                    <w:rPr>
                      <w:rFonts w:hint="eastAsia"/>
                      <w:color w:val="auto"/>
                      <w:sz w:val="21"/>
                      <w:szCs w:val="21"/>
                      <w:highlight w:val="none"/>
                      <w:lang w:val="en-US" w:eastAsia="zh-CN"/>
                    </w:rPr>
                    <w:t>1</w:t>
                  </w:r>
                  <w:r>
                    <w:rPr>
                      <w:rFonts w:hint="default" w:ascii="Times New Roman" w:hAnsi="Times New Roman" w:eastAsia="宋体"/>
                      <w:color w:val="auto"/>
                      <w:sz w:val="21"/>
                      <w:szCs w:val="21"/>
                      <w:highlight w:val="none"/>
                    </w:rPr>
                    <w:t>.做好</w:t>
                  </w:r>
                  <w:r>
                    <w:rPr>
                      <w:rFonts w:hint="eastAsia"/>
                      <w:color w:val="auto"/>
                      <w:sz w:val="21"/>
                      <w:szCs w:val="21"/>
                      <w:highlight w:val="none"/>
                      <w:lang w:val="en-US" w:eastAsia="zh-CN"/>
                    </w:rPr>
                    <w:t>生产车间</w:t>
                  </w:r>
                  <w:r>
                    <w:rPr>
                      <w:rFonts w:hint="default" w:ascii="Times New Roman" w:hAnsi="Times New Roman" w:eastAsia="宋体"/>
                      <w:color w:val="auto"/>
                      <w:sz w:val="21"/>
                      <w:szCs w:val="21"/>
                      <w:highlight w:val="none"/>
                    </w:rPr>
                    <w:t>防渗处理，设置</w:t>
                  </w:r>
                  <w:r>
                    <w:rPr>
                      <w:rFonts w:hint="eastAsia" w:ascii="Times New Roman" w:hAnsi="Times New Roman" w:eastAsia="宋体"/>
                      <w:color w:val="auto"/>
                      <w:sz w:val="21"/>
                      <w:szCs w:val="21"/>
                      <w:highlight w:val="none"/>
                      <w:lang w:val="en-US"/>
                    </w:rPr>
                    <w:t>导流沟</w:t>
                  </w:r>
                  <w:r>
                    <w:rPr>
                      <w:rFonts w:hint="eastAsia"/>
                      <w:color w:val="auto"/>
                      <w:sz w:val="21"/>
                      <w:szCs w:val="21"/>
                      <w:highlight w:val="none"/>
                      <w:lang w:val="en-US" w:eastAsia="zh-CN"/>
                    </w:rPr>
                    <w:t>并连接租赁厂区应急池</w:t>
                  </w:r>
                  <w:r>
                    <w:rPr>
                      <w:rFonts w:hint="default" w:ascii="Times New Roman" w:hAnsi="Times New Roman" w:eastAsia="宋体"/>
                      <w:color w:val="auto"/>
                      <w:sz w:val="21"/>
                      <w:szCs w:val="21"/>
                      <w:highlight w:val="none"/>
                    </w:rPr>
                    <w:t>。</w:t>
                  </w:r>
                </w:p>
              </w:tc>
            </w:tr>
            <w:tr w14:paraId="3F6A62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61" w:type="pct"/>
                  <w:tcBorders>
                    <w:tl2br w:val="nil"/>
                    <w:tr2bl w:val="nil"/>
                  </w:tcBorders>
                  <w:vAlign w:val="center"/>
                </w:tcPr>
                <w:p w14:paraId="697EE11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rPr>
                  </w:pPr>
                  <w:r>
                    <w:rPr>
                      <w:rFonts w:hint="default" w:ascii="Times New Roman" w:hAnsi="Times New Roman" w:eastAsia="宋体"/>
                      <w:color w:val="auto"/>
                      <w:sz w:val="21"/>
                      <w:szCs w:val="21"/>
                      <w:highlight w:val="none"/>
                    </w:rPr>
                    <w:t>暴雨、雷电等自然灾害</w:t>
                  </w:r>
                </w:p>
              </w:tc>
              <w:tc>
                <w:tcPr>
                  <w:tcW w:w="4038" w:type="pct"/>
                  <w:tcBorders>
                    <w:tl2br w:val="nil"/>
                    <w:tr2bl w:val="nil"/>
                  </w:tcBorders>
                  <w:vAlign w:val="center"/>
                </w:tcPr>
                <w:p w14:paraId="438E2691">
                  <w:pPr>
                    <w:keepNext w:val="0"/>
                    <w:keepLines w:val="0"/>
                    <w:suppressLineNumbers w:val="0"/>
                    <w:spacing w:before="0" w:beforeAutospacing="0" w:after="0" w:afterAutospacing="0" w:line="240" w:lineRule="auto"/>
                    <w:ind w:left="0" w:right="0" w:firstLine="0" w:firstLineChars="0"/>
                    <w:rPr>
                      <w:rFonts w:hint="default" w:ascii="Times New Roman" w:hAnsi="Times New Roman" w:eastAsia="宋体"/>
                      <w:color w:val="auto"/>
                      <w:sz w:val="21"/>
                      <w:szCs w:val="21"/>
                      <w:highlight w:val="none"/>
                    </w:rPr>
                  </w:pPr>
                  <w:r>
                    <w:rPr>
                      <w:rFonts w:hint="default" w:ascii="Times New Roman" w:hAnsi="Times New Roman" w:eastAsia="宋体"/>
                      <w:color w:val="auto"/>
                      <w:sz w:val="21"/>
                      <w:szCs w:val="21"/>
                      <w:highlight w:val="none"/>
                    </w:rPr>
                    <w:t>1.密切注意天气变化，在暴雨等天气来临前对现场的物品进行收拾，对厂棚进行加固，对外露的设备进行保护，对可能积水的部位进行检查；</w:t>
                  </w:r>
                </w:p>
              </w:tc>
            </w:tr>
            <w:tr w14:paraId="0286B7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61" w:type="pct"/>
                  <w:tcBorders>
                    <w:tl2br w:val="nil"/>
                    <w:tr2bl w:val="nil"/>
                  </w:tcBorders>
                  <w:vAlign w:val="center"/>
                </w:tcPr>
                <w:p w14:paraId="6F43D44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rPr>
                  </w:pPr>
                  <w:r>
                    <w:rPr>
                      <w:rFonts w:hint="default" w:ascii="Times New Roman" w:hAnsi="Times New Roman" w:eastAsia="宋体"/>
                      <w:color w:val="auto"/>
                      <w:sz w:val="21"/>
                      <w:szCs w:val="21"/>
                      <w:highlight w:val="none"/>
                    </w:rPr>
                    <w:t>火灾</w:t>
                  </w:r>
                </w:p>
              </w:tc>
              <w:tc>
                <w:tcPr>
                  <w:tcW w:w="4038" w:type="pct"/>
                  <w:tcBorders>
                    <w:tl2br w:val="nil"/>
                    <w:tr2bl w:val="nil"/>
                  </w:tcBorders>
                  <w:vAlign w:val="center"/>
                </w:tcPr>
                <w:p w14:paraId="18334910">
                  <w:pPr>
                    <w:keepNext w:val="0"/>
                    <w:keepLines w:val="0"/>
                    <w:suppressLineNumbers w:val="0"/>
                    <w:spacing w:before="0" w:beforeAutospacing="0" w:after="0" w:afterAutospacing="0" w:line="240" w:lineRule="auto"/>
                    <w:ind w:left="0" w:right="0" w:firstLine="0" w:firstLineChars="0"/>
                    <w:rPr>
                      <w:rFonts w:hint="default" w:ascii="Times New Roman" w:hAnsi="Times New Roman" w:eastAsia="宋体"/>
                      <w:color w:val="auto"/>
                      <w:sz w:val="21"/>
                      <w:szCs w:val="21"/>
                      <w:highlight w:val="none"/>
                    </w:rPr>
                  </w:pPr>
                  <w:r>
                    <w:rPr>
                      <w:rFonts w:hint="default" w:ascii="Times New Roman" w:hAnsi="Times New Roman" w:eastAsia="宋体"/>
                      <w:color w:val="auto"/>
                      <w:sz w:val="21"/>
                      <w:szCs w:val="21"/>
                      <w:highlight w:val="none"/>
                    </w:rPr>
                    <w:t>易燃物品进行防护保护；对供电线路进行巡检；对消防设施进行定期检查。</w:t>
                  </w:r>
                </w:p>
              </w:tc>
            </w:tr>
          </w:tbl>
          <w:p w14:paraId="0DF83F07">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w:t>
            </w:r>
            <w:r>
              <w:rPr>
                <w:rFonts w:hint="eastAsia"/>
                <w:color w:val="auto"/>
                <w:highlight w:val="none"/>
                <w:lang w:val="en-US" w:eastAsia="zh-CN"/>
              </w:rPr>
              <w:t>5</w:t>
            </w:r>
            <w:r>
              <w:rPr>
                <w:rFonts w:hint="default" w:ascii="Times New Roman" w:hAnsi="Times New Roman" w:eastAsia="宋体"/>
                <w:color w:val="auto"/>
                <w:highlight w:val="none"/>
                <w:lang w:val="en-US"/>
              </w:rPr>
              <w:t>）风险结论</w:t>
            </w:r>
          </w:p>
          <w:p w14:paraId="07969862">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综合以上分析，</w:t>
            </w:r>
            <w:r>
              <w:rPr>
                <w:rFonts w:hint="eastAsia"/>
                <w:color w:val="auto"/>
                <w:highlight w:val="none"/>
                <w:lang w:val="en-US" w:eastAsia="zh-CN"/>
              </w:rPr>
              <w:t>在</w:t>
            </w:r>
            <w:r>
              <w:rPr>
                <w:rFonts w:hint="default" w:ascii="Times New Roman" w:hAnsi="Times New Roman" w:eastAsia="宋体"/>
                <w:color w:val="auto"/>
                <w:highlight w:val="none"/>
                <w:lang w:val="en-US"/>
              </w:rPr>
              <w:t>环境风险防范措施落实到位的情况下，将可大大降低建设项目的环境风险，最大程度减少对环境可能造成的危害。在企业落实本评价提出的各项风险防范措施后，项目对环境风险</w:t>
            </w:r>
            <w:r>
              <w:rPr>
                <w:rFonts w:hint="eastAsia"/>
                <w:color w:val="auto"/>
                <w:highlight w:val="none"/>
                <w:lang w:val="en-US" w:eastAsia="zh-CN"/>
              </w:rPr>
              <w:t>水平</w:t>
            </w:r>
            <w:r>
              <w:rPr>
                <w:rFonts w:hint="default" w:ascii="Times New Roman" w:hAnsi="Times New Roman" w:eastAsia="宋体"/>
                <w:color w:val="auto"/>
                <w:highlight w:val="none"/>
                <w:lang w:val="en-US"/>
              </w:rPr>
              <w:t>可接受。</w:t>
            </w:r>
          </w:p>
          <w:p w14:paraId="0350B92B">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color w:val="auto"/>
                <w:highlight w:val="none"/>
                <w:lang w:val="en-US" w:eastAsia="zh-CN"/>
              </w:rPr>
              <w:t>7</w:t>
            </w:r>
            <w:r>
              <w:rPr>
                <w:rFonts w:hint="default" w:ascii="Times New Roman" w:hAnsi="Times New Roman" w:eastAsia="宋体"/>
                <w:color w:val="auto"/>
                <w:highlight w:val="none"/>
                <w:lang w:val="en-US"/>
              </w:rPr>
              <w:t>、排污口规范化设置</w:t>
            </w:r>
          </w:p>
          <w:p w14:paraId="4ADC5287">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根据《江苏省排污口设置及规范化整治管理办法》的第十二条规定，排污口符合“一明显、二合理、三便于”的要求，即环保标志明显，排污口设置合理、排污去向合理，便于采集样品、便于监测计量、便于公众监督管理。并按照《环境保护图形标志</w:t>
            </w:r>
            <w:r>
              <w:rPr>
                <w:rFonts w:hint="eastAsia" w:ascii="Times New Roman" w:hAnsi="Times New Roman" w:eastAsia="宋体"/>
                <w:color w:val="auto"/>
                <w:highlight w:val="none"/>
                <w:lang w:val="en-US"/>
              </w:rPr>
              <w:t>——排放口（源）</w:t>
            </w:r>
            <w:r>
              <w:rPr>
                <w:rFonts w:hint="default" w:ascii="Times New Roman" w:hAnsi="Times New Roman" w:eastAsia="宋体"/>
                <w:color w:val="auto"/>
                <w:highlight w:val="none"/>
                <w:lang w:val="en-US"/>
              </w:rPr>
              <w:t>》（GB15562.1-1995）</w:t>
            </w:r>
            <w:r>
              <w:rPr>
                <w:rFonts w:hint="eastAsia" w:ascii="Times New Roman" w:hAnsi="Times New Roman" w:eastAsia="宋体"/>
                <w:color w:val="auto"/>
                <w:highlight w:val="none"/>
                <w:lang w:val="en-US"/>
              </w:rPr>
              <w:t>和</w:t>
            </w:r>
            <w:r>
              <w:rPr>
                <w:rFonts w:hint="default" w:ascii="Times New Roman" w:hAnsi="Times New Roman" w:eastAsia="宋体"/>
                <w:color w:val="auto"/>
                <w:highlight w:val="none"/>
                <w:lang w:val="en-US"/>
              </w:rPr>
              <w:t>《环境保护图形标志</w:t>
            </w:r>
            <w:r>
              <w:rPr>
                <w:rFonts w:hint="eastAsia" w:ascii="Times New Roman" w:hAnsi="Times New Roman" w:eastAsia="宋体"/>
                <w:color w:val="auto"/>
                <w:highlight w:val="none"/>
                <w:lang w:val="en-US"/>
              </w:rPr>
              <w:t>——固体废物贮存（处置）场</w:t>
            </w:r>
            <w:r>
              <w:rPr>
                <w:rFonts w:hint="default" w:ascii="Times New Roman" w:hAnsi="Times New Roman" w:eastAsia="宋体"/>
                <w:color w:val="auto"/>
                <w:highlight w:val="none"/>
                <w:lang w:val="en-US"/>
              </w:rPr>
              <w:t>》（GB15562.</w:t>
            </w:r>
            <w:r>
              <w:rPr>
                <w:rFonts w:hint="eastAsia" w:ascii="Times New Roman" w:hAnsi="Times New Roman" w:eastAsia="宋体"/>
                <w:color w:val="auto"/>
                <w:highlight w:val="none"/>
                <w:lang w:val="en-US"/>
              </w:rPr>
              <w:t>2</w:t>
            </w:r>
            <w:r>
              <w:rPr>
                <w:rFonts w:hint="default" w:ascii="Times New Roman" w:hAnsi="Times New Roman" w:eastAsia="宋体"/>
                <w:color w:val="auto"/>
                <w:highlight w:val="none"/>
                <w:lang w:val="en-US"/>
              </w:rPr>
              <w:t>-1995）</w:t>
            </w:r>
            <w:r>
              <w:rPr>
                <w:rFonts w:hint="eastAsia" w:ascii="Times New Roman" w:hAnsi="Times New Roman" w:eastAsia="宋体"/>
                <w:color w:val="auto"/>
                <w:highlight w:val="none"/>
                <w:lang w:val="en-US"/>
              </w:rPr>
              <w:t>及</w:t>
            </w:r>
            <w:r>
              <w:rPr>
                <w:rFonts w:hint="default" w:ascii="Times New Roman" w:hAnsi="Times New Roman" w:eastAsia="宋体"/>
                <w:color w:val="auto"/>
                <w:highlight w:val="none"/>
                <w:lang w:val="en-US"/>
              </w:rPr>
              <w:t>其2023年修改单</w:t>
            </w:r>
            <w:r>
              <w:rPr>
                <w:rFonts w:hint="eastAsia" w:ascii="Times New Roman" w:hAnsi="Times New Roman" w:eastAsia="宋体"/>
                <w:color w:val="auto"/>
                <w:highlight w:val="none"/>
                <w:lang w:val="en-US" w:eastAsia="zh-CN"/>
              </w:rPr>
              <w:t>以及《危险废物识别标志设置技术规范》（HJ1276-2022）</w:t>
            </w:r>
            <w:r>
              <w:rPr>
                <w:rFonts w:hint="default" w:ascii="Times New Roman" w:hAnsi="Times New Roman" w:eastAsia="宋体"/>
                <w:color w:val="auto"/>
                <w:highlight w:val="none"/>
                <w:lang w:val="en-US"/>
              </w:rPr>
              <w:t>的规定，对各排污口</w:t>
            </w:r>
            <w:r>
              <w:rPr>
                <w:rFonts w:hint="eastAsia" w:ascii="Times New Roman" w:hAnsi="Times New Roman" w:eastAsia="宋体"/>
                <w:color w:val="auto"/>
                <w:highlight w:val="none"/>
                <w:lang w:val="en-US" w:eastAsia="zh-CN"/>
              </w:rPr>
              <w:t>、固废堆场</w:t>
            </w:r>
            <w:r>
              <w:rPr>
                <w:rFonts w:hint="default" w:ascii="Times New Roman" w:hAnsi="Times New Roman" w:eastAsia="宋体"/>
                <w:color w:val="auto"/>
                <w:highlight w:val="none"/>
                <w:lang w:val="en-US"/>
              </w:rPr>
              <w:t>设立相应的标志牌。</w:t>
            </w:r>
          </w:p>
          <w:p w14:paraId="0156EFD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（1）污水排放口</w:t>
            </w:r>
          </w:p>
          <w:p w14:paraId="7F3B0F8C">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企业依托</w:t>
            </w:r>
            <w:r>
              <w:rPr>
                <w:rFonts w:hint="eastAsia"/>
                <w:color w:val="auto"/>
                <w:highlight w:val="none"/>
                <w:lang w:val="en-US" w:eastAsia="zh-CN"/>
              </w:rPr>
              <w:t>租赁</w:t>
            </w:r>
            <w:r>
              <w:rPr>
                <w:rFonts w:hint="default" w:ascii="Times New Roman" w:hAnsi="Times New Roman" w:eastAsia="宋体"/>
                <w:color w:val="auto"/>
                <w:highlight w:val="none"/>
                <w:lang w:val="en-US"/>
              </w:rPr>
              <w:t>厂区现有雨水、污水排口，</w:t>
            </w:r>
            <w:r>
              <w:rPr>
                <w:rFonts w:hint="eastAsia"/>
                <w:color w:val="auto"/>
                <w:highlight w:val="none"/>
                <w:lang w:val="en-US" w:eastAsia="zh-CN"/>
              </w:rPr>
              <w:t>雨、</w:t>
            </w:r>
            <w:r>
              <w:rPr>
                <w:rFonts w:hint="default" w:ascii="Times New Roman" w:hAnsi="Times New Roman" w:eastAsia="宋体"/>
                <w:color w:val="auto"/>
                <w:highlight w:val="none"/>
                <w:lang w:val="en-US"/>
              </w:rPr>
              <w:t>污水排口附近醒目处</w:t>
            </w:r>
            <w:r>
              <w:rPr>
                <w:rFonts w:hint="eastAsia"/>
                <w:color w:val="auto"/>
                <w:highlight w:val="none"/>
                <w:lang w:val="en-US" w:eastAsia="zh-CN"/>
              </w:rPr>
              <w:t>设有</w:t>
            </w:r>
            <w:r>
              <w:rPr>
                <w:rFonts w:hint="default" w:ascii="Times New Roman" w:hAnsi="Times New Roman" w:eastAsia="宋体"/>
                <w:color w:val="auto"/>
                <w:highlight w:val="none"/>
                <w:lang w:val="en-US"/>
              </w:rPr>
              <w:t>环境保护图形标志牌。</w:t>
            </w:r>
          </w:p>
          <w:p w14:paraId="3F12F4D0">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eastAsia="zh-CN"/>
              </w:rPr>
              <w:t>（2）废气</w:t>
            </w:r>
            <w:r>
              <w:rPr>
                <w:rFonts w:hint="default" w:ascii="Times New Roman" w:hAnsi="Times New Roman" w:eastAsia="宋体"/>
                <w:color w:val="auto"/>
                <w:highlight w:val="none"/>
                <w:lang w:val="en-US"/>
              </w:rPr>
              <w:t>排放口</w:t>
            </w:r>
          </w:p>
          <w:p w14:paraId="4F122485">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本项目生产中产生的</w:t>
            </w:r>
            <w:r>
              <w:rPr>
                <w:rFonts w:hint="eastAsia"/>
                <w:color w:val="auto"/>
                <w:highlight w:val="none"/>
                <w:lang w:val="en-US" w:eastAsia="zh-CN"/>
              </w:rPr>
              <w:t>非甲烷总烃</w:t>
            </w:r>
            <w:r>
              <w:rPr>
                <w:rFonts w:hint="eastAsia" w:ascii="Times New Roman" w:hAnsi="Times New Roman" w:eastAsia="宋体"/>
                <w:color w:val="auto"/>
                <w:highlight w:val="none"/>
                <w:lang w:val="en-US" w:eastAsia="zh-CN"/>
              </w:rPr>
              <w:t>通过</w:t>
            </w:r>
            <w:r>
              <w:rPr>
                <w:rFonts w:hint="eastAsia"/>
                <w:color w:val="auto"/>
                <w:highlight w:val="none"/>
                <w:lang w:val="en-US" w:eastAsia="zh-CN"/>
              </w:rPr>
              <w:t>1</w:t>
            </w:r>
            <w:r>
              <w:rPr>
                <w:rFonts w:hint="eastAsia" w:ascii="Times New Roman" w:hAnsi="Times New Roman" w:eastAsia="宋体"/>
                <w:color w:val="auto"/>
                <w:highlight w:val="none"/>
                <w:lang w:val="en-US" w:eastAsia="zh-CN"/>
              </w:rPr>
              <w:t>根</w:t>
            </w:r>
            <w:r>
              <w:rPr>
                <w:rFonts w:hint="eastAsia"/>
                <w:color w:val="auto"/>
                <w:highlight w:val="none"/>
                <w:lang w:val="en-US" w:eastAsia="zh-CN"/>
              </w:rPr>
              <w:t>1</w:t>
            </w:r>
            <w:r>
              <w:rPr>
                <w:rFonts w:hint="eastAsia" w:ascii="Times New Roman" w:hAnsi="Times New Roman" w:eastAsia="宋体"/>
                <w:color w:val="auto"/>
                <w:highlight w:val="none"/>
                <w:lang w:val="en-US" w:eastAsia="zh-CN"/>
              </w:rPr>
              <w:t>5米高排气筒DA00</w:t>
            </w:r>
            <w:r>
              <w:rPr>
                <w:rFonts w:hint="eastAsia"/>
                <w:color w:val="auto"/>
                <w:highlight w:val="none"/>
                <w:lang w:val="en-US" w:eastAsia="zh-CN"/>
              </w:rPr>
              <w:t>1</w:t>
            </w:r>
            <w:r>
              <w:rPr>
                <w:rFonts w:hint="eastAsia" w:ascii="Times New Roman" w:hAnsi="Times New Roman" w:eastAsia="宋体"/>
                <w:color w:val="auto"/>
                <w:highlight w:val="none"/>
                <w:lang w:val="en-US" w:eastAsia="zh-CN"/>
              </w:rPr>
              <w:t>排放。</w:t>
            </w:r>
          </w:p>
          <w:p w14:paraId="619B09BB">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eastAsia="zh-CN"/>
              </w:rPr>
            </w:pPr>
            <w:r>
              <w:rPr>
                <w:rFonts w:hint="default" w:ascii="Times New Roman" w:hAnsi="Times New Roman" w:eastAsia="宋体"/>
                <w:color w:val="auto"/>
                <w:highlight w:val="none"/>
                <w:lang w:val="en-US" w:eastAsia="zh-CN"/>
              </w:rPr>
              <w:t>根据国家标准《环境保护图形标志—排放口（源）》和《排污口规范化整治要求（试行）》的技术要求，企业废气排气口，必须按照“便于计量监测、便于日常现场监督检查”的原则和规范化要求，设置与之相适应的环境保护图形标志牌。拟建项目废气排放口必须符合规定的高度和按照《污染源监测技术规范》便于采样、监测的要求，设置直径不大于75mm的采样口，如无法满足要求的，其采样口与环境监测部门共同确认。</w:t>
            </w:r>
          </w:p>
          <w:p w14:paraId="17D059E9">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w:t>
            </w:r>
            <w:r>
              <w:rPr>
                <w:rFonts w:hint="eastAsia" w:ascii="Times New Roman" w:hAnsi="Times New Roman" w:eastAsia="宋体"/>
                <w:color w:val="auto"/>
                <w:highlight w:val="none"/>
                <w:lang w:val="en-US" w:eastAsia="zh-CN"/>
              </w:rPr>
              <w:t>3</w:t>
            </w:r>
            <w:r>
              <w:rPr>
                <w:rFonts w:hint="default" w:ascii="Times New Roman" w:hAnsi="Times New Roman" w:eastAsia="宋体"/>
                <w:color w:val="auto"/>
                <w:highlight w:val="none"/>
                <w:lang w:val="en-US"/>
              </w:rPr>
              <w:t>）固定噪声排放源</w:t>
            </w:r>
          </w:p>
          <w:p w14:paraId="2F15FBD0">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按规定对固定噪声源进行治理，并在企业边界噪声敏感点且对外影响最大处设置标志牌。</w:t>
            </w:r>
          </w:p>
          <w:p w14:paraId="796A2EEE">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w:t>
            </w:r>
            <w:r>
              <w:rPr>
                <w:rFonts w:hint="eastAsia" w:ascii="Times New Roman" w:hAnsi="Times New Roman" w:eastAsia="宋体"/>
                <w:color w:val="auto"/>
                <w:highlight w:val="none"/>
                <w:lang w:val="en-US" w:eastAsia="zh-CN"/>
              </w:rPr>
              <w:t>4</w:t>
            </w:r>
            <w:r>
              <w:rPr>
                <w:rFonts w:hint="default" w:ascii="Times New Roman" w:hAnsi="Times New Roman" w:eastAsia="宋体"/>
                <w:color w:val="auto"/>
                <w:highlight w:val="none"/>
                <w:lang w:val="en-US"/>
              </w:rPr>
              <w:t>）固体废物暂存场</w:t>
            </w:r>
          </w:p>
          <w:p w14:paraId="79974E87">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本项目</w:t>
            </w:r>
            <w:r>
              <w:rPr>
                <w:rFonts w:hint="eastAsia"/>
                <w:color w:val="auto"/>
                <w:highlight w:val="none"/>
                <w:lang w:val="en-US" w:eastAsia="zh-CN"/>
              </w:rPr>
              <w:t>依托租赁厂区现有43</w:t>
            </w:r>
            <w:r>
              <w:rPr>
                <w:rFonts w:hint="eastAsia" w:ascii="Times New Roman" w:hAnsi="Times New Roman" w:eastAsia="宋体"/>
                <w:color w:val="auto"/>
                <w:highlight w:val="none"/>
                <w:lang w:val="en-US" w:eastAsia="zh-CN"/>
              </w:rPr>
              <w:t>0</w:t>
            </w:r>
            <w:r>
              <w:rPr>
                <w:rFonts w:hint="default" w:ascii="Times New Roman" w:hAnsi="Times New Roman" w:eastAsia="宋体"/>
                <w:color w:val="auto"/>
                <w:highlight w:val="none"/>
                <w:lang w:val="en-US"/>
              </w:rPr>
              <w:t>m</w:t>
            </w:r>
            <w:r>
              <w:rPr>
                <w:rFonts w:hint="default" w:ascii="Times New Roman" w:hAnsi="Times New Roman" w:eastAsia="宋体"/>
                <w:color w:val="auto"/>
                <w:highlight w:val="none"/>
                <w:vertAlign w:val="superscript"/>
                <w:lang w:val="en-US"/>
              </w:rPr>
              <w:t>2</w:t>
            </w:r>
            <w:r>
              <w:rPr>
                <w:rFonts w:hint="default" w:ascii="Times New Roman" w:hAnsi="Times New Roman" w:eastAsia="宋体"/>
                <w:color w:val="auto"/>
                <w:highlight w:val="none"/>
                <w:lang w:val="en-US"/>
              </w:rPr>
              <w:t>一般</w:t>
            </w:r>
            <w:r>
              <w:rPr>
                <w:rFonts w:hint="eastAsia" w:ascii="Times New Roman" w:hAnsi="Times New Roman" w:eastAsia="宋体"/>
                <w:color w:val="auto"/>
                <w:highlight w:val="none"/>
                <w:lang w:val="en-US"/>
              </w:rPr>
              <w:t>工业</w:t>
            </w:r>
            <w:r>
              <w:rPr>
                <w:rFonts w:hint="default" w:ascii="Times New Roman" w:hAnsi="Times New Roman" w:eastAsia="宋体"/>
                <w:color w:val="auto"/>
                <w:highlight w:val="none"/>
                <w:lang w:val="en-US"/>
              </w:rPr>
              <w:t>固废</w:t>
            </w:r>
            <w:r>
              <w:rPr>
                <w:rFonts w:hint="eastAsia" w:ascii="Times New Roman" w:hAnsi="Times New Roman" w:eastAsia="宋体"/>
                <w:color w:val="auto"/>
                <w:highlight w:val="none"/>
                <w:lang w:val="en-US"/>
              </w:rPr>
              <w:t>仓库</w:t>
            </w:r>
            <w:r>
              <w:rPr>
                <w:rFonts w:hint="eastAsia"/>
                <w:color w:val="auto"/>
                <w:highlight w:val="none"/>
                <w:lang w:val="en-US" w:eastAsia="zh-CN"/>
              </w:rPr>
              <w:t>和30</w:t>
            </w:r>
            <w:r>
              <w:rPr>
                <w:rFonts w:hint="default" w:ascii="Times New Roman" w:hAnsi="Times New Roman" w:eastAsia="宋体"/>
                <w:color w:val="auto"/>
                <w:highlight w:val="none"/>
                <w:lang w:val="en-US"/>
              </w:rPr>
              <w:t>m</w:t>
            </w:r>
            <w:r>
              <w:rPr>
                <w:rFonts w:hint="default" w:ascii="Times New Roman" w:hAnsi="Times New Roman" w:eastAsia="宋体"/>
                <w:color w:val="auto"/>
                <w:highlight w:val="none"/>
                <w:vertAlign w:val="superscript"/>
                <w:lang w:val="en-US"/>
              </w:rPr>
              <w:t>2</w:t>
            </w:r>
            <w:r>
              <w:rPr>
                <w:rFonts w:hint="default" w:ascii="Times New Roman" w:hAnsi="Times New Roman" w:eastAsia="宋体"/>
                <w:color w:val="auto"/>
                <w:highlight w:val="none"/>
                <w:lang w:val="en-US"/>
              </w:rPr>
              <w:t>危废</w:t>
            </w:r>
            <w:r>
              <w:rPr>
                <w:rFonts w:hint="eastAsia"/>
                <w:color w:val="auto"/>
                <w:highlight w:val="none"/>
                <w:lang w:val="en-US" w:eastAsia="zh-CN"/>
              </w:rPr>
              <w:t>仓库</w:t>
            </w:r>
            <w:r>
              <w:rPr>
                <w:rFonts w:hint="default" w:ascii="Times New Roman" w:hAnsi="Times New Roman" w:eastAsia="宋体"/>
                <w:color w:val="auto"/>
                <w:highlight w:val="none"/>
                <w:lang w:val="en-US"/>
              </w:rPr>
              <w:t>，</w:t>
            </w:r>
            <w:r>
              <w:rPr>
                <w:rFonts w:hint="eastAsia"/>
                <w:color w:val="auto"/>
                <w:highlight w:val="none"/>
                <w:lang w:val="en-US" w:eastAsia="zh-CN"/>
              </w:rPr>
              <w:t>均具有</w:t>
            </w:r>
            <w:r>
              <w:rPr>
                <w:rFonts w:hint="default" w:ascii="Times New Roman" w:hAnsi="Times New Roman" w:eastAsia="宋体"/>
                <w:color w:val="auto"/>
                <w:highlight w:val="none"/>
                <w:lang w:val="en-US"/>
              </w:rPr>
              <w:t>防扬散、防流失、防渗漏等措施。</w:t>
            </w:r>
          </w:p>
          <w:p w14:paraId="3CAC8ACD">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（4）设置标志牌要求</w:t>
            </w:r>
          </w:p>
          <w:p w14:paraId="45AAC3B8">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按照《关于规范市直管企业排污口环保图形标志的通知》（宁环办〔2014〕224号）的规定，在各排污口设立相应的环境保护图形标志牌。</w:t>
            </w:r>
          </w:p>
          <w:p w14:paraId="4255BAC1">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本项目实施后</w:t>
            </w:r>
            <w:r>
              <w:rPr>
                <w:rFonts w:hint="eastAsia"/>
                <w:color w:val="auto"/>
                <w:highlight w:val="none"/>
                <w:lang w:val="en-US" w:eastAsia="zh-CN"/>
              </w:rPr>
              <w:t>建设单位</w:t>
            </w:r>
            <w:r>
              <w:rPr>
                <w:rFonts w:hint="eastAsia" w:ascii="Times New Roman" w:hAnsi="Times New Roman" w:eastAsia="宋体"/>
                <w:color w:val="auto"/>
                <w:highlight w:val="none"/>
                <w:lang w:val="en-US"/>
              </w:rPr>
              <w:t>排污口情况见下表：</w:t>
            </w:r>
          </w:p>
          <w:p w14:paraId="6DEA679C">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ascii="Times New Roman" w:hAnsi="Times New Roman" w:eastAsia="宋体"/>
                <w:color w:val="auto"/>
                <w:highlight w:val="none"/>
              </w:rPr>
              <w:t>表4-</w:t>
            </w:r>
            <w:r>
              <w:rPr>
                <w:rFonts w:hint="eastAsia" w:ascii="Times New Roman" w:hAnsi="Times New Roman" w:eastAsia="宋体"/>
                <w:color w:val="auto"/>
                <w:highlight w:val="none"/>
                <w:lang w:val="en-US" w:eastAsia="zh-CN"/>
              </w:rPr>
              <w:t>3</w:t>
            </w:r>
            <w:r>
              <w:rPr>
                <w:rFonts w:hint="eastAsia"/>
                <w:color w:val="auto"/>
                <w:highlight w:val="none"/>
                <w:lang w:val="en-US" w:eastAsia="zh-CN"/>
              </w:rPr>
              <w:t>4</w:t>
            </w:r>
            <w:r>
              <w:rPr>
                <w:rFonts w:hint="default" w:ascii="Times New Roman" w:hAnsi="Times New Roman" w:eastAsia="宋体"/>
                <w:color w:val="auto"/>
                <w:highlight w:val="none"/>
              </w:rPr>
              <w:t>本</w:t>
            </w:r>
            <w:r>
              <w:rPr>
                <w:rFonts w:ascii="Times New Roman" w:hAnsi="Times New Roman" w:eastAsia="宋体"/>
                <w:color w:val="auto"/>
                <w:highlight w:val="none"/>
              </w:rPr>
              <w:t>项目</w:t>
            </w:r>
            <w:r>
              <w:rPr>
                <w:rFonts w:hint="default" w:ascii="Times New Roman" w:hAnsi="Times New Roman" w:eastAsia="宋体"/>
                <w:color w:val="auto"/>
                <w:highlight w:val="none"/>
              </w:rPr>
              <w:t>排污口设置一览表</w:t>
            </w:r>
          </w:p>
          <w:tbl>
            <w:tblPr>
              <w:tblStyle w:val="16"/>
              <w:tblW w:w="7813"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535"/>
              <w:gridCol w:w="2102"/>
              <w:gridCol w:w="1629"/>
              <w:gridCol w:w="563"/>
              <w:gridCol w:w="2156"/>
              <w:gridCol w:w="828"/>
            </w:tblGrid>
            <w:tr w14:paraId="4D80204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35" w:type="dxa"/>
                  <w:tcBorders>
                    <w:tl2br w:val="nil"/>
                    <w:tr2bl w:val="nil"/>
                  </w:tcBorders>
                  <w:vAlign w:val="center"/>
                </w:tcPr>
                <w:p w14:paraId="5495C248">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序号</w:t>
                  </w:r>
                </w:p>
              </w:tc>
              <w:tc>
                <w:tcPr>
                  <w:tcW w:w="2102" w:type="dxa"/>
                  <w:tcBorders>
                    <w:tl2br w:val="nil"/>
                    <w:tr2bl w:val="nil"/>
                  </w:tcBorders>
                  <w:vAlign w:val="center"/>
                </w:tcPr>
                <w:p w14:paraId="104B32AE">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名称</w:t>
                  </w:r>
                </w:p>
              </w:tc>
              <w:tc>
                <w:tcPr>
                  <w:tcW w:w="1629" w:type="dxa"/>
                  <w:tcBorders>
                    <w:tl2br w:val="nil"/>
                    <w:tr2bl w:val="nil"/>
                  </w:tcBorders>
                  <w:vAlign w:val="center"/>
                </w:tcPr>
                <w:p w14:paraId="2FE3ED9E">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具体位置</w:t>
                  </w:r>
                </w:p>
              </w:tc>
              <w:tc>
                <w:tcPr>
                  <w:tcW w:w="563" w:type="dxa"/>
                  <w:tcBorders>
                    <w:tl2br w:val="nil"/>
                    <w:tr2bl w:val="nil"/>
                  </w:tcBorders>
                  <w:vAlign w:val="center"/>
                </w:tcPr>
                <w:p w14:paraId="561F86E9">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数量</w:t>
                  </w:r>
                </w:p>
              </w:tc>
              <w:tc>
                <w:tcPr>
                  <w:tcW w:w="2156" w:type="dxa"/>
                  <w:tcBorders>
                    <w:tl2br w:val="nil"/>
                    <w:tr2bl w:val="nil"/>
                  </w:tcBorders>
                  <w:vAlign w:val="center"/>
                </w:tcPr>
                <w:p w14:paraId="1287818C">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排放因子</w:t>
                  </w:r>
                </w:p>
              </w:tc>
              <w:tc>
                <w:tcPr>
                  <w:tcW w:w="828" w:type="dxa"/>
                  <w:tcBorders>
                    <w:tl2br w:val="nil"/>
                    <w:tr2bl w:val="nil"/>
                  </w:tcBorders>
                  <w:vAlign w:val="center"/>
                </w:tcPr>
                <w:p w14:paraId="738196B9">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备注</w:t>
                  </w:r>
                </w:p>
              </w:tc>
            </w:tr>
            <w:tr w14:paraId="284EC6F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35" w:type="dxa"/>
                  <w:tcBorders>
                    <w:tl2br w:val="nil"/>
                    <w:tr2bl w:val="nil"/>
                  </w:tcBorders>
                  <w:vAlign w:val="center"/>
                </w:tcPr>
                <w:p w14:paraId="476250E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1</w:t>
                  </w:r>
                </w:p>
              </w:tc>
              <w:tc>
                <w:tcPr>
                  <w:tcW w:w="2102" w:type="dxa"/>
                  <w:tcBorders>
                    <w:tl2br w:val="nil"/>
                    <w:tr2bl w:val="nil"/>
                  </w:tcBorders>
                  <w:vAlign w:val="center"/>
                </w:tcPr>
                <w:p w14:paraId="21C782D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color w:val="auto"/>
                      <w:highlight w:val="none"/>
                      <w:lang w:val="en-US" w:eastAsia="zh-CN"/>
                    </w:rPr>
                    <w:t>租赁</w:t>
                  </w:r>
                  <w:r>
                    <w:rPr>
                      <w:rFonts w:hint="default" w:ascii="Times New Roman" w:hAnsi="Times New Roman" w:eastAsia="宋体"/>
                      <w:color w:val="auto"/>
                      <w:highlight w:val="none"/>
                    </w:rPr>
                    <w:t>厂区</w:t>
                  </w:r>
                  <w:r>
                    <w:rPr>
                      <w:rFonts w:hint="eastAsia" w:ascii="Times New Roman" w:hAnsi="Times New Roman" w:eastAsia="宋体"/>
                      <w:color w:val="auto"/>
                      <w:highlight w:val="none"/>
                    </w:rPr>
                    <w:t>废水</w:t>
                  </w:r>
                  <w:r>
                    <w:rPr>
                      <w:rFonts w:hint="default" w:ascii="Times New Roman" w:hAnsi="Times New Roman" w:eastAsia="宋体"/>
                      <w:color w:val="auto"/>
                      <w:highlight w:val="none"/>
                    </w:rPr>
                    <w:t>总排口</w:t>
                  </w:r>
                </w:p>
              </w:tc>
              <w:tc>
                <w:tcPr>
                  <w:tcW w:w="1629" w:type="dxa"/>
                  <w:tcBorders>
                    <w:tl2br w:val="nil"/>
                    <w:tr2bl w:val="nil"/>
                  </w:tcBorders>
                  <w:vAlign w:val="center"/>
                </w:tcPr>
                <w:p w14:paraId="7DF35DC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厂区</w:t>
                  </w:r>
                  <w:r>
                    <w:rPr>
                      <w:rFonts w:hint="eastAsia"/>
                      <w:color w:val="auto"/>
                      <w:highlight w:val="none"/>
                      <w:lang w:val="en-US" w:eastAsia="zh-CN"/>
                    </w:rPr>
                    <w:t>北</w:t>
                  </w:r>
                  <w:r>
                    <w:rPr>
                      <w:rFonts w:hint="eastAsia" w:ascii="Times New Roman" w:hAnsi="Times New Roman" w:eastAsia="宋体"/>
                      <w:color w:val="auto"/>
                      <w:highlight w:val="none"/>
                      <w:lang w:val="en-US" w:eastAsia="zh-CN"/>
                    </w:rPr>
                    <w:t>侧</w:t>
                  </w:r>
                </w:p>
              </w:tc>
              <w:tc>
                <w:tcPr>
                  <w:tcW w:w="563" w:type="dxa"/>
                  <w:tcBorders>
                    <w:tl2br w:val="nil"/>
                    <w:tr2bl w:val="nil"/>
                  </w:tcBorders>
                  <w:vAlign w:val="center"/>
                </w:tcPr>
                <w:p w14:paraId="7C6175C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1个</w:t>
                  </w:r>
                </w:p>
              </w:tc>
              <w:tc>
                <w:tcPr>
                  <w:tcW w:w="2156" w:type="dxa"/>
                  <w:tcBorders>
                    <w:tl2br w:val="nil"/>
                    <w:tr2bl w:val="nil"/>
                  </w:tcBorders>
                  <w:vAlign w:val="center"/>
                </w:tcPr>
                <w:p w14:paraId="41F149D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rPr>
                    <w:t>pH、</w:t>
                  </w:r>
                  <w:r>
                    <w:rPr>
                      <w:rFonts w:hint="eastAsia"/>
                      <w:color w:val="auto"/>
                      <w:highlight w:val="none"/>
                      <w:lang w:val="en-US" w:eastAsia="zh-CN"/>
                    </w:rPr>
                    <w:t>BOD</w:t>
                  </w:r>
                  <w:r>
                    <w:rPr>
                      <w:rFonts w:hint="eastAsia"/>
                      <w:color w:val="auto"/>
                      <w:highlight w:val="none"/>
                      <w:vertAlign w:val="subscript"/>
                      <w:lang w:val="en-US" w:eastAsia="zh-CN"/>
                    </w:rPr>
                    <w:t>5</w:t>
                  </w:r>
                  <w:r>
                    <w:rPr>
                      <w:rFonts w:hint="eastAsia"/>
                      <w:color w:val="auto"/>
                      <w:highlight w:val="none"/>
                      <w:vertAlign w:val="baseline"/>
                      <w:lang w:val="en-US" w:eastAsia="zh-CN"/>
                    </w:rPr>
                    <w:t>、</w:t>
                  </w:r>
                  <w:r>
                    <w:rPr>
                      <w:rFonts w:hint="default" w:ascii="Times New Roman" w:hAnsi="Times New Roman" w:eastAsia="宋体"/>
                      <w:color w:val="auto"/>
                      <w:highlight w:val="none"/>
                    </w:rPr>
                    <w:t>COD、SS、</w:t>
                  </w:r>
                  <w:r>
                    <w:rPr>
                      <w:rFonts w:hint="eastAsia" w:ascii="Times New Roman" w:hAnsi="Times New Roman" w:eastAsia="宋体"/>
                      <w:color w:val="auto"/>
                      <w:highlight w:val="none"/>
                      <w:lang w:val="en-US"/>
                    </w:rPr>
                    <w:t>氨氮</w:t>
                  </w:r>
                  <w:r>
                    <w:rPr>
                      <w:rFonts w:hint="default" w:ascii="Times New Roman" w:hAnsi="Times New Roman" w:eastAsia="宋体"/>
                      <w:color w:val="auto"/>
                      <w:highlight w:val="none"/>
                    </w:rPr>
                    <w:t>、TP</w:t>
                  </w:r>
                  <w:r>
                    <w:rPr>
                      <w:rFonts w:hint="eastAsia" w:ascii="Times New Roman" w:hAnsi="Times New Roman" w:eastAsia="宋体"/>
                      <w:color w:val="auto"/>
                      <w:highlight w:val="none"/>
                    </w:rPr>
                    <w:t>、</w:t>
                  </w:r>
                  <w:r>
                    <w:rPr>
                      <w:rFonts w:hint="eastAsia" w:ascii="Times New Roman" w:hAnsi="Times New Roman" w:eastAsia="宋体"/>
                      <w:color w:val="auto"/>
                      <w:highlight w:val="none"/>
                      <w:lang w:val="en-US"/>
                    </w:rPr>
                    <w:t>TN</w:t>
                  </w:r>
                  <w:r>
                    <w:rPr>
                      <w:rFonts w:hint="eastAsia" w:ascii="Times New Roman" w:hAnsi="Times New Roman" w:eastAsia="宋体"/>
                      <w:color w:val="auto"/>
                      <w:highlight w:val="none"/>
                      <w:lang w:val="en-US" w:eastAsia="zh-CN"/>
                    </w:rPr>
                    <w:t>、动植物油</w:t>
                  </w:r>
                </w:p>
              </w:tc>
              <w:tc>
                <w:tcPr>
                  <w:tcW w:w="828" w:type="dxa"/>
                  <w:tcBorders>
                    <w:tl2br w:val="nil"/>
                    <w:tr2bl w:val="nil"/>
                  </w:tcBorders>
                  <w:vAlign w:val="center"/>
                </w:tcPr>
                <w:p w14:paraId="60AB57A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现有</w:t>
                  </w:r>
                </w:p>
              </w:tc>
            </w:tr>
            <w:tr w14:paraId="716645D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35" w:type="dxa"/>
                  <w:tcBorders>
                    <w:tl2br w:val="nil"/>
                    <w:tr2bl w:val="nil"/>
                  </w:tcBorders>
                  <w:vAlign w:val="center"/>
                </w:tcPr>
                <w:p w14:paraId="38E368D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2</w:t>
                  </w:r>
                </w:p>
              </w:tc>
              <w:tc>
                <w:tcPr>
                  <w:tcW w:w="2102" w:type="dxa"/>
                  <w:tcBorders>
                    <w:tl2br w:val="nil"/>
                    <w:tr2bl w:val="nil"/>
                  </w:tcBorders>
                  <w:shd w:val="clear" w:color="auto" w:fill="auto"/>
                  <w:vAlign w:val="center"/>
                </w:tcPr>
                <w:p w14:paraId="38EF6FEA">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DA00</w:t>
                  </w:r>
                  <w:r>
                    <w:rPr>
                      <w:rFonts w:hint="eastAsia"/>
                      <w:color w:val="auto"/>
                      <w:highlight w:val="none"/>
                      <w:lang w:val="en-US" w:eastAsia="zh-CN"/>
                    </w:rPr>
                    <w:t>1</w:t>
                  </w:r>
                  <w:r>
                    <w:rPr>
                      <w:rFonts w:hint="eastAsia" w:ascii="Times New Roman" w:hAnsi="Times New Roman" w:eastAsia="宋体"/>
                      <w:color w:val="auto"/>
                      <w:highlight w:val="none"/>
                      <w:lang w:val="en-US" w:eastAsia="zh-CN"/>
                    </w:rPr>
                    <w:t>排气筒</w:t>
                  </w:r>
                </w:p>
              </w:tc>
              <w:tc>
                <w:tcPr>
                  <w:tcW w:w="1629" w:type="dxa"/>
                  <w:tcBorders>
                    <w:tl2br w:val="nil"/>
                    <w:tr2bl w:val="nil"/>
                  </w:tcBorders>
                  <w:shd w:val="clear" w:color="auto" w:fill="auto"/>
                  <w:vAlign w:val="center"/>
                </w:tcPr>
                <w:p w14:paraId="17D4B52B">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1#厂房北侧</w:t>
                  </w:r>
                </w:p>
              </w:tc>
              <w:tc>
                <w:tcPr>
                  <w:tcW w:w="563" w:type="dxa"/>
                  <w:tcBorders>
                    <w:tl2br w:val="nil"/>
                    <w:tr2bl w:val="nil"/>
                  </w:tcBorders>
                  <w:vAlign w:val="center"/>
                </w:tcPr>
                <w:p w14:paraId="66824827">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eastAsia="zh-CN"/>
                    </w:rPr>
                  </w:pPr>
                  <w:r>
                    <w:rPr>
                      <w:rFonts w:hint="default" w:ascii="Times New Roman" w:hAnsi="Times New Roman" w:eastAsia="宋体"/>
                      <w:color w:val="auto"/>
                      <w:highlight w:val="none"/>
                    </w:rPr>
                    <w:t>1</w:t>
                  </w:r>
                  <w:r>
                    <w:rPr>
                      <w:rFonts w:hint="eastAsia"/>
                      <w:color w:val="auto"/>
                      <w:highlight w:val="none"/>
                      <w:lang w:val="en-US" w:eastAsia="zh-CN"/>
                    </w:rPr>
                    <w:t>根</w:t>
                  </w:r>
                </w:p>
              </w:tc>
              <w:tc>
                <w:tcPr>
                  <w:tcW w:w="2156" w:type="dxa"/>
                  <w:tcBorders>
                    <w:tl2br w:val="nil"/>
                    <w:tr2bl w:val="nil"/>
                  </w:tcBorders>
                  <w:vAlign w:val="center"/>
                </w:tcPr>
                <w:p w14:paraId="598701E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color w:val="auto"/>
                      <w:highlight w:val="none"/>
                      <w:lang w:val="en-US" w:eastAsia="zh-CN"/>
                    </w:rPr>
                    <w:t>非甲烷总烃、乙醛</w:t>
                  </w:r>
                </w:p>
              </w:tc>
              <w:tc>
                <w:tcPr>
                  <w:tcW w:w="828" w:type="dxa"/>
                  <w:tcBorders>
                    <w:tl2br w:val="nil"/>
                    <w:tr2bl w:val="nil"/>
                  </w:tcBorders>
                  <w:vAlign w:val="center"/>
                </w:tcPr>
                <w:p w14:paraId="443536E4">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eastAsia="zh-CN"/>
                    </w:rPr>
                  </w:pPr>
                  <w:r>
                    <w:rPr>
                      <w:rFonts w:hint="eastAsia"/>
                      <w:color w:val="auto"/>
                      <w:highlight w:val="none"/>
                      <w:lang w:val="en-US" w:eastAsia="zh-CN"/>
                    </w:rPr>
                    <w:t>新增</w:t>
                  </w:r>
                </w:p>
              </w:tc>
            </w:tr>
          </w:tbl>
          <w:p w14:paraId="713399AA">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rPr>
            </w:pPr>
            <w:r>
              <w:rPr>
                <w:rFonts w:hint="eastAsia"/>
                <w:color w:val="auto"/>
                <w:highlight w:val="none"/>
                <w:lang w:val="en-US" w:eastAsia="zh-CN"/>
              </w:rPr>
              <w:t>项目所在厂区</w:t>
            </w:r>
            <w:r>
              <w:rPr>
                <w:rFonts w:hint="eastAsia" w:ascii="Times New Roman" w:hAnsi="Times New Roman" w:eastAsia="宋体"/>
                <w:color w:val="auto"/>
                <w:highlight w:val="none"/>
                <w:lang w:val="en-US"/>
              </w:rPr>
              <w:t>固体废物贮存</w:t>
            </w:r>
            <w:r>
              <w:rPr>
                <w:rFonts w:hint="eastAsia" w:ascii="Times New Roman" w:hAnsi="Times New Roman"/>
                <w:color w:val="auto"/>
                <w:highlight w:val="none"/>
                <w:lang w:val="en-US" w:eastAsia="zh-CN"/>
              </w:rPr>
              <w:t>场所、雨污水排放口已设置</w:t>
            </w:r>
            <w:r>
              <w:rPr>
                <w:rFonts w:hint="eastAsia" w:ascii="Times New Roman" w:hAnsi="Times New Roman" w:eastAsia="宋体"/>
                <w:color w:val="auto"/>
                <w:highlight w:val="none"/>
                <w:lang w:val="en-US"/>
              </w:rPr>
              <w:t>环境保护图形标志</w:t>
            </w:r>
            <w:r>
              <w:rPr>
                <w:rFonts w:hint="eastAsia"/>
                <w:color w:val="auto"/>
                <w:highlight w:val="none"/>
                <w:lang w:val="en-US" w:eastAsia="zh-CN"/>
              </w:rPr>
              <w:t>，本项目</w:t>
            </w:r>
            <w:r>
              <w:rPr>
                <w:rFonts w:hint="eastAsia" w:ascii="Times New Roman" w:hAnsi="Times New Roman" w:eastAsia="宋体"/>
                <w:color w:val="auto"/>
                <w:highlight w:val="none"/>
                <w:lang w:val="en-US"/>
              </w:rPr>
              <w:t>噪声</w:t>
            </w:r>
            <w:r>
              <w:rPr>
                <w:rFonts w:hint="eastAsia"/>
                <w:color w:val="auto"/>
                <w:highlight w:val="none"/>
                <w:lang w:val="en-US" w:eastAsia="zh-CN"/>
              </w:rPr>
              <w:t>等</w:t>
            </w:r>
            <w:r>
              <w:rPr>
                <w:rFonts w:hint="eastAsia" w:ascii="Times New Roman" w:hAnsi="Times New Roman" w:eastAsia="宋体"/>
                <w:color w:val="auto"/>
                <w:highlight w:val="none"/>
                <w:lang w:val="en-US"/>
              </w:rPr>
              <w:t>排放源应设置环境保护图形标志，图形符号分为提示图形和警告图形符号两种。环境保护图形标志的形状、颜色要求及图形符号见下表：</w:t>
            </w:r>
          </w:p>
          <w:p w14:paraId="639B07D7">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ascii="Times New Roman" w:hAnsi="Times New Roman" w:eastAsia="宋体"/>
                <w:color w:val="auto"/>
                <w:highlight w:val="none"/>
              </w:rPr>
              <w:t>表4-</w:t>
            </w:r>
            <w:r>
              <w:rPr>
                <w:rFonts w:hint="eastAsia" w:ascii="Times New Roman" w:hAnsi="Times New Roman" w:eastAsia="宋体"/>
                <w:color w:val="auto"/>
                <w:highlight w:val="none"/>
                <w:lang w:val="en-US" w:eastAsia="zh-CN"/>
              </w:rPr>
              <w:t>3</w:t>
            </w:r>
            <w:r>
              <w:rPr>
                <w:rFonts w:hint="eastAsia"/>
                <w:color w:val="auto"/>
                <w:highlight w:val="none"/>
                <w:lang w:val="en-US" w:eastAsia="zh-CN"/>
              </w:rPr>
              <w:t>5</w:t>
            </w:r>
            <w:r>
              <w:rPr>
                <w:rFonts w:hint="default" w:ascii="Times New Roman" w:hAnsi="Times New Roman" w:eastAsia="宋体"/>
                <w:color w:val="auto"/>
                <w:highlight w:val="none"/>
              </w:rPr>
              <w:t>环境保护图形符号一览表</w:t>
            </w:r>
          </w:p>
          <w:tbl>
            <w:tblPr>
              <w:tblStyle w:val="1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039"/>
              <w:gridCol w:w="805"/>
              <w:gridCol w:w="919"/>
              <w:gridCol w:w="804"/>
              <w:gridCol w:w="804"/>
              <w:gridCol w:w="3448"/>
            </w:tblGrid>
            <w:tr w14:paraId="657525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64" w:type="pct"/>
                  <w:tcBorders>
                    <w:tl2br w:val="nil"/>
                    <w:tr2bl w:val="nil"/>
                  </w:tcBorders>
                  <w:vAlign w:val="center"/>
                </w:tcPr>
                <w:p w14:paraId="4D88B153">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bookmarkStart w:id="3" w:name="_Hlk47916188"/>
                  <w:r>
                    <w:rPr>
                      <w:rFonts w:hint="eastAsia" w:ascii="Times New Roman" w:hAnsi="Times New Roman" w:eastAsia="宋体"/>
                      <w:b/>
                      <w:bCs/>
                      <w:color w:val="auto"/>
                      <w:highlight w:val="none"/>
                      <w:lang w:val="en-US"/>
                    </w:rPr>
                    <w:t>污染源</w:t>
                  </w:r>
                </w:p>
              </w:tc>
              <w:tc>
                <w:tcPr>
                  <w:tcW w:w="514" w:type="pct"/>
                  <w:tcBorders>
                    <w:tl2br w:val="nil"/>
                    <w:tr2bl w:val="nil"/>
                  </w:tcBorders>
                  <w:vAlign w:val="center"/>
                </w:tcPr>
                <w:p w14:paraId="10079E6A">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default" w:ascii="Times New Roman" w:hAnsi="Times New Roman" w:eastAsia="宋体"/>
                      <w:b/>
                      <w:bCs/>
                      <w:color w:val="auto"/>
                      <w:highlight w:val="none"/>
                    </w:rPr>
                    <w:t>图形标志</w:t>
                  </w:r>
                  <w:r>
                    <w:rPr>
                      <w:rFonts w:hint="eastAsia" w:ascii="Times New Roman" w:hAnsi="Times New Roman" w:eastAsia="宋体"/>
                      <w:b/>
                      <w:bCs/>
                      <w:color w:val="auto"/>
                      <w:highlight w:val="none"/>
                      <w:lang w:val="en-US"/>
                    </w:rPr>
                    <w:t>类型</w:t>
                  </w:r>
                </w:p>
              </w:tc>
              <w:tc>
                <w:tcPr>
                  <w:tcW w:w="587" w:type="pct"/>
                  <w:tcBorders>
                    <w:tl2br w:val="nil"/>
                    <w:tr2bl w:val="nil"/>
                  </w:tcBorders>
                  <w:vAlign w:val="center"/>
                </w:tcPr>
                <w:p w14:paraId="0F54F325">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形状</w:t>
                  </w:r>
                </w:p>
              </w:tc>
              <w:tc>
                <w:tcPr>
                  <w:tcW w:w="514" w:type="pct"/>
                  <w:tcBorders>
                    <w:tl2br w:val="nil"/>
                    <w:tr2bl w:val="nil"/>
                  </w:tcBorders>
                  <w:vAlign w:val="center"/>
                </w:tcPr>
                <w:p w14:paraId="4900937B">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背景颜色</w:t>
                  </w:r>
                </w:p>
              </w:tc>
              <w:tc>
                <w:tcPr>
                  <w:tcW w:w="514" w:type="pct"/>
                  <w:tcBorders>
                    <w:tl2br w:val="nil"/>
                    <w:tr2bl w:val="nil"/>
                  </w:tcBorders>
                  <w:vAlign w:val="center"/>
                </w:tcPr>
                <w:p w14:paraId="3626A2A3">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图形颜色</w:t>
                  </w:r>
                </w:p>
              </w:tc>
              <w:tc>
                <w:tcPr>
                  <w:tcW w:w="2204" w:type="pct"/>
                  <w:tcBorders>
                    <w:tl2br w:val="nil"/>
                    <w:tr2bl w:val="nil"/>
                  </w:tcBorders>
                  <w:vAlign w:val="center"/>
                </w:tcPr>
                <w:p w14:paraId="033A0F9A">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提示图形符号</w:t>
                  </w:r>
                </w:p>
              </w:tc>
            </w:tr>
            <w:tr w14:paraId="577073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64" w:type="pct"/>
                  <w:vMerge w:val="restart"/>
                  <w:tcBorders>
                    <w:tl2br w:val="nil"/>
                    <w:tr2bl w:val="nil"/>
                  </w:tcBorders>
                  <w:vAlign w:val="center"/>
                </w:tcPr>
                <w:p w14:paraId="5A3B765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污水排放源</w:t>
                  </w:r>
                </w:p>
              </w:tc>
              <w:tc>
                <w:tcPr>
                  <w:tcW w:w="514" w:type="pct"/>
                  <w:tcBorders>
                    <w:tl2br w:val="nil"/>
                    <w:tr2bl w:val="nil"/>
                  </w:tcBorders>
                  <w:vAlign w:val="center"/>
                </w:tcPr>
                <w:p w14:paraId="3637E8A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提示标志</w:t>
                  </w:r>
                </w:p>
              </w:tc>
              <w:tc>
                <w:tcPr>
                  <w:tcW w:w="587" w:type="pct"/>
                  <w:tcBorders>
                    <w:tl2br w:val="nil"/>
                    <w:tr2bl w:val="nil"/>
                  </w:tcBorders>
                  <w:vAlign w:val="center"/>
                </w:tcPr>
                <w:p w14:paraId="19E4607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正方形边框</w:t>
                  </w:r>
                </w:p>
              </w:tc>
              <w:tc>
                <w:tcPr>
                  <w:tcW w:w="514" w:type="pct"/>
                  <w:tcBorders>
                    <w:tl2br w:val="nil"/>
                    <w:tr2bl w:val="nil"/>
                  </w:tcBorders>
                  <w:vAlign w:val="center"/>
                </w:tcPr>
                <w:p w14:paraId="6954EE3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绿色</w:t>
                  </w:r>
                </w:p>
              </w:tc>
              <w:tc>
                <w:tcPr>
                  <w:tcW w:w="514" w:type="pct"/>
                  <w:tcBorders>
                    <w:tl2br w:val="nil"/>
                    <w:tr2bl w:val="nil"/>
                  </w:tcBorders>
                  <w:vAlign w:val="center"/>
                </w:tcPr>
                <w:p w14:paraId="7A42ECD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白色</w:t>
                  </w:r>
                </w:p>
              </w:tc>
              <w:tc>
                <w:tcPr>
                  <w:tcW w:w="2204" w:type="pct"/>
                  <w:tcBorders>
                    <w:tl2br w:val="nil"/>
                    <w:tr2bl w:val="nil"/>
                  </w:tcBorders>
                  <w:vAlign w:val="center"/>
                </w:tcPr>
                <w:p w14:paraId="748618C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drawing>
                      <wp:inline distT="0" distB="0" distL="114300" distR="114300">
                        <wp:extent cx="2033905" cy="2004060"/>
                        <wp:effectExtent l="0" t="0" r="4445" b="15240"/>
                        <wp:docPr id="44"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06"/>
                                <pic:cNvPicPr>
                                  <a:picLocks noChangeAspect="1"/>
                                </pic:cNvPicPr>
                              </pic:nvPicPr>
                              <pic:blipFill>
                                <a:blip r:embed="rId34"/>
                                <a:stretch>
                                  <a:fillRect/>
                                </a:stretch>
                              </pic:blipFill>
                              <pic:spPr>
                                <a:xfrm>
                                  <a:off x="0" y="0"/>
                                  <a:ext cx="2033905" cy="2004060"/>
                                </a:xfrm>
                                <a:prstGeom prst="rect">
                                  <a:avLst/>
                                </a:prstGeom>
                                <a:noFill/>
                                <a:ln>
                                  <a:noFill/>
                                </a:ln>
                              </pic:spPr>
                            </pic:pic>
                          </a:graphicData>
                        </a:graphic>
                      </wp:inline>
                    </w:drawing>
                  </w:r>
                </w:p>
              </w:tc>
            </w:tr>
            <w:tr w14:paraId="65C9B1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64" w:type="pct"/>
                  <w:vMerge w:val="continue"/>
                  <w:tcBorders>
                    <w:tl2br w:val="nil"/>
                    <w:tr2bl w:val="nil"/>
                  </w:tcBorders>
                  <w:vAlign w:val="center"/>
                </w:tcPr>
                <w:p w14:paraId="1015DCF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514" w:type="pct"/>
                  <w:tcBorders>
                    <w:tl2br w:val="nil"/>
                    <w:tr2bl w:val="nil"/>
                  </w:tcBorders>
                  <w:vAlign w:val="center"/>
                </w:tcPr>
                <w:p w14:paraId="31CB343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警告标志</w:t>
                  </w:r>
                </w:p>
              </w:tc>
              <w:tc>
                <w:tcPr>
                  <w:tcW w:w="587" w:type="pct"/>
                  <w:tcBorders>
                    <w:tl2br w:val="nil"/>
                    <w:tr2bl w:val="nil"/>
                  </w:tcBorders>
                  <w:vAlign w:val="center"/>
                </w:tcPr>
                <w:p w14:paraId="5B9E1FA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三角形边框</w:t>
                  </w:r>
                </w:p>
              </w:tc>
              <w:tc>
                <w:tcPr>
                  <w:tcW w:w="514" w:type="pct"/>
                  <w:tcBorders>
                    <w:tl2br w:val="nil"/>
                    <w:tr2bl w:val="nil"/>
                  </w:tcBorders>
                  <w:vAlign w:val="center"/>
                </w:tcPr>
                <w:p w14:paraId="5C3234E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黄色</w:t>
                  </w:r>
                </w:p>
              </w:tc>
              <w:tc>
                <w:tcPr>
                  <w:tcW w:w="514" w:type="pct"/>
                  <w:tcBorders>
                    <w:tl2br w:val="nil"/>
                    <w:tr2bl w:val="nil"/>
                  </w:tcBorders>
                  <w:vAlign w:val="center"/>
                </w:tcPr>
                <w:p w14:paraId="0D250BF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黑色</w:t>
                  </w:r>
                </w:p>
              </w:tc>
              <w:tc>
                <w:tcPr>
                  <w:tcW w:w="2204" w:type="pct"/>
                  <w:tcBorders>
                    <w:tl2br w:val="nil"/>
                    <w:tr2bl w:val="nil"/>
                  </w:tcBorders>
                  <w:vAlign w:val="center"/>
                </w:tcPr>
                <w:p w14:paraId="6149C2F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drawing>
                      <wp:inline distT="0" distB="0" distL="114300" distR="114300">
                        <wp:extent cx="2010410" cy="1823085"/>
                        <wp:effectExtent l="0" t="0" r="8890" b="5715"/>
                        <wp:docPr id="45"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07"/>
                                <pic:cNvPicPr>
                                  <a:picLocks noChangeAspect="1"/>
                                </pic:cNvPicPr>
                              </pic:nvPicPr>
                              <pic:blipFill>
                                <a:blip r:embed="rId35"/>
                                <a:stretch>
                                  <a:fillRect/>
                                </a:stretch>
                              </pic:blipFill>
                              <pic:spPr>
                                <a:xfrm>
                                  <a:off x="0" y="0"/>
                                  <a:ext cx="2010410" cy="1823085"/>
                                </a:xfrm>
                                <a:prstGeom prst="rect">
                                  <a:avLst/>
                                </a:prstGeom>
                                <a:noFill/>
                                <a:ln>
                                  <a:noFill/>
                                </a:ln>
                              </pic:spPr>
                            </pic:pic>
                          </a:graphicData>
                        </a:graphic>
                      </wp:inline>
                    </w:drawing>
                  </w:r>
                </w:p>
              </w:tc>
            </w:tr>
            <w:tr w14:paraId="1E2F90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64" w:type="pct"/>
                  <w:vMerge w:val="restart"/>
                  <w:tcBorders>
                    <w:tl2br w:val="nil"/>
                    <w:tr2bl w:val="nil"/>
                  </w:tcBorders>
                  <w:vAlign w:val="center"/>
                </w:tcPr>
                <w:p w14:paraId="0599734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噪声排放源</w:t>
                  </w:r>
                </w:p>
              </w:tc>
              <w:tc>
                <w:tcPr>
                  <w:tcW w:w="514" w:type="pct"/>
                  <w:tcBorders>
                    <w:tl2br w:val="nil"/>
                    <w:tr2bl w:val="nil"/>
                  </w:tcBorders>
                  <w:vAlign w:val="center"/>
                </w:tcPr>
                <w:p w14:paraId="6AE8F9F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提示标志</w:t>
                  </w:r>
                </w:p>
              </w:tc>
              <w:tc>
                <w:tcPr>
                  <w:tcW w:w="587" w:type="pct"/>
                  <w:tcBorders>
                    <w:tl2br w:val="nil"/>
                    <w:tr2bl w:val="nil"/>
                  </w:tcBorders>
                  <w:vAlign w:val="center"/>
                </w:tcPr>
                <w:p w14:paraId="06CA138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正方形边框</w:t>
                  </w:r>
                </w:p>
              </w:tc>
              <w:tc>
                <w:tcPr>
                  <w:tcW w:w="514" w:type="pct"/>
                  <w:tcBorders>
                    <w:tl2br w:val="nil"/>
                    <w:tr2bl w:val="nil"/>
                  </w:tcBorders>
                  <w:vAlign w:val="center"/>
                </w:tcPr>
                <w:p w14:paraId="115D09A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绿色</w:t>
                  </w:r>
                </w:p>
              </w:tc>
              <w:tc>
                <w:tcPr>
                  <w:tcW w:w="514" w:type="pct"/>
                  <w:tcBorders>
                    <w:tl2br w:val="nil"/>
                    <w:tr2bl w:val="nil"/>
                  </w:tcBorders>
                  <w:vAlign w:val="center"/>
                </w:tcPr>
                <w:p w14:paraId="39470D3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白色</w:t>
                  </w:r>
                </w:p>
              </w:tc>
              <w:tc>
                <w:tcPr>
                  <w:tcW w:w="2204" w:type="pct"/>
                  <w:tcBorders>
                    <w:tl2br w:val="nil"/>
                    <w:tr2bl w:val="nil"/>
                  </w:tcBorders>
                  <w:vAlign w:val="center"/>
                </w:tcPr>
                <w:p w14:paraId="75D241B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szCs w:val="21"/>
                      <w:highlight w:val="none"/>
                    </w:rPr>
                    <w:drawing>
                      <wp:inline distT="0" distB="0" distL="114300" distR="114300">
                        <wp:extent cx="1980565" cy="1980565"/>
                        <wp:effectExtent l="0" t="0" r="635" b="635"/>
                        <wp:docPr id="42" name="图片 104" descr="说明: 说明: 200602201518049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04" descr="说明: 说明: 200602201518049853"/>
                                <pic:cNvPicPr>
                                  <a:picLocks noChangeAspect="1"/>
                                </pic:cNvPicPr>
                              </pic:nvPicPr>
                              <pic:blipFill>
                                <a:blip r:embed="rId36"/>
                                <a:stretch>
                                  <a:fillRect/>
                                </a:stretch>
                              </pic:blipFill>
                              <pic:spPr>
                                <a:xfrm>
                                  <a:off x="0" y="0"/>
                                  <a:ext cx="1980565" cy="1980565"/>
                                </a:xfrm>
                                <a:prstGeom prst="rect">
                                  <a:avLst/>
                                </a:prstGeom>
                                <a:noFill/>
                                <a:ln>
                                  <a:noFill/>
                                </a:ln>
                              </pic:spPr>
                            </pic:pic>
                          </a:graphicData>
                        </a:graphic>
                      </wp:inline>
                    </w:drawing>
                  </w:r>
                </w:p>
              </w:tc>
            </w:tr>
            <w:tr w14:paraId="29B8C6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64" w:type="pct"/>
                  <w:vMerge w:val="continue"/>
                  <w:tcBorders>
                    <w:tl2br w:val="nil"/>
                    <w:tr2bl w:val="nil"/>
                  </w:tcBorders>
                  <w:vAlign w:val="center"/>
                </w:tcPr>
                <w:p w14:paraId="21D9809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514" w:type="pct"/>
                  <w:tcBorders>
                    <w:tl2br w:val="nil"/>
                    <w:tr2bl w:val="nil"/>
                  </w:tcBorders>
                  <w:vAlign w:val="center"/>
                </w:tcPr>
                <w:p w14:paraId="3026FC6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警告标志</w:t>
                  </w:r>
                </w:p>
              </w:tc>
              <w:tc>
                <w:tcPr>
                  <w:tcW w:w="587" w:type="pct"/>
                  <w:tcBorders>
                    <w:tl2br w:val="nil"/>
                    <w:tr2bl w:val="nil"/>
                  </w:tcBorders>
                  <w:vAlign w:val="center"/>
                </w:tcPr>
                <w:p w14:paraId="62AE6D5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三角形边框</w:t>
                  </w:r>
                </w:p>
              </w:tc>
              <w:tc>
                <w:tcPr>
                  <w:tcW w:w="514" w:type="pct"/>
                  <w:tcBorders>
                    <w:tl2br w:val="nil"/>
                    <w:tr2bl w:val="nil"/>
                  </w:tcBorders>
                  <w:vAlign w:val="center"/>
                </w:tcPr>
                <w:p w14:paraId="58A6501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黄色</w:t>
                  </w:r>
                </w:p>
              </w:tc>
              <w:tc>
                <w:tcPr>
                  <w:tcW w:w="514" w:type="pct"/>
                  <w:tcBorders>
                    <w:tl2br w:val="nil"/>
                    <w:tr2bl w:val="nil"/>
                  </w:tcBorders>
                  <w:vAlign w:val="center"/>
                </w:tcPr>
                <w:p w14:paraId="7F5C65B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黑色</w:t>
                  </w:r>
                </w:p>
              </w:tc>
              <w:tc>
                <w:tcPr>
                  <w:tcW w:w="2204" w:type="pct"/>
                  <w:tcBorders>
                    <w:tl2br w:val="nil"/>
                    <w:tr2bl w:val="nil"/>
                  </w:tcBorders>
                  <w:vAlign w:val="center"/>
                </w:tcPr>
                <w:p w14:paraId="16B7F18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szCs w:val="21"/>
                      <w:highlight w:val="none"/>
                    </w:rPr>
                    <w:drawing>
                      <wp:inline distT="0" distB="0" distL="114300" distR="114300">
                        <wp:extent cx="1898650" cy="1685290"/>
                        <wp:effectExtent l="0" t="0" r="6350" b="10160"/>
                        <wp:docPr id="43" name="图片 105" descr="说明: 说明: 200602201519018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05" descr="说明: 说明: 200602201519018631"/>
                                <pic:cNvPicPr>
                                  <a:picLocks noChangeAspect="1"/>
                                </pic:cNvPicPr>
                              </pic:nvPicPr>
                              <pic:blipFill>
                                <a:blip r:embed="rId37"/>
                                <a:stretch>
                                  <a:fillRect/>
                                </a:stretch>
                              </pic:blipFill>
                              <pic:spPr>
                                <a:xfrm>
                                  <a:off x="0" y="0"/>
                                  <a:ext cx="1898650" cy="1685290"/>
                                </a:xfrm>
                                <a:prstGeom prst="rect">
                                  <a:avLst/>
                                </a:prstGeom>
                                <a:noFill/>
                                <a:ln>
                                  <a:noFill/>
                                </a:ln>
                              </pic:spPr>
                            </pic:pic>
                          </a:graphicData>
                        </a:graphic>
                      </wp:inline>
                    </w:drawing>
                  </w:r>
                </w:p>
              </w:tc>
            </w:tr>
            <w:tr w14:paraId="5B1417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64" w:type="pct"/>
                  <w:vMerge w:val="restart"/>
                  <w:tcBorders>
                    <w:tl2br w:val="nil"/>
                    <w:tr2bl w:val="nil"/>
                  </w:tcBorders>
                  <w:vAlign w:val="center"/>
                </w:tcPr>
                <w:p w14:paraId="30AF26E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一般</w:t>
                  </w:r>
                  <w:r>
                    <w:rPr>
                      <w:rFonts w:hint="eastAsia" w:ascii="Times New Roman" w:hAnsi="Times New Roman" w:eastAsia="宋体"/>
                      <w:color w:val="auto"/>
                      <w:highlight w:val="none"/>
                      <w:lang w:val="en-US"/>
                    </w:rPr>
                    <w:t>工业</w:t>
                  </w:r>
                  <w:r>
                    <w:rPr>
                      <w:rFonts w:hint="default" w:ascii="Times New Roman" w:hAnsi="Times New Roman" w:eastAsia="宋体"/>
                      <w:color w:val="auto"/>
                      <w:highlight w:val="none"/>
                    </w:rPr>
                    <w:t>固废</w:t>
                  </w:r>
                  <w:r>
                    <w:rPr>
                      <w:rFonts w:hint="eastAsia" w:ascii="Times New Roman" w:hAnsi="Times New Roman" w:eastAsia="宋体"/>
                      <w:color w:val="auto"/>
                      <w:highlight w:val="none"/>
                      <w:lang w:val="en-US"/>
                    </w:rPr>
                    <w:t>仓库</w:t>
                  </w:r>
                </w:p>
              </w:tc>
              <w:tc>
                <w:tcPr>
                  <w:tcW w:w="514" w:type="pct"/>
                  <w:tcBorders>
                    <w:tl2br w:val="nil"/>
                    <w:tr2bl w:val="nil"/>
                  </w:tcBorders>
                  <w:vAlign w:val="center"/>
                </w:tcPr>
                <w:p w14:paraId="4A75090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提示标志</w:t>
                  </w:r>
                </w:p>
              </w:tc>
              <w:tc>
                <w:tcPr>
                  <w:tcW w:w="587" w:type="pct"/>
                  <w:tcBorders>
                    <w:tl2br w:val="nil"/>
                    <w:tr2bl w:val="nil"/>
                  </w:tcBorders>
                  <w:vAlign w:val="center"/>
                </w:tcPr>
                <w:p w14:paraId="06E7E42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长方形边框</w:t>
                  </w:r>
                </w:p>
              </w:tc>
              <w:tc>
                <w:tcPr>
                  <w:tcW w:w="514" w:type="pct"/>
                  <w:tcBorders>
                    <w:tl2br w:val="nil"/>
                    <w:tr2bl w:val="nil"/>
                  </w:tcBorders>
                  <w:vAlign w:val="center"/>
                </w:tcPr>
                <w:p w14:paraId="09277B4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绿色</w:t>
                  </w:r>
                </w:p>
              </w:tc>
              <w:tc>
                <w:tcPr>
                  <w:tcW w:w="514" w:type="pct"/>
                  <w:tcBorders>
                    <w:tl2br w:val="nil"/>
                    <w:tr2bl w:val="nil"/>
                  </w:tcBorders>
                  <w:vAlign w:val="center"/>
                </w:tcPr>
                <w:p w14:paraId="4AB098C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白色</w:t>
                  </w:r>
                </w:p>
              </w:tc>
              <w:tc>
                <w:tcPr>
                  <w:tcW w:w="2204" w:type="pct"/>
                  <w:tcBorders>
                    <w:tl2br w:val="nil"/>
                    <w:tr2bl w:val="nil"/>
                  </w:tcBorders>
                  <w:vAlign w:val="center"/>
                </w:tcPr>
                <w:p w14:paraId="73E2B3A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drawing>
                      <wp:inline distT="0" distB="0" distL="0" distR="0">
                        <wp:extent cx="1971675" cy="1184910"/>
                        <wp:effectExtent l="0" t="0" r="9525" b="15240"/>
                        <wp:docPr id="1572472851" name="图片 1572472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472851" name="图片 157247285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a:xfrm>
                                  <a:off x="0" y="0"/>
                                  <a:ext cx="2007047" cy="1205949"/>
                                </a:xfrm>
                                <a:prstGeom prst="rect">
                                  <a:avLst/>
                                </a:prstGeom>
                                <a:noFill/>
                                <a:ln>
                                  <a:noFill/>
                                </a:ln>
                              </pic:spPr>
                            </pic:pic>
                          </a:graphicData>
                        </a:graphic>
                      </wp:inline>
                    </w:drawing>
                  </w:r>
                </w:p>
              </w:tc>
            </w:tr>
            <w:tr w14:paraId="729869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64" w:type="pct"/>
                  <w:vMerge w:val="continue"/>
                  <w:tcBorders>
                    <w:tl2br w:val="nil"/>
                    <w:tr2bl w:val="nil"/>
                  </w:tcBorders>
                  <w:vAlign w:val="center"/>
                </w:tcPr>
                <w:p w14:paraId="2CE18AB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514" w:type="pct"/>
                  <w:tcBorders>
                    <w:tl2br w:val="nil"/>
                    <w:tr2bl w:val="nil"/>
                  </w:tcBorders>
                  <w:vAlign w:val="center"/>
                </w:tcPr>
                <w:p w14:paraId="639311E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警告标志</w:t>
                  </w:r>
                </w:p>
              </w:tc>
              <w:tc>
                <w:tcPr>
                  <w:tcW w:w="587" w:type="pct"/>
                  <w:tcBorders>
                    <w:tl2br w:val="nil"/>
                    <w:tr2bl w:val="nil"/>
                  </w:tcBorders>
                  <w:vAlign w:val="center"/>
                </w:tcPr>
                <w:p w14:paraId="1C23989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三角形边框</w:t>
                  </w:r>
                </w:p>
              </w:tc>
              <w:tc>
                <w:tcPr>
                  <w:tcW w:w="514" w:type="pct"/>
                  <w:tcBorders>
                    <w:tl2br w:val="nil"/>
                    <w:tr2bl w:val="nil"/>
                  </w:tcBorders>
                  <w:vAlign w:val="center"/>
                </w:tcPr>
                <w:p w14:paraId="1CA1135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黄色</w:t>
                  </w:r>
                </w:p>
              </w:tc>
              <w:tc>
                <w:tcPr>
                  <w:tcW w:w="514" w:type="pct"/>
                  <w:tcBorders>
                    <w:tl2br w:val="nil"/>
                    <w:tr2bl w:val="nil"/>
                  </w:tcBorders>
                  <w:vAlign w:val="center"/>
                </w:tcPr>
                <w:p w14:paraId="6A6F1B6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黑色</w:t>
                  </w:r>
                </w:p>
              </w:tc>
              <w:tc>
                <w:tcPr>
                  <w:tcW w:w="2204" w:type="pct"/>
                  <w:tcBorders>
                    <w:tl2br w:val="nil"/>
                    <w:tr2bl w:val="nil"/>
                  </w:tcBorders>
                  <w:vAlign w:val="center"/>
                </w:tcPr>
                <w:p w14:paraId="437B773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szCs w:val="21"/>
                      <w:highlight w:val="none"/>
                    </w:rPr>
                    <w:drawing>
                      <wp:inline distT="0" distB="0" distL="114300" distR="114300">
                        <wp:extent cx="1919605" cy="1805305"/>
                        <wp:effectExtent l="0" t="0" r="4445" b="4445"/>
                        <wp:docPr id="41" name="图片 103" descr="说明: 说明: 14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03" descr="说明: 说明: 14002"/>
                                <pic:cNvPicPr>
                                  <a:picLocks noChangeAspect="1"/>
                                </pic:cNvPicPr>
                              </pic:nvPicPr>
                              <pic:blipFill>
                                <a:blip r:embed="rId39"/>
                                <a:stretch>
                                  <a:fillRect/>
                                </a:stretch>
                              </pic:blipFill>
                              <pic:spPr>
                                <a:xfrm>
                                  <a:off x="0" y="0"/>
                                  <a:ext cx="1919605" cy="1805305"/>
                                </a:xfrm>
                                <a:prstGeom prst="rect">
                                  <a:avLst/>
                                </a:prstGeom>
                                <a:noFill/>
                                <a:ln>
                                  <a:noFill/>
                                </a:ln>
                              </pic:spPr>
                            </pic:pic>
                          </a:graphicData>
                        </a:graphic>
                      </wp:inline>
                    </w:drawing>
                  </w:r>
                </w:p>
              </w:tc>
            </w:tr>
            <w:tr w14:paraId="0508BD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79" w:type="pct"/>
                  <w:gridSpan w:val="2"/>
                  <w:tcBorders>
                    <w:tl2br w:val="nil"/>
                    <w:tr2bl w:val="nil"/>
                  </w:tcBorders>
                  <w:shd w:val="clear" w:color="auto" w:fill="auto"/>
                  <w:vAlign w:val="center"/>
                </w:tcPr>
                <w:p w14:paraId="5FAB71BB">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rPr>
                    <w:t>危险废物信息公开栏</w:t>
                  </w:r>
                </w:p>
              </w:tc>
              <w:tc>
                <w:tcPr>
                  <w:tcW w:w="587" w:type="pct"/>
                  <w:tcBorders>
                    <w:tl2br w:val="nil"/>
                    <w:tr2bl w:val="nil"/>
                  </w:tcBorders>
                  <w:shd w:val="clear" w:color="auto" w:fill="auto"/>
                  <w:vAlign w:val="center"/>
                </w:tcPr>
                <w:p w14:paraId="1E9BE5B4">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zh-CN" w:eastAsia="zh-CN" w:bidi="zh-CN"/>
                    </w:rPr>
                  </w:pPr>
                  <w:r>
                    <w:rPr>
                      <w:rFonts w:hint="default"/>
                      <w:color w:val="auto"/>
                      <w:highlight w:val="none"/>
                    </w:rPr>
                    <w:t>长方形边框</w:t>
                  </w:r>
                </w:p>
              </w:tc>
              <w:tc>
                <w:tcPr>
                  <w:tcW w:w="514" w:type="pct"/>
                  <w:tcBorders>
                    <w:tl2br w:val="nil"/>
                    <w:tr2bl w:val="nil"/>
                  </w:tcBorders>
                  <w:shd w:val="clear" w:color="auto" w:fill="auto"/>
                  <w:vAlign w:val="center"/>
                </w:tcPr>
                <w:p w14:paraId="2DEDBE5B">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default"/>
                      <w:color w:val="auto"/>
                      <w:highlight w:val="none"/>
                    </w:rPr>
                    <w:t>蓝色</w:t>
                  </w:r>
                </w:p>
              </w:tc>
              <w:tc>
                <w:tcPr>
                  <w:tcW w:w="514" w:type="pct"/>
                  <w:tcBorders>
                    <w:tl2br w:val="nil"/>
                    <w:tr2bl w:val="nil"/>
                  </w:tcBorders>
                  <w:shd w:val="clear" w:color="auto" w:fill="auto"/>
                  <w:vAlign w:val="center"/>
                </w:tcPr>
                <w:p w14:paraId="6E83C227">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default"/>
                      <w:color w:val="auto"/>
                      <w:highlight w:val="none"/>
                    </w:rPr>
                    <w:t>白色</w:t>
                  </w:r>
                </w:p>
              </w:tc>
              <w:tc>
                <w:tcPr>
                  <w:tcW w:w="2204" w:type="pct"/>
                  <w:tcBorders>
                    <w:tl2br w:val="nil"/>
                    <w:tr2bl w:val="nil"/>
                  </w:tcBorders>
                  <w:shd w:val="clear" w:color="auto" w:fill="auto"/>
                  <w:vAlign w:val="center"/>
                </w:tcPr>
                <w:p w14:paraId="7471929E">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zh-CN" w:eastAsia="zh-CN" w:bidi="zh-CN"/>
                    </w:rPr>
                  </w:pPr>
                  <w:r>
                    <w:rPr>
                      <w:rFonts w:hint="default"/>
                      <w:color w:val="auto"/>
                      <w:highlight w:val="none"/>
                    </w:rPr>
                    <w:drawing>
                      <wp:inline distT="0" distB="0" distL="0" distR="0">
                        <wp:extent cx="1959610" cy="1309370"/>
                        <wp:effectExtent l="0" t="0" r="2540" b="508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1995775" cy="1333541"/>
                                </a:xfrm>
                                <a:prstGeom prst="rect">
                                  <a:avLst/>
                                </a:prstGeom>
                                <a:noFill/>
                                <a:ln>
                                  <a:noFill/>
                                </a:ln>
                              </pic:spPr>
                            </pic:pic>
                          </a:graphicData>
                        </a:graphic>
                      </wp:inline>
                    </w:drawing>
                  </w:r>
                </w:p>
              </w:tc>
            </w:tr>
            <w:tr w14:paraId="60A3A2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64" w:type="pct"/>
                  <w:vMerge w:val="restart"/>
                  <w:tcBorders>
                    <w:tl2br w:val="nil"/>
                    <w:tr2bl w:val="nil"/>
                  </w:tcBorders>
                  <w:vAlign w:val="center"/>
                </w:tcPr>
                <w:p w14:paraId="582BF1FC">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eastAsia="zh-CN"/>
                    </w:rPr>
                  </w:pPr>
                  <w:r>
                    <w:rPr>
                      <w:rFonts w:hint="default" w:ascii="Times New Roman" w:hAnsi="Times New Roman" w:eastAsia="宋体"/>
                      <w:color w:val="auto"/>
                      <w:highlight w:val="none"/>
                    </w:rPr>
                    <w:t>危险废物</w:t>
                  </w:r>
                  <w:r>
                    <w:rPr>
                      <w:rFonts w:hint="eastAsia"/>
                      <w:color w:val="auto"/>
                      <w:highlight w:val="none"/>
                      <w:lang w:val="en-US" w:eastAsia="zh-CN"/>
                    </w:rPr>
                    <w:t>暂存点</w:t>
                  </w:r>
                </w:p>
              </w:tc>
              <w:tc>
                <w:tcPr>
                  <w:tcW w:w="514" w:type="pct"/>
                  <w:tcBorders>
                    <w:tl2br w:val="nil"/>
                    <w:tr2bl w:val="nil"/>
                  </w:tcBorders>
                  <w:shd w:val="clear" w:color="auto" w:fill="auto"/>
                  <w:vAlign w:val="center"/>
                </w:tcPr>
                <w:p w14:paraId="414F9385">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危险废物贮存设施标志</w:t>
                  </w:r>
                </w:p>
              </w:tc>
              <w:tc>
                <w:tcPr>
                  <w:tcW w:w="587" w:type="pct"/>
                  <w:tcBorders>
                    <w:tl2br w:val="nil"/>
                    <w:tr2bl w:val="nil"/>
                  </w:tcBorders>
                  <w:shd w:val="clear" w:color="auto" w:fill="auto"/>
                  <w:vAlign w:val="center"/>
                </w:tcPr>
                <w:p w14:paraId="56069F75">
                  <w:pPr>
                    <w:pStyle w:val="2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4"/>
                      <w:highlight w:val="none"/>
                      <w:lang w:val="en-US" w:eastAsia="zh-CN" w:bidi="zh-CN"/>
                    </w:rPr>
                  </w:pPr>
                  <w:r>
                    <w:rPr>
                      <w:rFonts w:hint="default"/>
                      <w:color w:val="auto"/>
                      <w:highlight w:val="none"/>
                    </w:rPr>
                    <w:t>长方形边框</w:t>
                  </w:r>
                </w:p>
              </w:tc>
              <w:tc>
                <w:tcPr>
                  <w:tcW w:w="514" w:type="pct"/>
                  <w:tcBorders>
                    <w:tl2br w:val="nil"/>
                    <w:tr2bl w:val="nil"/>
                  </w:tcBorders>
                  <w:shd w:val="clear" w:color="auto" w:fill="auto"/>
                  <w:vAlign w:val="center"/>
                </w:tcPr>
                <w:p w14:paraId="0B32FF90">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default"/>
                      <w:color w:val="auto"/>
                      <w:highlight w:val="none"/>
                    </w:rPr>
                    <w:t>黄色</w:t>
                  </w:r>
                </w:p>
              </w:tc>
              <w:tc>
                <w:tcPr>
                  <w:tcW w:w="514" w:type="pct"/>
                  <w:tcBorders>
                    <w:tl2br w:val="nil"/>
                    <w:tr2bl w:val="nil"/>
                  </w:tcBorders>
                  <w:shd w:val="clear" w:color="auto" w:fill="auto"/>
                  <w:vAlign w:val="center"/>
                </w:tcPr>
                <w:p w14:paraId="16B06510">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default"/>
                      <w:color w:val="auto"/>
                      <w:highlight w:val="none"/>
                    </w:rPr>
                    <w:t>黑色</w:t>
                  </w:r>
                </w:p>
              </w:tc>
              <w:tc>
                <w:tcPr>
                  <w:tcW w:w="2204" w:type="pct"/>
                  <w:tcBorders>
                    <w:tl2br w:val="nil"/>
                    <w:tr2bl w:val="nil"/>
                  </w:tcBorders>
                  <w:shd w:val="clear" w:color="auto" w:fill="auto"/>
                  <w:vAlign w:val="center"/>
                </w:tcPr>
                <w:p w14:paraId="09C4EB14">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zh-CN" w:eastAsia="zh-CN" w:bidi="zh-CN"/>
                    </w:rPr>
                  </w:pPr>
                  <w:r>
                    <w:rPr>
                      <w:rFonts w:hint="default"/>
                      <w:color w:val="auto"/>
                      <w:highlight w:val="none"/>
                    </w:rPr>
                    <w:drawing>
                      <wp:inline distT="0" distB="0" distL="0" distR="0">
                        <wp:extent cx="2207895" cy="1400810"/>
                        <wp:effectExtent l="0" t="0" r="1905"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a:xfrm>
                                  <a:off x="0" y="0"/>
                                  <a:ext cx="2207895" cy="1400810"/>
                                </a:xfrm>
                                <a:prstGeom prst="rect">
                                  <a:avLst/>
                                </a:prstGeom>
                                <a:noFill/>
                                <a:ln>
                                  <a:noFill/>
                                </a:ln>
                              </pic:spPr>
                            </pic:pic>
                          </a:graphicData>
                        </a:graphic>
                      </wp:inline>
                    </w:drawing>
                  </w:r>
                </w:p>
              </w:tc>
            </w:tr>
            <w:tr w14:paraId="2ACABC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64" w:type="pct"/>
                  <w:vMerge w:val="continue"/>
                  <w:tcBorders>
                    <w:tl2br w:val="nil"/>
                    <w:tr2bl w:val="nil"/>
                  </w:tcBorders>
                  <w:vAlign w:val="center"/>
                </w:tcPr>
                <w:p w14:paraId="3826CC8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514" w:type="pct"/>
                  <w:tcBorders>
                    <w:tl2br w:val="nil"/>
                    <w:tr2bl w:val="nil"/>
                  </w:tcBorders>
                  <w:shd w:val="clear" w:color="auto" w:fill="auto"/>
                  <w:vAlign w:val="center"/>
                </w:tcPr>
                <w:p w14:paraId="2C4DFDD1">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危险废物分区标志</w:t>
                  </w:r>
                </w:p>
              </w:tc>
              <w:tc>
                <w:tcPr>
                  <w:tcW w:w="587" w:type="pct"/>
                  <w:tcBorders>
                    <w:tl2br w:val="nil"/>
                    <w:tr2bl w:val="nil"/>
                  </w:tcBorders>
                  <w:shd w:val="clear" w:color="auto" w:fill="auto"/>
                  <w:vAlign w:val="center"/>
                </w:tcPr>
                <w:p w14:paraId="414F36FD">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default"/>
                      <w:color w:val="auto"/>
                      <w:highlight w:val="none"/>
                    </w:rPr>
                    <w:t>长方形边框</w:t>
                  </w:r>
                </w:p>
              </w:tc>
              <w:tc>
                <w:tcPr>
                  <w:tcW w:w="514" w:type="pct"/>
                  <w:tcBorders>
                    <w:tl2br w:val="nil"/>
                    <w:tr2bl w:val="nil"/>
                  </w:tcBorders>
                  <w:shd w:val="clear" w:color="auto" w:fill="auto"/>
                  <w:vAlign w:val="center"/>
                </w:tcPr>
                <w:p w14:paraId="73D7C8B2">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default"/>
                      <w:color w:val="auto"/>
                      <w:highlight w:val="none"/>
                    </w:rPr>
                    <w:t>黄色</w:t>
                  </w:r>
                </w:p>
              </w:tc>
              <w:tc>
                <w:tcPr>
                  <w:tcW w:w="514" w:type="pct"/>
                  <w:tcBorders>
                    <w:tl2br w:val="nil"/>
                    <w:tr2bl w:val="nil"/>
                  </w:tcBorders>
                  <w:shd w:val="clear" w:color="auto" w:fill="auto"/>
                  <w:vAlign w:val="center"/>
                </w:tcPr>
                <w:p w14:paraId="5C12E65C">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废物种类信息：橘黄色；字体颜色：黑色</w:t>
                  </w:r>
                </w:p>
              </w:tc>
              <w:tc>
                <w:tcPr>
                  <w:tcW w:w="2204" w:type="pct"/>
                  <w:tcBorders>
                    <w:tl2br w:val="nil"/>
                    <w:tr2bl w:val="nil"/>
                  </w:tcBorders>
                  <w:shd w:val="clear" w:color="auto" w:fill="auto"/>
                  <w:vAlign w:val="center"/>
                </w:tcPr>
                <w:p w14:paraId="1C6C9663">
                  <w:pPr>
                    <w:pStyle w:val="21"/>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sz w:val="21"/>
                      <w:szCs w:val="24"/>
                      <w:highlight w:val="none"/>
                      <w:lang w:val="zh-CN" w:eastAsia="zh-CN" w:bidi="zh-CN"/>
                    </w:rPr>
                  </w:pPr>
                  <w:r>
                    <w:rPr>
                      <w:rFonts w:hint="eastAsia" w:eastAsia="宋体"/>
                      <w:color w:val="auto"/>
                      <w:highlight w:val="none"/>
                      <w:lang w:eastAsia="zh-CN"/>
                    </w:rPr>
                    <w:drawing>
                      <wp:inline distT="0" distB="0" distL="114300" distR="114300">
                        <wp:extent cx="2179320" cy="1833880"/>
                        <wp:effectExtent l="0" t="0" r="11430" b="13970"/>
                        <wp:docPr id="17" name="图片 17" descr="1734943756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734943756803"/>
                                <pic:cNvPicPr>
                                  <a:picLocks noChangeAspect="1"/>
                                </pic:cNvPicPr>
                              </pic:nvPicPr>
                              <pic:blipFill>
                                <a:blip r:embed="rId42"/>
                                <a:stretch>
                                  <a:fillRect/>
                                </a:stretch>
                              </pic:blipFill>
                              <pic:spPr>
                                <a:xfrm>
                                  <a:off x="0" y="0"/>
                                  <a:ext cx="2179320" cy="1833880"/>
                                </a:xfrm>
                                <a:prstGeom prst="rect">
                                  <a:avLst/>
                                </a:prstGeom>
                              </pic:spPr>
                            </pic:pic>
                          </a:graphicData>
                        </a:graphic>
                      </wp:inline>
                    </w:drawing>
                  </w:r>
                </w:p>
              </w:tc>
            </w:tr>
            <w:tr w14:paraId="35C86E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64" w:type="pct"/>
                  <w:vMerge w:val="continue"/>
                  <w:tcBorders>
                    <w:tl2br w:val="nil"/>
                    <w:tr2bl w:val="nil"/>
                  </w:tcBorders>
                  <w:vAlign w:val="center"/>
                </w:tcPr>
                <w:p w14:paraId="17E6CF8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514" w:type="pct"/>
                  <w:tcBorders>
                    <w:tl2br w:val="nil"/>
                    <w:tr2bl w:val="nil"/>
                  </w:tcBorders>
                  <w:shd w:val="clear" w:color="auto" w:fill="auto"/>
                  <w:vAlign w:val="center"/>
                </w:tcPr>
                <w:p w14:paraId="1ECB5B40">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default" w:ascii="Times New Roman" w:hAnsi="Times New Roman" w:eastAsia="宋体"/>
                      <w:color w:val="auto"/>
                      <w:highlight w:val="none"/>
                    </w:rPr>
                    <w:t>包装识别标签</w:t>
                  </w:r>
                </w:p>
              </w:tc>
              <w:tc>
                <w:tcPr>
                  <w:tcW w:w="587" w:type="pct"/>
                  <w:tcBorders>
                    <w:tl2br w:val="nil"/>
                    <w:tr2bl w:val="nil"/>
                  </w:tcBorders>
                  <w:shd w:val="clear" w:color="auto" w:fill="auto"/>
                  <w:vAlign w:val="center"/>
                </w:tcPr>
                <w:p w14:paraId="7A7866AF">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default" w:ascii="Times New Roman" w:hAnsi="Times New Roman" w:eastAsia="宋体"/>
                      <w:color w:val="auto"/>
                      <w:highlight w:val="none"/>
                    </w:rPr>
                    <w:t>长方形边框</w:t>
                  </w:r>
                </w:p>
              </w:tc>
              <w:tc>
                <w:tcPr>
                  <w:tcW w:w="514" w:type="pct"/>
                  <w:tcBorders>
                    <w:tl2br w:val="nil"/>
                    <w:tr2bl w:val="nil"/>
                  </w:tcBorders>
                  <w:shd w:val="clear" w:color="auto" w:fill="auto"/>
                  <w:vAlign w:val="center"/>
                </w:tcPr>
                <w:p w14:paraId="78084FDE">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eastAsia" w:ascii="Times New Roman" w:hAnsi="Times New Roman" w:eastAsia="宋体"/>
                      <w:color w:val="auto"/>
                      <w:highlight w:val="none"/>
                    </w:rPr>
                    <w:t>橘色</w:t>
                  </w:r>
                </w:p>
              </w:tc>
              <w:tc>
                <w:tcPr>
                  <w:tcW w:w="514" w:type="pct"/>
                  <w:tcBorders>
                    <w:tl2br w:val="nil"/>
                    <w:tr2bl w:val="nil"/>
                  </w:tcBorders>
                  <w:shd w:val="clear" w:color="auto" w:fill="auto"/>
                  <w:vAlign w:val="center"/>
                </w:tcPr>
                <w:p w14:paraId="71ECE112">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default" w:ascii="Times New Roman" w:hAnsi="Times New Roman" w:eastAsia="宋体"/>
                      <w:color w:val="auto"/>
                      <w:highlight w:val="none"/>
                    </w:rPr>
                    <w:t>黑色</w:t>
                  </w:r>
                </w:p>
              </w:tc>
              <w:tc>
                <w:tcPr>
                  <w:tcW w:w="2204" w:type="pct"/>
                  <w:tcBorders>
                    <w:tl2br w:val="nil"/>
                    <w:tr2bl w:val="nil"/>
                  </w:tcBorders>
                  <w:shd w:val="clear" w:color="auto" w:fill="auto"/>
                  <w:vAlign w:val="center"/>
                </w:tcPr>
                <w:p w14:paraId="75EA3A38">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default" w:ascii="Times New Roman" w:hAnsi="Times New Roman" w:eastAsia="宋体"/>
                      <w:color w:val="auto"/>
                      <w:highlight w:val="none"/>
                    </w:rPr>
                    <w:drawing>
                      <wp:inline distT="0" distB="0" distL="0" distR="0">
                        <wp:extent cx="1960245" cy="1960245"/>
                        <wp:effectExtent l="0" t="0" r="1905" b="190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a:xfrm>
                                  <a:off x="0" y="0"/>
                                  <a:ext cx="1974929" cy="1974929"/>
                                </a:xfrm>
                                <a:prstGeom prst="rect">
                                  <a:avLst/>
                                </a:prstGeom>
                                <a:noFill/>
                                <a:ln>
                                  <a:noFill/>
                                </a:ln>
                              </pic:spPr>
                            </pic:pic>
                          </a:graphicData>
                        </a:graphic>
                      </wp:inline>
                    </w:drawing>
                  </w:r>
                </w:p>
              </w:tc>
            </w:tr>
            <w:bookmarkEnd w:id="3"/>
          </w:tbl>
          <w:p w14:paraId="79894242">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8、其他环境管理要求</w:t>
            </w:r>
          </w:p>
          <w:p w14:paraId="21BFD4BD">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（1）环境管理机构</w:t>
            </w:r>
          </w:p>
          <w:p w14:paraId="57512CC0">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项目建成后，设置专门的环境管理机构，配备专职环保人员1名，负责环境监督管理工作，同时要加强对管理人员的环保培训，不断提高管理水平。</w:t>
            </w:r>
          </w:p>
          <w:p w14:paraId="602EB6A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（2）环境管理内容</w:t>
            </w:r>
          </w:p>
          <w:p w14:paraId="7B2172D6">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项目在生产运行过程中为保证环境管理系统的有效运行应制定环境管理方案，环境管理方案主要包括下列内容：</w:t>
            </w:r>
          </w:p>
          <w:p w14:paraId="4D3F83F6">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①组织贯彻国家及地方的有关环保方针、政策法令和条例，搞好环境教育和技术培训，</w:t>
            </w:r>
            <w:r>
              <w:rPr>
                <w:rFonts w:hint="eastAsia" w:ascii="Times New Roman" w:hAnsi="Times New Roman" w:eastAsia="宋体"/>
                <w:color w:val="auto"/>
                <w:highlight w:val="none"/>
                <w:lang w:val="en-US"/>
              </w:rPr>
              <w:t>增强</w:t>
            </w:r>
            <w:r>
              <w:rPr>
                <w:rFonts w:hint="default" w:ascii="Times New Roman" w:hAnsi="Times New Roman" w:eastAsia="宋体"/>
                <w:color w:val="auto"/>
                <w:highlight w:val="none"/>
                <w:lang w:val="en-US"/>
              </w:rPr>
              <w:t>公司职工的环保意识和技术水平，提高污染控制的责任心。</w:t>
            </w:r>
          </w:p>
          <w:p w14:paraId="18B656E7">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②制定并实施公司环境保护工作的长期规划及年度污染治理计划：定期检查环保设施的运行状况及对设备的维修与管理，严格控制“三废”的排放。</w:t>
            </w:r>
          </w:p>
          <w:p w14:paraId="263089ED">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③掌握公司内部污染物排放状况，编制公司内部环境状况报告。</w:t>
            </w:r>
          </w:p>
          <w:p w14:paraId="2F2810CE">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④组织环境监测，检查公司环境状况，并及时将环境监测信息向环保部门通报。</w:t>
            </w:r>
          </w:p>
          <w:p w14:paraId="2F198228">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本项目建成后具体污染源监测方案见下表：</w:t>
            </w:r>
          </w:p>
          <w:p w14:paraId="00A311C6">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ascii="Times New Roman" w:hAnsi="Times New Roman" w:eastAsia="宋体"/>
                <w:color w:val="auto"/>
                <w:highlight w:val="none"/>
              </w:rPr>
              <w:t>表4-</w:t>
            </w:r>
            <w:r>
              <w:rPr>
                <w:rFonts w:hint="eastAsia" w:ascii="Times New Roman" w:hAnsi="Times New Roman" w:eastAsia="宋体"/>
                <w:color w:val="auto"/>
                <w:highlight w:val="none"/>
                <w:lang w:val="en-US" w:eastAsia="zh-CN"/>
              </w:rPr>
              <w:t>3</w:t>
            </w:r>
            <w:r>
              <w:rPr>
                <w:rFonts w:hint="eastAsia"/>
                <w:color w:val="auto"/>
                <w:highlight w:val="none"/>
                <w:lang w:val="en-US" w:eastAsia="zh-CN"/>
              </w:rPr>
              <w:t>6</w:t>
            </w:r>
            <w:r>
              <w:rPr>
                <w:rFonts w:ascii="Times New Roman" w:hAnsi="Times New Roman" w:eastAsia="宋体"/>
                <w:color w:val="auto"/>
                <w:highlight w:val="none"/>
              </w:rPr>
              <w:t>本项目污染源监测方案一览表</w:t>
            </w:r>
          </w:p>
          <w:tbl>
            <w:tblPr>
              <w:tblStyle w:val="16"/>
              <w:tblW w:w="782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63"/>
              <w:gridCol w:w="1281"/>
              <w:gridCol w:w="1479"/>
              <w:gridCol w:w="1177"/>
              <w:gridCol w:w="3323"/>
            </w:tblGrid>
            <w:tr w14:paraId="2480E4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63" w:type="dxa"/>
                  <w:tcBorders>
                    <w:tl2br w:val="nil"/>
                    <w:tr2bl w:val="nil"/>
                  </w:tcBorders>
                  <w:shd w:val="clear" w:color="auto" w:fill="auto"/>
                  <w:vAlign w:val="center"/>
                </w:tcPr>
                <w:p w14:paraId="0AED9939">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eastAsia" w:ascii="Times New Roman" w:hAnsi="Times New Roman" w:eastAsia="宋体"/>
                      <w:b/>
                      <w:bCs/>
                      <w:color w:val="auto"/>
                      <w:highlight w:val="none"/>
                      <w:lang w:val="en-US"/>
                    </w:rPr>
                    <w:t>类别</w:t>
                  </w:r>
                </w:p>
              </w:tc>
              <w:tc>
                <w:tcPr>
                  <w:tcW w:w="1281" w:type="dxa"/>
                  <w:tcBorders>
                    <w:tl2br w:val="nil"/>
                    <w:tr2bl w:val="nil"/>
                  </w:tcBorders>
                  <w:shd w:val="clear" w:color="auto" w:fill="auto"/>
                  <w:vAlign w:val="center"/>
                </w:tcPr>
                <w:p w14:paraId="581BCD57">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监测点位</w:t>
                  </w:r>
                </w:p>
              </w:tc>
              <w:tc>
                <w:tcPr>
                  <w:tcW w:w="1479" w:type="dxa"/>
                  <w:tcBorders>
                    <w:tl2br w:val="nil"/>
                    <w:tr2bl w:val="nil"/>
                  </w:tcBorders>
                  <w:shd w:val="clear" w:color="auto" w:fill="auto"/>
                  <w:vAlign w:val="center"/>
                </w:tcPr>
                <w:p w14:paraId="3DA15956">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eastAsia" w:ascii="Times New Roman" w:hAnsi="Times New Roman" w:eastAsia="宋体"/>
                      <w:b/>
                      <w:bCs/>
                      <w:color w:val="auto"/>
                      <w:highlight w:val="none"/>
                      <w:lang w:val="en-US"/>
                    </w:rPr>
                    <w:t>监测项目</w:t>
                  </w:r>
                </w:p>
              </w:tc>
              <w:tc>
                <w:tcPr>
                  <w:tcW w:w="1177" w:type="dxa"/>
                  <w:tcBorders>
                    <w:tl2br w:val="nil"/>
                    <w:tr2bl w:val="nil"/>
                  </w:tcBorders>
                  <w:shd w:val="clear" w:color="auto" w:fill="auto"/>
                  <w:vAlign w:val="center"/>
                </w:tcPr>
                <w:p w14:paraId="71ED086A">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eastAsia" w:ascii="Times New Roman" w:hAnsi="Times New Roman" w:eastAsia="宋体"/>
                      <w:b/>
                      <w:bCs/>
                      <w:color w:val="auto"/>
                      <w:highlight w:val="none"/>
                      <w:lang w:val="en-US"/>
                    </w:rPr>
                    <w:t>监测频次</w:t>
                  </w:r>
                </w:p>
              </w:tc>
              <w:tc>
                <w:tcPr>
                  <w:tcW w:w="3323" w:type="dxa"/>
                  <w:tcBorders>
                    <w:tl2br w:val="nil"/>
                    <w:tr2bl w:val="nil"/>
                  </w:tcBorders>
                  <w:shd w:val="clear" w:color="auto" w:fill="auto"/>
                  <w:vAlign w:val="center"/>
                </w:tcPr>
                <w:p w14:paraId="2D68B1FC">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eastAsia" w:ascii="Times New Roman" w:hAnsi="Times New Roman" w:eastAsia="宋体"/>
                      <w:b/>
                      <w:bCs/>
                      <w:color w:val="auto"/>
                      <w:highlight w:val="none"/>
                      <w:lang w:val="en-US"/>
                    </w:rPr>
                    <w:t>执行标准</w:t>
                  </w:r>
                </w:p>
              </w:tc>
            </w:tr>
            <w:tr w14:paraId="072678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63" w:type="dxa"/>
                  <w:vMerge w:val="restart"/>
                  <w:tcBorders>
                    <w:tl2br w:val="nil"/>
                    <w:tr2bl w:val="nil"/>
                  </w:tcBorders>
                  <w:shd w:val="clear" w:color="auto" w:fill="auto"/>
                  <w:vAlign w:val="center"/>
                </w:tcPr>
                <w:p w14:paraId="7BD9960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废气</w:t>
                  </w:r>
                </w:p>
              </w:tc>
              <w:tc>
                <w:tcPr>
                  <w:tcW w:w="1281" w:type="dxa"/>
                  <w:vMerge w:val="restart"/>
                  <w:tcBorders>
                    <w:tl2br w:val="nil"/>
                    <w:tr2bl w:val="nil"/>
                  </w:tcBorders>
                  <w:shd w:val="clear" w:color="auto" w:fill="auto"/>
                  <w:vAlign w:val="center"/>
                </w:tcPr>
                <w:p w14:paraId="6F16B15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DA00</w:t>
                  </w:r>
                  <w:r>
                    <w:rPr>
                      <w:rFonts w:hint="eastAsia"/>
                      <w:color w:val="auto"/>
                      <w:highlight w:val="none"/>
                      <w:lang w:val="en-US" w:eastAsia="zh-CN"/>
                    </w:rPr>
                    <w:t>1</w:t>
                  </w:r>
                  <w:r>
                    <w:rPr>
                      <w:rFonts w:hint="eastAsia" w:ascii="Times New Roman" w:hAnsi="Times New Roman" w:eastAsia="宋体"/>
                      <w:color w:val="auto"/>
                      <w:highlight w:val="none"/>
                      <w:lang w:val="en-US" w:eastAsia="zh-CN"/>
                    </w:rPr>
                    <w:t>排气筒</w:t>
                  </w:r>
                </w:p>
              </w:tc>
              <w:tc>
                <w:tcPr>
                  <w:tcW w:w="1479" w:type="dxa"/>
                  <w:tcBorders>
                    <w:tl2br w:val="nil"/>
                    <w:tr2bl w:val="nil"/>
                  </w:tcBorders>
                  <w:shd w:val="clear" w:color="auto" w:fill="auto"/>
                  <w:vAlign w:val="center"/>
                </w:tcPr>
                <w:p w14:paraId="34B3C032">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color w:val="auto"/>
                      <w:highlight w:val="none"/>
                      <w:lang w:val="en-US" w:eastAsia="zh-CN"/>
                    </w:rPr>
                    <w:t>非甲烷总烃</w:t>
                  </w:r>
                </w:p>
              </w:tc>
              <w:tc>
                <w:tcPr>
                  <w:tcW w:w="1177" w:type="dxa"/>
                  <w:tcBorders>
                    <w:tl2br w:val="nil"/>
                    <w:tr2bl w:val="nil"/>
                  </w:tcBorders>
                  <w:shd w:val="clear" w:color="auto" w:fill="auto"/>
                  <w:vAlign w:val="center"/>
                </w:tcPr>
                <w:p w14:paraId="54D21014">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r>
                    <w:rPr>
                      <w:rFonts w:hint="default" w:ascii="Times New Roman" w:hAnsi="Times New Roman" w:eastAsia="宋体" w:cs="Times New Roman"/>
                      <w:color w:val="auto"/>
                      <w:highlight w:val="none"/>
                      <w:lang w:val="en-US" w:eastAsia="zh-CN"/>
                    </w:rPr>
                    <w:t>1次/年</w:t>
                  </w:r>
                </w:p>
              </w:tc>
              <w:tc>
                <w:tcPr>
                  <w:tcW w:w="3323" w:type="dxa"/>
                  <w:vMerge w:val="restart"/>
                  <w:tcBorders>
                    <w:tl2br w:val="nil"/>
                    <w:tr2bl w:val="nil"/>
                  </w:tcBorders>
                  <w:shd w:val="clear" w:color="auto" w:fill="auto"/>
                  <w:vAlign w:val="center"/>
                </w:tcPr>
                <w:p w14:paraId="03916F6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default"/>
                      <w:color w:val="auto"/>
                      <w:highlight w:val="none"/>
                    </w:rPr>
                    <w:t>《</w:t>
                  </w:r>
                  <w:r>
                    <w:rPr>
                      <w:rFonts w:hint="eastAsia"/>
                      <w:color w:val="auto"/>
                      <w:highlight w:val="none"/>
                      <w:lang w:val="en-US" w:eastAsia="zh-CN"/>
                    </w:rPr>
                    <w:t>合成树脂工业</w:t>
                  </w:r>
                  <w:r>
                    <w:rPr>
                      <w:rFonts w:hint="default"/>
                      <w:color w:val="auto"/>
                      <w:highlight w:val="none"/>
                    </w:rPr>
                    <w:t>污染物排放标准》（</w:t>
                  </w:r>
                  <w:r>
                    <w:rPr>
                      <w:rFonts w:hint="eastAsia"/>
                      <w:color w:val="auto"/>
                      <w:highlight w:val="none"/>
                      <w:lang w:val="en-US" w:eastAsia="zh-CN"/>
                    </w:rPr>
                    <w:t>GB31572-2015</w:t>
                  </w:r>
                  <w:r>
                    <w:rPr>
                      <w:rFonts w:hint="default"/>
                      <w:color w:val="auto"/>
                      <w:highlight w:val="none"/>
                    </w:rPr>
                    <w:t>）</w:t>
                  </w:r>
                  <w:r>
                    <w:rPr>
                      <w:rFonts w:hint="eastAsia"/>
                      <w:color w:val="auto"/>
                      <w:highlight w:val="none"/>
                      <w:lang w:val="en-US" w:eastAsia="zh-CN"/>
                    </w:rPr>
                    <w:t>表5限值</w:t>
                  </w:r>
                </w:p>
              </w:tc>
            </w:tr>
            <w:tr w14:paraId="1B37EC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63" w:type="dxa"/>
                  <w:vMerge w:val="continue"/>
                  <w:tcBorders>
                    <w:tl2br w:val="nil"/>
                    <w:tr2bl w:val="nil"/>
                  </w:tcBorders>
                  <w:shd w:val="clear" w:color="auto" w:fill="auto"/>
                  <w:vAlign w:val="center"/>
                </w:tcPr>
                <w:p w14:paraId="6F4698F7">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1281" w:type="dxa"/>
                  <w:vMerge w:val="continue"/>
                  <w:tcBorders>
                    <w:tl2br w:val="nil"/>
                    <w:tr2bl w:val="nil"/>
                  </w:tcBorders>
                  <w:shd w:val="clear" w:color="auto" w:fill="auto"/>
                  <w:vAlign w:val="center"/>
                </w:tcPr>
                <w:p w14:paraId="3D58BCF8">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1479" w:type="dxa"/>
                  <w:tcBorders>
                    <w:tl2br w:val="nil"/>
                    <w:tr2bl w:val="nil"/>
                  </w:tcBorders>
                  <w:shd w:val="clear" w:color="auto" w:fill="auto"/>
                  <w:vAlign w:val="center"/>
                </w:tcPr>
                <w:p w14:paraId="438C5AAE">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highlight w:val="none"/>
                      <w:lang w:val="en-US" w:eastAsia="zh-CN"/>
                    </w:rPr>
                    <w:t>乙醛</w:t>
                  </w:r>
                </w:p>
              </w:tc>
              <w:tc>
                <w:tcPr>
                  <w:tcW w:w="1177" w:type="dxa"/>
                  <w:tcBorders>
                    <w:tl2br w:val="nil"/>
                    <w:tr2bl w:val="nil"/>
                  </w:tcBorders>
                  <w:shd w:val="clear" w:color="auto" w:fill="auto"/>
                  <w:vAlign w:val="center"/>
                </w:tcPr>
                <w:p w14:paraId="0702E995">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s="Times New Roman"/>
                      <w:color w:val="auto"/>
                      <w:highlight w:val="none"/>
                      <w:lang w:val="en-US" w:eastAsia="zh-CN"/>
                    </w:rPr>
                    <w:t>1次/年</w:t>
                  </w:r>
                </w:p>
              </w:tc>
              <w:tc>
                <w:tcPr>
                  <w:tcW w:w="3323" w:type="dxa"/>
                  <w:vMerge w:val="continue"/>
                  <w:tcBorders>
                    <w:tl2br w:val="nil"/>
                    <w:tr2bl w:val="nil"/>
                  </w:tcBorders>
                  <w:shd w:val="clear" w:color="auto" w:fill="auto"/>
                  <w:vAlign w:val="center"/>
                </w:tcPr>
                <w:p w14:paraId="06B5F07B">
                  <w:pPr>
                    <w:pStyle w:val="21"/>
                    <w:keepNext w:val="0"/>
                    <w:keepLines w:val="0"/>
                    <w:suppressLineNumbers w:val="0"/>
                    <w:spacing w:before="0" w:beforeAutospacing="0" w:after="0" w:afterAutospacing="0"/>
                    <w:ind w:left="0" w:right="0"/>
                    <w:rPr>
                      <w:rFonts w:hint="default"/>
                      <w:color w:val="auto"/>
                      <w:highlight w:val="none"/>
                    </w:rPr>
                  </w:pPr>
                </w:p>
              </w:tc>
            </w:tr>
            <w:tr w14:paraId="71055C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63" w:type="dxa"/>
                  <w:vMerge w:val="continue"/>
                  <w:tcBorders>
                    <w:tl2br w:val="nil"/>
                    <w:tr2bl w:val="nil"/>
                  </w:tcBorders>
                  <w:shd w:val="clear" w:color="auto" w:fill="auto"/>
                  <w:vAlign w:val="center"/>
                </w:tcPr>
                <w:p w14:paraId="5D24FCD5">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1281" w:type="dxa"/>
                  <w:vMerge w:val="restart"/>
                  <w:tcBorders>
                    <w:tl2br w:val="nil"/>
                    <w:tr2bl w:val="nil"/>
                  </w:tcBorders>
                  <w:shd w:val="clear" w:color="auto" w:fill="auto"/>
                  <w:vAlign w:val="center"/>
                </w:tcPr>
                <w:p w14:paraId="77A8847B">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s="Times New Roman"/>
                      <w:color w:val="auto"/>
                      <w:highlight w:val="none"/>
                      <w:lang w:val="en-US" w:eastAsia="zh-CN"/>
                    </w:rPr>
                    <w:t>厂界</w:t>
                  </w:r>
                </w:p>
              </w:tc>
              <w:tc>
                <w:tcPr>
                  <w:tcW w:w="1479" w:type="dxa"/>
                  <w:tcBorders>
                    <w:tl2br w:val="nil"/>
                    <w:tr2bl w:val="nil"/>
                  </w:tcBorders>
                  <w:shd w:val="clear" w:color="auto" w:fill="auto"/>
                  <w:vAlign w:val="center"/>
                </w:tcPr>
                <w:p w14:paraId="29BB664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s="Times New Roman"/>
                      <w:color w:val="auto"/>
                      <w:highlight w:val="none"/>
                      <w:lang w:val="en-US" w:eastAsia="zh-CN"/>
                    </w:rPr>
                    <w:t>非甲烷总烃</w:t>
                  </w:r>
                </w:p>
              </w:tc>
              <w:tc>
                <w:tcPr>
                  <w:tcW w:w="1177" w:type="dxa"/>
                  <w:tcBorders>
                    <w:tl2br w:val="nil"/>
                    <w:tr2bl w:val="nil"/>
                  </w:tcBorders>
                  <w:shd w:val="clear" w:color="auto" w:fill="auto"/>
                  <w:vAlign w:val="center"/>
                </w:tcPr>
                <w:p w14:paraId="2FA94179">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s="Times New Roman"/>
                      <w:color w:val="auto"/>
                      <w:highlight w:val="none"/>
                      <w:lang w:val="en-US" w:eastAsia="zh-CN"/>
                    </w:rPr>
                    <w:t>1次/年</w:t>
                  </w:r>
                </w:p>
              </w:tc>
              <w:tc>
                <w:tcPr>
                  <w:tcW w:w="3323" w:type="dxa"/>
                  <w:tcBorders>
                    <w:tl2br w:val="nil"/>
                    <w:tr2bl w:val="nil"/>
                  </w:tcBorders>
                  <w:shd w:val="clear" w:color="auto" w:fill="auto"/>
                  <w:vAlign w:val="center"/>
                </w:tcPr>
                <w:p w14:paraId="38232154">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default"/>
                      <w:color w:val="auto"/>
                      <w:highlight w:val="none"/>
                    </w:rPr>
                    <w:t>《</w:t>
                  </w:r>
                  <w:r>
                    <w:rPr>
                      <w:rFonts w:hint="eastAsia"/>
                      <w:color w:val="auto"/>
                      <w:highlight w:val="none"/>
                      <w:lang w:val="en-US" w:eastAsia="zh-CN"/>
                    </w:rPr>
                    <w:t>合成树脂工业</w:t>
                  </w:r>
                  <w:r>
                    <w:rPr>
                      <w:rFonts w:hint="default"/>
                      <w:color w:val="auto"/>
                      <w:highlight w:val="none"/>
                    </w:rPr>
                    <w:t>污染物排放标准》（</w:t>
                  </w:r>
                  <w:r>
                    <w:rPr>
                      <w:rFonts w:hint="eastAsia"/>
                      <w:color w:val="auto"/>
                      <w:highlight w:val="none"/>
                      <w:lang w:val="en-US" w:eastAsia="zh-CN"/>
                    </w:rPr>
                    <w:t>GB31572-2015</w:t>
                  </w:r>
                  <w:r>
                    <w:rPr>
                      <w:rFonts w:hint="default"/>
                      <w:color w:val="auto"/>
                      <w:highlight w:val="none"/>
                    </w:rPr>
                    <w:t>）</w:t>
                  </w:r>
                  <w:r>
                    <w:rPr>
                      <w:rFonts w:hint="eastAsia"/>
                      <w:color w:val="auto"/>
                      <w:highlight w:val="none"/>
                      <w:lang w:val="en-US" w:eastAsia="zh-CN"/>
                    </w:rPr>
                    <w:t>表9限值</w:t>
                  </w:r>
                </w:p>
              </w:tc>
            </w:tr>
            <w:tr w14:paraId="7258BC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63" w:type="dxa"/>
                  <w:vMerge w:val="continue"/>
                  <w:tcBorders>
                    <w:tl2br w:val="nil"/>
                    <w:tr2bl w:val="nil"/>
                  </w:tcBorders>
                  <w:shd w:val="clear" w:color="auto" w:fill="auto"/>
                  <w:vAlign w:val="center"/>
                </w:tcPr>
                <w:p w14:paraId="65E9CD1E">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1281" w:type="dxa"/>
                  <w:vMerge w:val="continue"/>
                  <w:tcBorders>
                    <w:tl2br w:val="nil"/>
                    <w:tr2bl w:val="nil"/>
                  </w:tcBorders>
                  <w:shd w:val="clear" w:color="auto" w:fill="auto"/>
                  <w:vAlign w:val="center"/>
                </w:tcPr>
                <w:p w14:paraId="54D5FF52">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highlight w:val="none"/>
                      <w:lang w:val="en-US" w:eastAsia="zh-CN"/>
                    </w:rPr>
                  </w:pPr>
                </w:p>
              </w:tc>
              <w:tc>
                <w:tcPr>
                  <w:tcW w:w="1479" w:type="dxa"/>
                  <w:tcBorders>
                    <w:tl2br w:val="nil"/>
                    <w:tr2bl w:val="nil"/>
                  </w:tcBorders>
                  <w:shd w:val="clear" w:color="auto" w:fill="auto"/>
                  <w:vAlign w:val="center"/>
                </w:tcPr>
                <w:p w14:paraId="4EFB83D3">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s="Times New Roman"/>
                      <w:color w:val="auto"/>
                      <w:highlight w:val="none"/>
                      <w:lang w:val="en-US" w:eastAsia="zh-CN"/>
                    </w:rPr>
                    <w:t>乙醛</w:t>
                  </w:r>
                </w:p>
              </w:tc>
              <w:tc>
                <w:tcPr>
                  <w:tcW w:w="1177" w:type="dxa"/>
                  <w:tcBorders>
                    <w:tl2br w:val="nil"/>
                    <w:tr2bl w:val="nil"/>
                  </w:tcBorders>
                  <w:shd w:val="clear" w:color="auto" w:fill="auto"/>
                  <w:vAlign w:val="center"/>
                </w:tcPr>
                <w:p w14:paraId="14F1365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s="Times New Roman"/>
                      <w:color w:val="auto"/>
                      <w:highlight w:val="none"/>
                      <w:lang w:val="en-US" w:eastAsia="zh-CN"/>
                    </w:rPr>
                    <w:t>1次/年</w:t>
                  </w:r>
                </w:p>
              </w:tc>
              <w:tc>
                <w:tcPr>
                  <w:tcW w:w="3323" w:type="dxa"/>
                  <w:vMerge w:val="restart"/>
                  <w:tcBorders>
                    <w:tl2br w:val="nil"/>
                    <w:tr2bl w:val="nil"/>
                  </w:tcBorders>
                  <w:shd w:val="clear" w:color="auto" w:fill="auto"/>
                  <w:vAlign w:val="center"/>
                </w:tcPr>
                <w:p w14:paraId="746CB082">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rPr>
                  </w:pPr>
                  <w:r>
                    <w:rPr>
                      <w:rFonts w:hint="eastAsia" w:ascii="Times New Roman" w:hAnsi="Times New Roman" w:eastAsia="宋体"/>
                      <w:color w:val="auto"/>
                      <w:highlight w:val="none"/>
                      <w:lang w:val="en-US" w:eastAsia="zh-CN"/>
                    </w:rPr>
                    <w:t>《大气污染物综合排放标准》（DB32/4041-2021）表3限值</w:t>
                  </w:r>
                </w:p>
              </w:tc>
            </w:tr>
            <w:tr w14:paraId="15279F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63" w:type="dxa"/>
                  <w:vMerge w:val="continue"/>
                  <w:tcBorders>
                    <w:tl2br w:val="nil"/>
                    <w:tr2bl w:val="nil"/>
                  </w:tcBorders>
                  <w:shd w:val="clear" w:color="auto" w:fill="auto"/>
                  <w:vAlign w:val="center"/>
                </w:tcPr>
                <w:p w14:paraId="2F709680">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1281" w:type="dxa"/>
                  <w:vMerge w:val="continue"/>
                  <w:tcBorders>
                    <w:tl2br w:val="nil"/>
                    <w:tr2bl w:val="nil"/>
                  </w:tcBorders>
                  <w:shd w:val="clear" w:color="auto" w:fill="auto"/>
                  <w:vAlign w:val="center"/>
                </w:tcPr>
                <w:p w14:paraId="49351AD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highlight w:val="none"/>
                      <w:lang w:val="en-US" w:eastAsia="zh-CN"/>
                    </w:rPr>
                  </w:pPr>
                </w:p>
              </w:tc>
              <w:tc>
                <w:tcPr>
                  <w:tcW w:w="1479" w:type="dxa"/>
                  <w:tcBorders>
                    <w:tl2br w:val="nil"/>
                    <w:tr2bl w:val="nil"/>
                  </w:tcBorders>
                  <w:shd w:val="clear" w:color="auto" w:fill="auto"/>
                  <w:vAlign w:val="center"/>
                </w:tcPr>
                <w:p w14:paraId="48064D40">
                  <w:pPr>
                    <w:pStyle w:val="21"/>
                    <w:keepNext w:val="0"/>
                    <w:keepLines w:val="0"/>
                    <w:suppressLineNumbers w:val="0"/>
                    <w:spacing w:before="0" w:beforeAutospacing="0" w:after="0" w:afterAutospacing="0"/>
                    <w:ind w:left="0" w:leftChars="0" w:right="0" w:rightChars="0" w:firstLine="0" w:firstLineChars="0"/>
                    <w:rPr>
                      <w:rFonts w:hint="default" w:cs="Times New Roman"/>
                      <w:color w:val="auto"/>
                      <w:highlight w:val="none"/>
                      <w:lang w:val="en-US" w:eastAsia="zh-CN"/>
                    </w:rPr>
                  </w:pPr>
                  <w:r>
                    <w:rPr>
                      <w:rFonts w:hint="eastAsia" w:cs="Times New Roman"/>
                      <w:color w:val="auto"/>
                      <w:highlight w:val="none"/>
                      <w:lang w:val="en-US" w:eastAsia="zh-CN"/>
                    </w:rPr>
                    <w:t>氮氧化物</w:t>
                  </w:r>
                </w:p>
              </w:tc>
              <w:tc>
                <w:tcPr>
                  <w:tcW w:w="1177" w:type="dxa"/>
                  <w:tcBorders>
                    <w:tl2br w:val="nil"/>
                    <w:tr2bl w:val="nil"/>
                  </w:tcBorders>
                  <w:shd w:val="clear" w:color="auto" w:fill="auto"/>
                  <w:vAlign w:val="center"/>
                </w:tcPr>
                <w:p w14:paraId="2F17BCB4">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1次/年</w:t>
                  </w:r>
                </w:p>
              </w:tc>
              <w:tc>
                <w:tcPr>
                  <w:tcW w:w="3323" w:type="dxa"/>
                  <w:vMerge w:val="continue"/>
                  <w:tcBorders>
                    <w:tl2br w:val="nil"/>
                    <w:tr2bl w:val="nil"/>
                  </w:tcBorders>
                  <w:shd w:val="clear" w:color="auto" w:fill="auto"/>
                  <w:vAlign w:val="center"/>
                </w:tcPr>
                <w:p w14:paraId="2C7B2C68">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olor w:val="auto"/>
                      <w:highlight w:val="none"/>
                      <w:lang w:val="en-US" w:eastAsia="zh-CN"/>
                    </w:rPr>
                  </w:pPr>
                </w:p>
              </w:tc>
            </w:tr>
            <w:tr w14:paraId="6C75EF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63" w:type="dxa"/>
                  <w:vMerge w:val="continue"/>
                  <w:tcBorders>
                    <w:tl2br w:val="nil"/>
                    <w:tr2bl w:val="nil"/>
                  </w:tcBorders>
                  <w:shd w:val="clear" w:color="auto" w:fill="auto"/>
                  <w:vAlign w:val="center"/>
                </w:tcPr>
                <w:p w14:paraId="5F8BEC88">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1281" w:type="dxa"/>
                  <w:vMerge w:val="continue"/>
                  <w:tcBorders>
                    <w:tl2br w:val="nil"/>
                    <w:tr2bl w:val="nil"/>
                  </w:tcBorders>
                  <w:shd w:val="clear" w:color="auto" w:fill="auto"/>
                  <w:vAlign w:val="center"/>
                </w:tcPr>
                <w:p w14:paraId="5370F09A">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highlight w:val="none"/>
                      <w:lang w:val="en-US" w:eastAsia="zh-CN"/>
                    </w:rPr>
                  </w:pPr>
                </w:p>
              </w:tc>
              <w:tc>
                <w:tcPr>
                  <w:tcW w:w="1479" w:type="dxa"/>
                  <w:tcBorders>
                    <w:tl2br w:val="nil"/>
                    <w:tr2bl w:val="nil"/>
                  </w:tcBorders>
                  <w:shd w:val="clear" w:color="auto" w:fill="auto"/>
                  <w:vAlign w:val="center"/>
                </w:tcPr>
                <w:p w14:paraId="0D98F25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氨</w:t>
                  </w:r>
                </w:p>
              </w:tc>
              <w:tc>
                <w:tcPr>
                  <w:tcW w:w="1177" w:type="dxa"/>
                  <w:tcBorders>
                    <w:tl2br w:val="nil"/>
                    <w:tr2bl w:val="nil"/>
                  </w:tcBorders>
                  <w:shd w:val="clear" w:color="auto" w:fill="auto"/>
                  <w:vAlign w:val="center"/>
                </w:tcPr>
                <w:p w14:paraId="6A330123">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s="Times New Roman"/>
                      <w:color w:val="auto"/>
                      <w:highlight w:val="none"/>
                      <w:lang w:val="en-US" w:eastAsia="zh-CN"/>
                    </w:rPr>
                    <w:t>1次/年</w:t>
                  </w:r>
                </w:p>
              </w:tc>
              <w:tc>
                <w:tcPr>
                  <w:tcW w:w="3323" w:type="dxa"/>
                  <w:vMerge w:val="restart"/>
                  <w:tcBorders>
                    <w:tl2br w:val="nil"/>
                    <w:tr2bl w:val="nil"/>
                  </w:tcBorders>
                  <w:shd w:val="clear" w:color="auto" w:fill="auto"/>
                  <w:vAlign w:val="center"/>
                </w:tcPr>
                <w:p w14:paraId="28ABC2D6">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rPr>
                  </w:pPr>
                  <w:r>
                    <w:rPr>
                      <w:rFonts w:hint="eastAsia" w:ascii="Times New Roman" w:hAnsi="Times New Roman" w:eastAsia="宋体"/>
                      <w:color w:val="auto"/>
                      <w:highlight w:val="none"/>
                      <w:lang w:val="en-US" w:eastAsia="zh-CN"/>
                    </w:rPr>
                    <w:t>《恶臭污染物排放标准》（GB14554-93）表1二级新扩改建项目限值</w:t>
                  </w:r>
                </w:p>
              </w:tc>
            </w:tr>
            <w:tr w14:paraId="3EF38B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63" w:type="dxa"/>
                  <w:vMerge w:val="continue"/>
                  <w:tcBorders>
                    <w:tl2br w:val="nil"/>
                    <w:tr2bl w:val="nil"/>
                  </w:tcBorders>
                  <w:shd w:val="clear" w:color="auto" w:fill="auto"/>
                  <w:vAlign w:val="center"/>
                </w:tcPr>
                <w:p w14:paraId="14BE0373">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1281" w:type="dxa"/>
                  <w:vMerge w:val="continue"/>
                  <w:tcBorders>
                    <w:tl2br w:val="nil"/>
                    <w:tr2bl w:val="nil"/>
                  </w:tcBorders>
                  <w:shd w:val="clear" w:color="auto" w:fill="auto"/>
                  <w:vAlign w:val="center"/>
                </w:tcPr>
                <w:p w14:paraId="036D2CB3">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highlight w:val="none"/>
                      <w:lang w:val="en-US" w:eastAsia="zh-CN"/>
                    </w:rPr>
                  </w:pPr>
                </w:p>
              </w:tc>
              <w:tc>
                <w:tcPr>
                  <w:tcW w:w="1479" w:type="dxa"/>
                  <w:tcBorders>
                    <w:tl2br w:val="nil"/>
                    <w:tr2bl w:val="nil"/>
                  </w:tcBorders>
                  <w:shd w:val="clear" w:color="auto" w:fill="auto"/>
                  <w:vAlign w:val="center"/>
                </w:tcPr>
                <w:p w14:paraId="7866EBE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硫化氢</w:t>
                  </w:r>
                </w:p>
              </w:tc>
              <w:tc>
                <w:tcPr>
                  <w:tcW w:w="1177" w:type="dxa"/>
                  <w:tcBorders>
                    <w:tl2br w:val="nil"/>
                    <w:tr2bl w:val="nil"/>
                  </w:tcBorders>
                  <w:shd w:val="clear" w:color="auto" w:fill="auto"/>
                  <w:vAlign w:val="center"/>
                </w:tcPr>
                <w:p w14:paraId="428D11ED">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s="Times New Roman"/>
                      <w:color w:val="auto"/>
                      <w:highlight w:val="none"/>
                      <w:lang w:val="en-US" w:eastAsia="zh-CN"/>
                    </w:rPr>
                    <w:t>1次/年</w:t>
                  </w:r>
                </w:p>
              </w:tc>
              <w:tc>
                <w:tcPr>
                  <w:tcW w:w="3323" w:type="dxa"/>
                  <w:vMerge w:val="continue"/>
                  <w:tcBorders>
                    <w:tl2br w:val="nil"/>
                    <w:tr2bl w:val="nil"/>
                  </w:tcBorders>
                  <w:shd w:val="clear" w:color="auto" w:fill="auto"/>
                  <w:vAlign w:val="center"/>
                </w:tcPr>
                <w:p w14:paraId="651C9765">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rPr>
                  </w:pPr>
                </w:p>
              </w:tc>
            </w:tr>
            <w:tr w14:paraId="46A75C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63" w:type="dxa"/>
                  <w:vMerge w:val="continue"/>
                  <w:tcBorders>
                    <w:tl2br w:val="nil"/>
                    <w:tr2bl w:val="nil"/>
                  </w:tcBorders>
                  <w:shd w:val="clear" w:color="auto" w:fill="auto"/>
                  <w:vAlign w:val="center"/>
                </w:tcPr>
                <w:p w14:paraId="136CB161">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1281" w:type="dxa"/>
                  <w:vMerge w:val="continue"/>
                  <w:tcBorders>
                    <w:tl2br w:val="nil"/>
                    <w:tr2bl w:val="nil"/>
                  </w:tcBorders>
                  <w:shd w:val="clear" w:color="auto" w:fill="auto"/>
                  <w:vAlign w:val="center"/>
                </w:tcPr>
                <w:p w14:paraId="2190551E">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highlight w:val="none"/>
                      <w:lang w:val="en-US" w:eastAsia="zh-CN"/>
                    </w:rPr>
                  </w:pPr>
                </w:p>
              </w:tc>
              <w:tc>
                <w:tcPr>
                  <w:tcW w:w="1479" w:type="dxa"/>
                  <w:tcBorders>
                    <w:tl2br w:val="nil"/>
                    <w:tr2bl w:val="nil"/>
                  </w:tcBorders>
                  <w:shd w:val="clear" w:color="auto" w:fill="auto"/>
                  <w:vAlign w:val="center"/>
                </w:tcPr>
                <w:p w14:paraId="59A8308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臭气浓度</w:t>
                  </w:r>
                </w:p>
              </w:tc>
              <w:tc>
                <w:tcPr>
                  <w:tcW w:w="1177" w:type="dxa"/>
                  <w:tcBorders>
                    <w:tl2br w:val="nil"/>
                    <w:tr2bl w:val="nil"/>
                  </w:tcBorders>
                  <w:shd w:val="clear" w:color="auto" w:fill="auto"/>
                  <w:vAlign w:val="center"/>
                </w:tcPr>
                <w:p w14:paraId="4AA22246">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s="Times New Roman"/>
                      <w:color w:val="auto"/>
                      <w:highlight w:val="none"/>
                      <w:lang w:val="en-US" w:eastAsia="zh-CN"/>
                    </w:rPr>
                    <w:t>1次/年</w:t>
                  </w:r>
                </w:p>
              </w:tc>
              <w:tc>
                <w:tcPr>
                  <w:tcW w:w="3323" w:type="dxa"/>
                  <w:vMerge w:val="continue"/>
                  <w:tcBorders>
                    <w:tl2br w:val="nil"/>
                    <w:tr2bl w:val="nil"/>
                  </w:tcBorders>
                  <w:shd w:val="clear" w:color="auto" w:fill="auto"/>
                  <w:vAlign w:val="center"/>
                </w:tcPr>
                <w:p w14:paraId="2C49ED7A">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rPr>
                  </w:pPr>
                </w:p>
              </w:tc>
            </w:tr>
            <w:tr w14:paraId="1371DB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63" w:type="dxa"/>
                  <w:vMerge w:val="continue"/>
                  <w:tcBorders>
                    <w:tl2br w:val="nil"/>
                    <w:tr2bl w:val="nil"/>
                  </w:tcBorders>
                  <w:shd w:val="clear" w:color="auto" w:fill="auto"/>
                  <w:vAlign w:val="center"/>
                </w:tcPr>
                <w:p w14:paraId="265B069D">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1281" w:type="dxa"/>
                  <w:tcBorders>
                    <w:tl2br w:val="nil"/>
                    <w:tr2bl w:val="nil"/>
                  </w:tcBorders>
                  <w:shd w:val="clear" w:color="auto" w:fill="auto"/>
                  <w:vAlign w:val="center"/>
                </w:tcPr>
                <w:p w14:paraId="69BA54B3">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ascii="Times New Roman" w:hAnsi="Times New Roman" w:eastAsia="宋体" w:cs="Times New Roman"/>
                      <w:color w:val="auto"/>
                      <w:highlight w:val="none"/>
                      <w:lang w:val="en-US" w:eastAsia="zh-CN"/>
                    </w:rPr>
                    <w:t>厂区内</w:t>
                  </w:r>
                </w:p>
              </w:tc>
              <w:tc>
                <w:tcPr>
                  <w:tcW w:w="1479" w:type="dxa"/>
                  <w:tcBorders>
                    <w:tl2br w:val="nil"/>
                    <w:tr2bl w:val="nil"/>
                  </w:tcBorders>
                  <w:shd w:val="clear" w:color="auto" w:fill="auto"/>
                  <w:vAlign w:val="center"/>
                </w:tcPr>
                <w:p w14:paraId="1867AEE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s="Times New Roman"/>
                      <w:color w:val="auto"/>
                      <w:highlight w:val="none"/>
                      <w:lang w:val="en-US" w:eastAsia="zh-CN"/>
                    </w:rPr>
                    <w:t>非甲烷总烃</w:t>
                  </w:r>
                </w:p>
              </w:tc>
              <w:tc>
                <w:tcPr>
                  <w:tcW w:w="1177" w:type="dxa"/>
                  <w:tcBorders>
                    <w:tl2br w:val="nil"/>
                    <w:tr2bl w:val="nil"/>
                  </w:tcBorders>
                  <w:shd w:val="clear" w:color="auto" w:fill="auto"/>
                  <w:vAlign w:val="center"/>
                </w:tcPr>
                <w:p w14:paraId="4999FF06">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s="Times New Roman"/>
                      <w:color w:val="auto"/>
                      <w:highlight w:val="none"/>
                      <w:lang w:val="en-US" w:eastAsia="zh-CN"/>
                    </w:rPr>
                    <w:t>1次/年</w:t>
                  </w:r>
                </w:p>
              </w:tc>
              <w:tc>
                <w:tcPr>
                  <w:tcW w:w="3323" w:type="dxa"/>
                  <w:tcBorders>
                    <w:tl2br w:val="nil"/>
                    <w:tr2bl w:val="nil"/>
                  </w:tcBorders>
                  <w:shd w:val="clear" w:color="auto" w:fill="auto"/>
                  <w:vAlign w:val="center"/>
                </w:tcPr>
                <w:p w14:paraId="609994FA">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eastAsia" w:ascii="Times New Roman" w:hAnsi="Times New Roman" w:eastAsia="宋体"/>
                      <w:color w:val="auto"/>
                      <w:highlight w:val="none"/>
                      <w:lang w:val="en-US" w:eastAsia="zh-CN"/>
                    </w:rPr>
                    <w:t>《挥发性有机物无组织排放控制标准》（GB37822</w:t>
                  </w:r>
                  <w:r>
                    <w:rPr>
                      <w:rFonts w:hint="eastAsia"/>
                      <w:color w:val="auto"/>
                      <w:highlight w:val="none"/>
                      <w:lang w:val="en-US" w:eastAsia="zh-CN"/>
                    </w:rPr>
                    <w:t>-</w:t>
                  </w:r>
                  <w:r>
                    <w:rPr>
                      <w:rFonts w:hint="eastAsia" w:ascii="Times New Roman" w:hAnsi="Times New Roman" w:eastAsia="宋体"/>
                      <w:color w:val="auto"/>
                      <w:highlight w:val="none"/>
                      <w:lang w:val="en-US" w:eastAsia="zh-CN"/>
                    </w:rPr>
                    <w:t>2019）</w:t>
                  </w:r>
                  <w:r>
                    <w:rPr>
                      <w:rFonts w:hint="eastAsia"/>
                      <w:color w:val="auto"/>
                      <w:highlight w:val="none"/>
                      <w:lang w:val="en-US" w:eastAsia="zh-CN"/>
                    </w:rPr>
                    <w:t>附录A表A.1限值</w:t>
                  </w:r>
                </w:p>
              </w:tc>
            </w:tr>
            <w:tr w14:paraId="16B948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63" w:type="dxa"/>
                  <w:tcBorders>
                    <w:tl2br w:val="nil"/>
                    <w:tr2bl w:val="nil"/>
                  </w:tcBorders>
                  <w:shd w:val="clear" w:color="auto" w:fill="auto"/>
                  <w:vAlign w:val="center"/>
                </w:tcPr>
                <w:p w14:paraId="55321BE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废水</w:t>
                  </w:r>
                </w:p>
              </w:tc>
              <w:tc>
                <w:tcPr>
                  <w:tcW w:w="1281" w:type="dxa"/>
                  <w:tcBorders>
                    <w:tl2br w:val="nil"/>
                    <w:tr2bl w:val="nil"/>
                  </w:tcBorders>
                  <w:shd w:val="clear" w:color="auto" w:fill="auto"/>
                  <w:vAlign w:val="center"/>
                </w:tcPr>
                <w:p w14:paraId="7E64F35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废水总排口</w:t>
                  </w:r>
                </w:p>
              </w:tc>
              <w:tc>
                <w:tcPr>
                  <w:tcW w:w="1479" w:type="dxa"/>
                  <w:tcBorders>
                    <w:tl2br w:val="nil"/>
                    <w:tr2bl w:val="nil"/>
                  </w:tcBorders>
                  <w:shd w:val="clear" w:color="auto" w:fill="auto"/>
                  <w:vAlign w:val="center"/>
                </w:tcPr>
                <w:p w14:paraId="01D9021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rPr>
                    <w:t>流量、</w:t>
                  </w:r>
                  <w:r>
                    <w:rPr>
                      <w:rFonts w:hint="default" w:ascii="Times New Roman" w:hAnsi="Times New Roman" w:eastAsia="宋体"/>
                      <w:color w:val="auto"/>
                      <w:highlight w:val="none"/>
                      <w:lang w:val="en-US"/>
                    </w:rPr>
                    <w:t>pH</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COD</w:t>
                  </w:r>
                  <w:r>
                    <w:rPr>
                      <w:rFonts w:hint="eastAsia" w:ascii="Times New Roman" w:hAnsi="Times New Roman" w:eastAsia="宋体"/>
                      <w:color w:val="auto"/>
                      <w:highlight w:val="none"/>
                      <w:lang w:val="en-US"/>
                    </w:rPr>
                    <w:t>、</w:t>
                  </w:r>
                  <w:r>
                    <w:rPr>
                      <w:rFonts w:hint="eastAsia"/>
                      <w:color w:val="auto"/>
                      <w:highlight w:val="none"/>
                      <w:lang w:val="en-US" w:eastAsia="zh-CN"/>
                    </w:rPr>
                    <w:t>BOD</w:t>
                  </w:r>
                  <w:r>
                    <w:rPr>
                      <w:rFonts w:hint="eastAsia"/>
                      <w:color w:val="auto"/>
                      <w:highlight w:val="none"/>
                      <w:vertAlign w:val="subscript"/>
                      <w:lang w:val="en-US" w:eastAsia="zh-CN"/>
                    </w:rPr>
                    <w:t>5</w:t>
                  </w:r>
                  <w:r>
                    <w:rPr>
                      <w:rFonts w:hint="eastAsia"/>
                      <w:color w:val="auto"/>
                      <w:highlight w:val="none"/>
                      <w:lang w:val="en-US" w:eastAsia="zh-CN"/>
                    </w:rPr>
                    <w:t>、</w:t>
                  </w:r>
                  <w:r>
                    <w:rPr>
                      <w:rFonts w:hint="default" w:ascii="Times New Roman" w:hAnsi="Times New Roman" w:eastAsia="宋体"/>
                      <w:color w:val="auto"/>
                      <w:highlight w:val="none"/>
                      <w:lang w:val="en-US"/>
                    </w:rPr>
                    <w:t>SS</w:t>
                  </w:r>
                  <w:r>
                    <w:rPr>
                      <w:rFonts w:hint="eastAsia" w:ascii="Times New Roman" w:hAnsi="Times New Roman" w:eastAsia="宋体"/>
                      <w:color w:val="auto"/>
                      <w:highlight w:val="none"/>
                      <w:lang w:val="en-US"/>
                    </w:rPr>
                    <w:t>、氨氮、</w:t>
                  </w:r>
                  <w:r>
                    <w:rPr>
                      <w:rFonts w:hint="default" w:ascii="Times New Roman" w:hAnsi="Times New Roman" w:eastAsia="宋体"/>
                      <w:color w:val="auto"/>
                      <w:highlight w:val="none"/>
                      <w:lang w:val="en-US"/>
                    </w:rPr>
                    <w:t>TP</w:t>
                  </w:r>
                  <w:r>
                    <w:rPr>
                      <w:rFonts w:hint="eastAsia" w:ascii="Times New Roman" w:hAnsi="Times New Roman" w:eastAsia="宋体"/>
                      <w:color w:val="auto"/>
                      <w:highlight w:val="none"/>
                      <w:lang w:val="en-US"/>
                    </w:rPr>
                    <w:t>、</w:t>
                  </w:r>
                  <w:r>
                    <w:rPr>
                      <w:rFonts w:hint="default" w:ascii="Times New Roman" w:hAnsi="Times New Roman" w:eastAsia="宋体"/>
                      <w:color w:val="auto"/>
                      <w:highlight w:val="none"/>
                      <w:lang w:val="en-US"/>
                    </w:rPr>
                    <w:t>TN</w:t>
                  </w:r>
                </w:p>
              </w:tc>
              <w:tc>
                <w:tcPr>
                  <w:tcW w:w="1177" w:type="dxa"/>
                  <w:tcBorders>
                    <w:tl2br w:val="nil"/>
                    <w:tr2bl w:val="nil"/>
                  </w:tcBorders>
                  <w:shd w:val="clear" w:color="auto" w:fill="auto"/>
                  <w:vAlign w:val="center"/>
                </w:tcPr>
                <w:p w14:paraId="7D31F4F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1</w:t>
                  </w:r>
                  <w:r>
                    <w:rPr>
                      <w:rFonts w:hint="eastAsia" w:ascii="Times New Roman" w:hAnsi="Times New Roman" w:eastAsia="宋体"/>
                      <w:color w:val="auto"/>
                      <w:highlight w:val="none"/>
                      <w:lang w:val="en-US"/>
                    </w:rPr>
                    <w:t>次</w:t>
                  </w:r>
                  <w:r>
                    <w:rPr>
                      <w:rFonts w:hint="default" w:ascii="Times New Roman" w:hAnsi="Times New Roman" w:eastAsia="宋体"/>
                      <w:color w:val="auto"/>
                      <w:highlight w:val="none"/>
                      <w:lang w:val="en-US"/>
                    </w:rPr>
                    <w:t>/</w:t>
                  </w:r>
                  <w:r>
                    <w:rPr>
                      <w:rFonts w:hint="eastAsia" w:ascii="Times New Roman" w:hAnsi="Times New Roman" w:eastAsia="宋体"/>
                      <w:color w:val="auto"/>
                      <w:highlight w:val="none"/>
                      <w:lang w:val="en-US"/>
                    </w:rPr>
                    <w:t>年</w:t>
                  </w:r>
                </w:p>
              </w:tc>
              <w:tc>
                <w:tcPr>
                  <w:tcW w:w="3323" w:type="dxa"/>
                  <w:tcBorders>
                    <w:tl2br w:val="nil"/>
                    <w:tr2bl w:val="nil"/>
                  </w:tcBorders>
                  <w:shd w:val="clear" w:color="auto" w:fill="auto"/>
                  <w:vAlign w:val="center"/>
                </w:tcPr>
                <w:p w14:paraId="008F5B9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《污水综合排放标准》（GB8978-1996）表4中三级标准及</w:t>
                  </w:r>
                  <w:r>
                    <w:rPr>
                      <w:rFonts w:hint="eastAsia"/>
                      <w:color w:val="auto"/>
                      <w:highlight w:val="none"/>
                      <w:lang w:val="en-US" w:eastAsia="zh-CN"/>
                    </w:rPr>
                    <w:t>空港</w:t>
                  </w:r>
                  <w:r>
                    <w:rPr>
                      <w:rFonts w:hint="eastAsia" w:ascii="Times New Roman" w:hAnsi="Times New Roman" w:eastAsia="宋体"/>
                      <w:color w:val="auto"/>
                      <w:highlight w:val="none"/>
                      <w:lang w:val="en-US"/>
                    </w:rPr>
                    <w:t>污水处理厂接管水质要求</w:t>
                  </w:r>
                </w:p>
              </w:tc>
            </w:tr>
            <w:tr w14:paraId="01B4DF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63" w:type="dxa"/>
                  <w:tcBorders>
                    <w:tl2br w:val="nil"/>
                    <w:tr2bl w:val="nil"/>
                  </w:tcBorders>
                  <w:shd w:val="clear" w:color="auto" w:fill="auto"/>
                  <w:vAlign w:val="center"/>
                </w:tcPr>
                <w:p w14:paraId="5D19B41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噪声</w:t>
                  </w:r>
                </w:p>
              </w:tc>
              <w:tc>
                <w:tcPr>
                  <w:tcW w:w="1281" w:type="dxa"/>
                  <w:tcBorders>
                    <w:tl2br w:val="nil"/>
                    <w:tr2bl w:val="nil"/>
                  </w:tcBorders>
                  <w:shd w:val="clear" w:color="auto" w:fill="auto"/>
                  <w:vAlign w:val="center"/>
                </w:tcPr>
                <w:p w14:paraId="3E1F6E7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厂界四周外</w:t>
                  </w:r>
                  <w:r>
                    <w:rPr>
                      <w:rFonts w:hint="default" w:ascii="Times New Roman" w:hAnsi="Times New Roman" w:eastAsia="宋体"/>
                      <w:color w:val="auto"/>
                      <w:highlight w:val="none"/>
                      <w:lang w:val="en-US"/>
                    </w:rPr>
                    <w:t>1m</w:t>
                  </w:r>
                </w:p>
              </w:tc>
              <w:tc>
                <w:tcPr>
                  <w:tcW w:w="1479" w:type="dxa"/>
                  <w:tcBorders>
                    <w:tl2br w:val="nil"/>
                    <w:tr2bl w:val="nil"/>
                  </w:tcBorders>
                  <w:shd w:val="clear" w:color="auto" w:fill="auto"/>
                  <w:vAlign w:val="center"/>
                </w:tcPr>
                <w:p w14:paraId="56DE077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等效</w:t>
                  </w:r>
                  <w:r>
                    <w:rPr>
                      <w:rFonts w:hint="default" w:ascii="Times New Roman" w:hAnsi="Times New Roman" w:eastAsia="宋体"/>
                      <w:color w:val="auto"/>
                      <w:highlight w:val="none"/>
                      <w:lang w:val="en-US"/>
                    </w:rPr>
                    <w:t>A</w:t>
                  </w:r>
                  <w:r>
                    <w:rPr>
                      <w:rFonts w:hint="eastAsia" w:ascii="Times New Roman" w:hAnsi="Times New Roman" w:eastAsia="宋体"/>
                      <w:color w:val="auto"/>
                      <w:highlight w:val="none"/>
                      <w:lang w:val="en-US"/>
                    </w:rPr>
                    <w:t>声级</w:t>
                  </w:r>
                </w:p>
              </w:tc>
              <w:tc>
                <w:tcPr>
                  <w:tcW w:w="1177" w:type="dxa"/>
                  <w:tcBorders>
                    <w:tl2br w:val="nil"/>
                    <w:tr2bl w:val="nil"/>
                  </w:tcBorders>
                  <w:shd w:val="clear" w:color="auto" w:fill="auto"/>
                  <w:vAlign w:val="center"/>
                </w:tcPr>
                <w:p w14:paraId="1ED0AB6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1次/季度，昼</w:t>
                  </w:r>
                  <w:r>
                    <w:rPr>
                      <w:rFonts w:hint="eastAsia"/>
                      <w:color w:val="auto"/>
                      <w:highlight w:val="none"/>
                      <w:lang w:val="en-US" w:eastAsia="zh-CN"/>
                    </w:rPr>
                    <w:t>夜各</w:t>
                  </w:r>
                  <w:r>
                    <w:rPr>
                      <w:rFonts w:hint="eastAsia" w:ascii="Times New Roman" w:hAnsi="Times New Roman" w:eastAsia="宋体"/>
                      <w:color w:val="auto"/>
                      <w:highlight w:val="none"/>
                      <w:lang w:val="en-US"/>
                    </w:rPr>
                    <w:t>一次</w:t>
                  </w:r>
                </w:p>
              </w:tc>
              <w:tc>
                <w:tcPr>
                  <w:tcW w:w="3323" w:type="dxa"/>
                  <w:tcBorders>
                    <w:tl2br w:val="nil"/>
                    <w:tr2bl w:val="nil"/>
                  </w:tcBorders>
                  <w:shd w:val="clear" w:color="auto" w:fill="auto"/>
                  <w:vAlign w:val="center"/>
                </w:tcPr>
                <w:p w14:paraId="464C8C7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《工业企业厂界环境噪声排放标准》（</w:t>
                  </w:r>
                  <w:r>
                    <w:rPr>
                      <w:rFonts w:hint="default" w:ascii="Times New Roman" w:hAnsi="Times New Roman" w:eastAsia="宋体"/>
                      <w:color w:val="auto"/>
                      <w:highlight w:val="none"/>
                      <w:lang w:val="en-US"/>
                    </w:rPr>
                    <w:t>GB12348-2008</w:t>
                  </w:r>
                  <w:r>
                    <w:rPr>
                      <w:rFonts w:hint="eastAsia" w:ascii="Times New Roman" w:hAnsi="Times New Roman" w:eastAsia="宋体"/>
                      <w:color w:val="auto"/>
                      <w:highlight w:val="none"/>
                      <w:lang w:val="en-US"/>
                    </w:rPr>
                    <w:t>）中的</w:t>
                  </w:r>
                  <w:r>
                    <w:rPr>
                      <w:rFonts w:hint="eastAsia"/>
                      <w:color w:val="auto"/>
                      <w:highlight w:val="none"/>
                      <w:lang w:val="en-US" w:eastAsia="zh-CN"/>
                    </w:rPr>
                    <w:t>3</w:t>
                  </w:r>
                  <w:r>
                    <w:rPr>
                      <w:rFonts w:hint="eastAsia" w:ascii="Times New Roman" w:hAnsi="Times New Roman" w:eastAsia="宋体"/>
                      <w:color w:val="auto"/>
                      <w:highlight w:val="none"/>
                      <w:lang w:val="en-US"/>
                    </w:rPr>
                    <w:t>类标准</w:t>
                  </w:r>
                </w:p>
              </w:tc>
            </w:tr>
          </w:tbl>
          <w:p w14:paraId="12E2EBE3">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（3）排污许可制度的建立</w:t>
            </w:r>
          </w:p>
          <w:p w14:paraId="268026D4">
            <w:pPr>
              <w:keepNext w:val="0"/>
              <w:keepLines w:val="0"/>
              <w:suppressLineNumbers w:val="0"/>
              <w:bidi w:val="0"/>
              <w:spacing w:before="0" w:beforeAutospacing="0" w:after="0" w:afterAutospacing="0"/>
              <w:ind w:left="0" w:right="0"/>
              <w:rPr>
                <w:rFonts w:hint="default"/>
                <w:color w:val="auto"/>
                <w:lang w:val="en-US"/>
              </w:rPr>
            </w:pPr>
            <w:r>
              <w:rPr>
                <w:rFonts w:hint="default"/>
                <w:color w:val="auto"/>
                <w:lang w:val="en-US"/>
              </w:rPr>
              <w:t>1）排污许可分类管理</w:t>
            </w:r>
          </w:p>
          <w:p w14:paraId="1D5E68D0">
            <w:pPr>
              <w:keepNext w:val="0"/>
              <w:keepLines w:val="0"/>
              <w:suppressLineNumbers w:val="0"/>
              <w:bidi w:val="0"/>
              <w:spacing w:before="0" w:beforeAutospacing="0" w:after="0" w:afterAutospacing="0"/>
              <w:ind w:left="0" w:right="0"/>
              <w:rPr>
                <w:rFonts w:hint="eastAsia"/>
                <w:color w:val="auto"/>
                <w:lang w:val="en-US"/>
              </w:rPr>
            </w:pPr>
            <w:r>
              <w:rPr>
                <w:rFonts w:hint="default"/>
                <w:color w:val="auto"/>
                <w:lang w:val="en-US"/>
              </w:rPr>
              <w:t>根据《国民经济行业分类》（GB/T4754-2017），本项目行业类别属于</w:t>
            </w:r>
            <w:r>
              <w:rPr>
                <w:rFonts w:hint="eastAsia"/>
                <w:color w:val="auto"/>
                <w:lang w:val="en-US" w:eastAsia="zh-CN"/>
              </w:rPr>
              <w:t>C1522</w:t>
            </w:r>
            <w:r>
              <w:rPr>
                <w:rFonts w:hint="eastAsia"/>
                <w:color w:val="auto"/>
                <w:lang w:val="en-US"/>
              </w:rPr>
              <w:t>瓶（罐）装饮用水制造，项目不涉及通用工序</w:t>
            </w:r>
            <w:r>
              <w:rPr>
                <w:rFonts w:hint="default"/>
                <w:color w:val="auto"/>
                <w:lang w:val="en-US"/>
              </w:rPr>
              <w:t>，对照《固定污染源排污许可分类管理名录（2019年版）》</w:t>
            </w:r>
            <w:r>
              <w:rPr>
                <w:rFonts w:hint="eastAsia"/>
                <w:color w:val="auto"/>
                <w:lang w:val="en-US" w:eastAsia="zh-CN"/>
              </w:rPr>
              <w:t>中</w:t>
            </w:r>
            <w:r>
              <w:rPr>
                <w:rFonts w:hint="eastAsia"/>
                <w:color w:val="auto"/>
                <w:lang w:val="en-US"/>
              </w:rPr>
              <w:t>“</w:t>
            </w:r>
            <w:r>
              <w:rPr>
                <w:rFonts w:hint="default"/>
                <w:color w:val="auto"/>
                <w:lang w:val="en-US"/>
              </w:rPr>
              <w:t>十、酒、饮料和精制茶制造业15</w:t>
            </w:r>
            <w:r>
              <w:rPr>
                <w:rFonts w:hint="eastAsia"/>
                <w:color w:val="auto"/>
                <w:lang w:val="en-US"/>
              </w:rPr>
              <w:t>-</w:t>
            </w:r>
            <w:r>
              <w:rPr>
                <w:rFonts w:hint="eastAsia"/>
                <w:color w:val="auto"/>
                <w:lang w:val="en-US" w:eastAsia="zh-CN"/>
              </w:rPr>
              <w:t>22</w:t>
            </w:r>
            <w:r>
              <w:rPr>
                <w:rFonts w:hint="eastAsia"/>
                <w:color w:val="auto"/>
                <w:lang w:val="en-US"/>
              </w:rPr>
              <w:t>饮料制造152</w:t>
            </w:r>
            <w:r>
              <w:rPr>
                <w:rFonts w:hint="eastAsia"/>
                <w:color w:val="auto"/>
                <w:lang w:val="en-US" w:eastAsia="zh-CN"/>
              </w:rPr>
              <w:t>－其他</w:t>
            </w:r>
            <w:r>
              <w:rPr>
                <w:rFonts w:hint="eastAsia"/>
                <w:color w:val="auto"/>
                <w:lang w:val="en-US"/>
              </w:rPr>
              <w:t>”类</w:t>
            </w:r>
            <w:r>
              <w:rPr>
                <w:rFonts w:hint="eastAsia"/>
                <w:color w:val="auto"/>
                <w:lang w:val="en-US" w:eastAsia="zh-CN"/>
              </w:rPr>
              <w:t>别管理要求，本项目应实施登记管理，</w:t>
            </w:r>
            <w:r>
              <w:rPr>
                <w:rFonts w:hint="default"/>
                <w:color w:val="auto"/>
                <w:lang w:val="en-US"/>
              </w:rPr>
              <w:t>排污许可类别判定详见</w:t>
            </w:r>
            <w:r>
              <w:rPr>
                <w:rFonts w:hint="eastAsia"/>
                <w:color w:val="auto"/>
                <w:lang w:val="en-US"/>
              </w:rPr>
              <w:t>下</w:t>
            </w:r>
            <w:r>
              <w:rPr>
                <w:rFonts w:hint="default"/>
                <w:color w:val="auto"/>
                <w:lang w:val="en-US"/>
              </w:rPr>
              <w:t>表</w:t>
            </w:r>
            <w:r>
              <w:rPr>
                <w:rFonts w:hint="eastAsia"/>
                <w:color w:val="auto"/>
                <w:lang w:val="en-US"/>
              </w:rPr>
              <w:t>：</w:t>
            </w:r>
          </w:p>
          <w:p w14:paraId="49E7A637">
            <w:pPr>
              <w:pStyle w:val="23"/>
              <w:keepNext w:val="0"/>
              <w:keepLines w:val="0"/>
              <w:suppressLineNumbers w:val="0"/>
              <w:bidi w:val="0"/>
              <w:spacing w:before="0" w:beforeAutospacing="0" w:after="0" w:afterAutospacing="0"/>
              <w:ind w:left="0" w:right="0"/>
              <w:rPr>
                <w:rFonts w:hint="default"/>
                <w:color w:val="auto"/>
              </w:rPr>
            </w:pPr>
            <w:r>
              <w:rPr>
                <w:color w:val="auto"/>
              </w:rPr>
              <w:t>表4-</w:t>
            </w:r>
            <w:r>
              <w:rPr>
                <w:rFonts w:hint="eastAsia"/>
                <w:color w:val="auto"/>
                <w:lang w:val="en-US" w:eastAsia="zh-CN"/>
              </w:rPr>
              <w:t>37</w:t>
            </w:r>
            <w:r>
              <w:rPr>
                <w:color w:val="auto"/>
              </w:rPr>
              <w:t>排污许可管理类别判定表</w:t>
            </w:r>
          </w:p>
          <w:tbl>
            <w:tblPr>
              <w:tblStyle w:val="30"/>
              <w:tblW w:w="7823"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433"/>
              <w:gridCol w:w="1270"/>
              <w:gridCol w:w="1678"/>
              <w:gridCol w:w="2888"/>
              <w:gridCol w:w="1554"/>
            </w:tblGrid>
            <w:tr w14:paraId="7FBEA06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33" w:type="dxa"/>
                  <w:tcBorders>
                    <w:tl2br w:val="nil"/>
                    <w:tr2bl w:val="nil"/>
                  </w:tcBorders>
                  <w:vAlign w:val="center"/>
                </w:tcPr>
                <w:p w14:paraId="56E05DBA">
                  <w:pPr>
                    <w:pStyle w:val="21"/>
                    <w:bidi w:val="0"/>
                    <w:rPr>
                      <w:b/>
                      <w:bCs/>
                      <w:color w:val="auto"/>
                      <w:lang w:val="en-US"/>
                    </w:rPr>
                  </w:pPr>
                  <w:r>
                    <w:rPr>
                      <w:rFonts w:hint="eastAsia"/>
                      <w:b/>
                      <w:bCs/>
                      <w:color w:val="auto"/>
                      <w:lang w:val="en-US"/>
                    </w:rPr>
                    <w:t>序号</w:t>
                  </w:r>
                </w:p>
              </w:tc>
              <w:tc>
                <w:tcPr>
                  <w:tcW w:w="1270" w:type="dxa"/>
                  <w:tcBorders>
                    <w:tl2br w:val="nil"/>
                    <w:tr2bl w:val="nil"/>
                  </w:tcBorders>
                  <w:vAlign w:val="center"/>
                </w:tcPr>
                <w:p w14:paraId="787888ED">
                  <w:pPr>
                    <w:pStyle w:val="21"/>
                    <w:bidi w:val="0"/>
                    <w:rPr>
                      <w:b/>
                      <w:bCs/>
                      <w:color w:val="auto"/>
                      <w:lang w:val="en-US"/>
                    </w:rPr>
                  </w:pPr>
                  <w:r>
                    <w:rPr>
                      <w:rFonts w:hint="eastAsia"/>
                      <w:b/>
                      <w:bCs/>
                      <w:color w:val="auto"/>
                      <w:lang w:val="en-US"/>
                    </w:rPr>
                    <w:t>行业类别</w:t>
                  </w:r>
                </w:p>
              </w:tc>
              <w:tc>
                <w:tcPr>
                  <w:tcW w:w="1678" w:type="dxa"/>
                  <w:tcBorders>
                    <w:tl2br w:val="nil"/>
                    <w:tr2bl w:val="nil"/>
                  </w:tcBorders>
                  <w:vAlign w:val="center"/>
                </w:tcPr>
                <w:p w14:paraId="4329DC91">
                  <w:pPr>
                    <w:pStyle w:val="21"/>
                    <w:bidi w:val="0"/>
                    <w:rPr>
                      <w:b/>
                      <w:bCs/>
                      <w:color w:val="auto"/>
                      <w:lang w:val="en-US"/>
                    </w:rPr>
                  </w:pPr>
                  <w:r>
                    <w:rPr>
                      <w:rFonts w:hint="eastAsia"/>
                      <w:b/>
                      <w:bCs/>
                      <w:color w:val="auto"/>
                      <w:lang w:val="en-US"/>
                    </w:rPr>
                    <w:t>重点管理</w:t>
                  </w:r>
                </w:p>
              </w:tc>
              <w:tc>
                <w:tcPr>
                  <w:tcW w:w="2888" w:type="dxa"/>
                  <w:tcBorders>
                    <w:tl2br w:val="nil"/>
                    <w:tr2bl w:val="nil"/>
                  </w:tcBorders>
                  <w:shd w:val="clear" w:color="auto" w:fill="auto"/>
                  <w:vAlign w:val="center"/>
                </w:tcPr>
                <w:p w14:paraId="37FF72E1">
                  <w:pPr>
                    <w:pStyle w:val="21"/>
                    <w:bidi w:val="0"/>
                    <w:rPr>
                      <w:b/>
                      <w:bCs/>
                      <w:color w:val="auto"/>
                      <w:lang w:val="en-US"/>
                    </w:rPr>
                  </w:pPr>
                  <w:r>
                    <w:rPr>
                      <w:rFonts w:hint="eastAsia"/>
                      <w:b/>
                      <w:bCs/>
                      <w:color w:val="auto"/>
                      <w:lang w:val="en-US"/>
                    </w:rPr>
                    <w:t>简化管理</w:t>
                  </w:r>
                </w:p>
              </w:tc>
              <w:tc>
                <w:tcPr>
                  <w:tcW w:w="1554" w:type="dxa"/>
                  <w:tcBorders>
                    <w:tl2br w:val="nil"/>
                    <w:tr2bl w:val="nil"/>
                  </w:tcBorders>
                  <w:shd w:val="clear" w:color="auto" w:fill="D7D7D7" w:themeFill="background1" w:themeFillShade="D8"/>
                  <w:vAlign w:val="center"/>
                </w:tcPr>
                <w:p w14:paraId="5DE6F129">
                  <w:pPr>
                    <w:pStyle w:val="21"/>
                    <w:bidi w:val="0"/>
                    <w:rPr>
                      <w:b/>
                      <w:bCs/>
                      <w:color w:val="auto"/>
                      <w:lang w:val="en-US"/>
                    </w:rPr>
                  </w:pPr>
                  <w:r>
                    <w:rPr>
                      <w:rFonts w:hint="eastAsia"/>
                      <w:b/>
                      <w:bCs/>
                      <w:color w:val="auto"/>
                      <w:lang w:val="en-US"/>
                    </w:rPr>
                    <w:t>登记管理</w:t>
                  </w:r>
                </w:p>
              </w:tc>
            </w:tr>
            <w:tr w14:paraId="20C8397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823" w:type="dxa"/>
                  <w:gridSpan w:val="5"/>
                  <w:tcBorders>
                    <w:tl2br w:val="nil"/>
                    <w:tr2bl w:val="nil"/>
                  </w:tcBorders>
                  <w:shd w:val="clear" w:color="auto" w:fill="auto"/>
                  <w:vAlign w:val="center"/>
                </w:tcPr>
                <w:p w14:paraId="4F1CD946">
                  <w:pPr>
                    <w:pStyle w:val="21"/>
                    <w:bidi w:val="0"/>
                    <w:jc w:val="both"/>
                    <w:rPr>
                      <w:color w:val="auto"/>
                      <w:lang w:val="en-US"/>
                    </w:rPr>
                  </w:pPr>
                  <w:r>
                    <w:rPr>
                      <w:rFonts w:hint="default"/>
                      <w:color w:val="auto"/>
                      <w:lang w:val="en-US"/>
                    </w:rPr>
                    <w:t>十、酒、饮料和精制茶制造业15</w:t>
                  </w:r>
                </w:p>
              </w:tc>
            </w:tr>
            <w:tr w14:paraId="1D74862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33" w:type="dxa"/>
                  <w:tcBorders>
                    <w:tl2br w:val="nil"/>
                    <w:tr2bl w:val="nil"/>
                  </w:tcBorders>
                  <w:vAlign w:val="center"/>
                </w:tcPr>
                <w:p w14:paraId="3C510DFA">
                  <w:pPr>
                    <w:pStyle w:val="21"/>
                    <w:bidi w:val="0"/>
                    <w:rPr>
                      <w:rFonts w:hint="default"/>
                      <w:color w:val="auto"/>
                      <w:lang w:val="en-US" w:eastAsia="zh-CN"/>
                    </w:rPr>
                  </w:pPr>
                  <w:r>
                    <w:rPr>
                      <w:rFonts w:hint="eastAsia"/>
                      <w:color w:val="auto"/>
                      <w:lang w:val="en-US" w:eastAsia="zh-CN"/>
                    </w:rPr>
                    <w:t>22</w:t>
                  </w:r>
                </w:p>
              </w:tc>
              <w:tc>
                <w:tcPr>
                  <w:tcW w:w="1270" w:type="dxa"/>
                  <w:tcBorders>
                    <w:tl2br w:val="nil"/>
                    <w:tr2bl w:val="nil"/>
                  </w:tcBorders>
                  <w:vAlign w:val="center"/>
                </w:tcPr>
                <w:p w14:paraId="0C920CCF">
                  <w:pPr>
                    <w:pStyle w:val="21"/>
                    <w:bidi w:val="0"/>
                    <w:rPr>
                      <w:color w:val="auto"/>
                    </w:rPr>
                  </w:pPr>
                  <w:r>
                    <w:rPr>
                      <w:rFonts w:hint="eastAsia"/>
                      <w:color w:val="auto"/>
                      <w:lang w:val="en-US"/>
                    </w:rPr>
                    <w:t>饮料制造152</w:t>
                  </w:r>
                </w:p>
              </w:tc>
              <w:tc>
                <w:tcPr>
                  <w:tcW w:w="1678" w:type="dxa"/>
                  <w:tcBorders>
                    <w:tl2br w:val="nil"/>
                    <w:tr2bl w:val="nil"/>
                  </w:tcBorders>
                  <w:vAlign w:val="center"/>
                </w:tcPr>
                <w:p w14:paraId="5A0224A2">
                  <w:pPr>
                    <w:pStyle w:val="21"/>
                    <w:bidi w:val="0"/>
                    <w:rPr>
                      <w:rFonts w:hint="eastAsia"/>
                      <w:color w:val="auto"/>
                      <w:lang w:eastAsia="zh-CN"/>
                    </w:rPr>
                  </w:pPr>
                  <w:r>
                    <w:rPr>
                      <w:rFonts w:hint="eastAsia"/>
                      <w:color w:val="auto"/>
                      <w:lang w:val="en-US" w:eastAsia="zh-CN"/>
                    </w:rPr>
                    <w:t>/</w:t>
                  </w:r>
                </w:p>
              </w:tc>
              <w:tc>
                <w:tcPr>
                  <w:tcW w:w="2888" w:type="dxa"/>
                  <w:tcBorders>
                    <w:tl2br w:val="nil"/>
                    <w:tr2bl w:val="nil"/>
                  </w:tcBorders>
                  <w:shd w:val="clear" w:color="auto" w:fill="auto"/>
                  <w:vAlign w:val="center"/>
                </w:tcPr>
                <w:p w14:paraId="1F4446FA">
                  <w:pPr>
                    <w:pStyle w:val="21"/>
                    <w:bidi w:val="0"/>
                    <w:rPr>
                      <w:rFonts w:hint="eastAsia"/>
                      <w:color w:val="auto"/>
                      <w:lang w:eastAsia="zh-CN"/>
                    </w:rPr>
                  </w:pPr>
                  <w:r>
                    <w:rPr>
                      <w:rFonts w:hint="eastAsia"/>
                      <w:color w:val="auto"/>
                      <w:lang w:val="en-US" w:eastAsia="zh-CN"/>
                    </w:rPr>
                    <w:t>有发酵工艺或者原汁生产的</w:t>
                  </w:r>
                </w:p>
              </w:tc>
              <w:tc>
                <w:tcPr>
                  <w:tcW w:w="1554" w:type="dxa"/>
                  <w:tcBorders>
                    <w:tl2br w:val="nil"/>
                    <w:tr2bl w:val="nil"/>
                  </w:tcBorders>
                  <w:shd w:val="clear" w:color="auto" w:fill="D7D7D7" w:themeFill="background1" w:themeFillShade="D8"/>
                  <w:vAlign w:val="center"/>
                </w:tcPr>
                <w:p w14:paraId="19639C6B">
                  <w:pPr>
                    <w:pStyle w:val="21"/>
                    <w:bidi w:val="0"/>
                    <w:rPr>
                      <w:rFonts w:hint="eastAsia"/>
                      <w:color w:val="auto"/>
                      <w:lang w:val="en-US" w:eastAsia="zh-CN"/>
                    </w:rPr>
                  </w:pPr>
                  <w:r>
                    <w:rPr>
                      <w:rFonts w:hint="eastAsia"/>
                      <w:color w:val="auto"/>
                      <w:lang w:val="en-US" w:eastAsia="zh-CN"/>
                    </w:rPr>
                    <w:t>其他</w:t>
                  </w:r>
                </w:p>
              </w:tc>
            </w:tr>
          </w:tbl>
          <w:p w14:paraId="1A4BFC89">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2）排污定期报告制度</w:t>
            </w:r>
          </w:p>
          <w:p w14:paraId="7023D03C">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要定期向当地环保部门报告污染治理设施运行情况、污染物排放情况以及污染事故、污染纠纷等情况。</w:t>
            </w:r>
          </w:p>
          <w:p w14:paraId="28F87E0B">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3</w:t>
            </w:r>
            <w:r>
              <w:rPr>
                <w:rFonts w:hint="default" w:ascii="Times New Roman" w:hAnsi="Times New Roman" w:eastAsia="宋体"/>
                <w:color w:val="auto"/>
                <w:highlight w:val="none"/>
                <w:lang w:val="en-US"/>
              </w:rPr>
              <w:t>）社会公开制度</w:t>
            </w:r>
          </w:p>
          <w:p w14:paraId="6008235E">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向社会公开拟建项目污染物排放清单，明确污染物排放的管理要求。包括工程组成及原辅材料组分要求，建设项目拟采取的环境保护措施及主要运行参数，排放的污染物种类、排放浓度和总量指标，排污口信息，执行的环境标准，环境风险防范措施以及环境监测等。</w:t>
            </w:r>
          </w:p>
          <w:p w14:paraId="3341AFE8">
            <w:pPr>
              <w:keepNext w:val="0"/>
              <w:keepLines w:val="0"/>
              <w:suppressLineNumbers w:val="0"/>
              <w:spacing w:before="0" w:beforeAutospacing="0" w:after="0" w:afterAutospacing="0"/>
              <w:ind w:left="0" w:right="0" w:firstLine="48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（4）“三同时”环保验收</w:t>
            </w:r>
          </w:p>
          <w:p w14:paraId="23493299">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建设项目总投资为</w:t>
            </w:r>
            <w:r>
              <w:rPr>
                <w:rFonts w:hint="eastAsia"/>
                <w:color w:val="auto"/>
                <w:highlight w:val="none"/>
                <w:lang w:val="en-US" w:eastAsia="zh-CN"/>
              </w:rPr>
              <w:t>10193.71</w:t>
            </w:r>
            <w:r>
              <w:rPr>
                <w:rFonts w:hint="default" w:ascii="Times New Roman" w:hAnsi="Times New Roman" w:eastAsia="宋体"/>
                <w:color w:val="auto"/>
                <w:highlight w:val="none"/>
                <w:lang w:val="en-US"/>
              </w:rPr>
              <w:t>万元，其中环保投资</w:t>
            </w:r>
            <w:r>
              <w:rPr>
                <w:rFonts w:hint="eastAsia"/>
                <w:color w:val="auto"/>
                <w:highlight w:val="none"/>
                <w:lang w:val="en-US" w:eastAsia="zh-CN"/>
              </w:rPr>
              <w:t>4</w:t>
            </w:r>
            <w:r>
              <w:rPr>
                <w:rFonts w:hint="eastAsia" w:ascii="Times New Roman" w:hAnsi="Times New Roman" w:eastAsia="宋体"/>
                <w:color w:val="auto"/>
                <w:highlight w:val="none"/>
                <w:lang w:val="en-US" w:eastAsia="zh-CN"/>
              </w:rPr>
              <w:t>0</w:t>
            </w:r>
            <w:r>
              <w:rPr>
                <w:rFonts w:hint="default" w:ascii="Times New Roman" w:hAnsi="Times New Roman" w:eastAsia="宋体"/>
                <w:color w:val="auto"/>
                <w:highlight w:val="none"/>
                <w:lang w:val="en-US"/>
              </w:rPr>
              <w:t>万元，占项目总投资的</w:t>
            </w:r>
            <w:r>
              <w:rPr>
                <w:rFonts w:hint="eastAsia"/>
                <w:color w:val="auto"/>
                <w:highlight w:val="none"/>
                <w:lang w:val="en-US" w:eastAsia="zh-CN"/>
              </w:rPr>
              <w:t>0.4</w:t>
            </w:r>
            <w:r>
              <w:rPr>
                <w:rFonts w:hint="default" w:ascii="Times New Roman" w:hAnsi="Times New Roman" w:eastAsia="宋体"/>
                <w:color w:val="auto"/>
                <w:highlight w:val="none"/>
                <w:lang w:val="en-US"/>
              </w:rPr>
              <w:t>%</w:t>
            </w:r>
            <w:r>
              <w:rPr>
                <w:rFonts w:hint="eastAsia" w:ascii="Times New Roman" w:hAnsi="Times New Roman" w:eastAsia="宋体"/>
                <w:color w:val="auto"/>
                <w:highlight w:val="none"/>
                <w:lang w:val="en-US" w:eastAsia="zh-CN"/>
              </w:rPr>
              <w:t>，建设单位须在正式投产前组织竣工环境保护“三同时”验收</w:t>
            </w:r>
            <w:r>
              <w:rPr>
                <w:rFonts w:hint="default" w:ascii="Times New Roman" w:hAnsi="Times New Roman" w:eastAsia="宋体"/>
                <w:color w:val="auto"/>
                <w:highlight w:val="none"/>
                <w:lang w:val="en-US"/>
              </w:rPr>
              <w:t>。建设项目环境保护投资估算及“三同时”验收一览表见</w:t>
            </w:r>
            <w:r>
              <w:rPr>
                <w:rFonts w:hint="eastAsia" w:ascii="Times New Roman" w:hAnsi="Times New Roman" w:eastAsia="宋体"/>
                <w:color w:val="auto"/>
                <w:highlight w:val="none"/>
                <w:lang w:val="en-US"/>
              </w:rPr>
              <w:t>下</w:t>
            </w:r>
            <w:r>
              <w:rPr>
                <w:rFonts w:hint="default" w:ascii="Times New Roman" w:hAnsi="Times New Roman" w:eastAsia="宋体"/>
                <w:color w:val="auto"/>
                <w:highlight w:val="none"/>
                <w:lang w:val="en-US"/>
              </w:rPr>
              <w:t>表</w:t>
            </w:r>
            <w:r>
              <w:rPr>
                <w:rFonts w:hint="eastAsia" w:ascii="Times New Roman" w:hAnsi="Times New Roman" w:eastAsia="宋体"/>
                <w:color w:val="auto"/>
                <w:highlight w:val="none"/>
                <w:lang w:val="en-US"/>
              </w:rPr>
              <w:t>：</w:t>
            </w:r>
          </w:p>
          <w:p w14:paraId="26722BEC">
            <w:pPr>
              <w:pStyle w:val="23"/>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ascii="Times New Roman" w:hAnsi="Times New Roman" w:eastAsia="宋体"/>
                <w:color w:val="auto"/>
                <w:highlight w:val="none"/>
              </w:rPr>
              <w:t>表</w:t>
            </w:r>
            <w:r>
              <w:rPr>
                <w:rFonts w:hint="eastAsia" w:ascii="Times New Roman" w:hAnsi="Times New Roman" w:eastAsia="宋体"/>
                <w:color w:val="auto"/>
                <w:highlight w:val="none"/>
                <w:lang w:val="en-US" w:eastAsia="zh-CN"/>
              </w:rPr>
              <w:t>4-3</w:t>
            </w:r>
            <w:r>
              <w:rPr>
                <w:rFonts w:hint="eastAsia"/>
                <w:color w:val="auto"/>
                <w:highlight w:val="none"/>
                <w:lang w:val="en-US" w:eastAsia="zh-CN"/>
              </w:rPr>
              <w:t>8</w:t>
            </w:r>
            <w:r>
              <w:rPr>
                <w:rFonts w:ascii="Times New Roman" w:hAnsi="Times New Roman" w:eastAsia="宋体"/>
                <w:color w:val="auto"/>
                <w:highlight w:val="none"/>
              </w:rPr>
              <w:t>本项目环保“三同时”</w:t>
            </w:r>
            <w:r>
              <w:rPr>
                <w:rFonts w:hint="eastAsia" w:ascii="Times New Roman" w:hAnsi="Times New Roman" w:eastAsia="宋体"/>
                <w:color w:val="auto"/>
                <w:highlight w:val="none"/>
                <w:lang w:val="en-US" w:eastAsia="zh-CN"/>
              </w:rPr>
              <w:t>验收</w:t>
            </w:r>
            <w:r>
              <w:rPr>
                <w:rFonts w:ascii="Times New Roman" w:hAnsi="Times New Roman" w:eastAsia="宋体"/>
                <w:color w:val="auto"/>
                <w:highlight w:val="none"/>
              </w:rPr>
              <w:t>一览表</w:t>
            </w:r>
          </w:p>
          <w:tbl>
            <w:tblPr>
              <w:tblStyle w:val="16"/>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94"/>
              <w:gridCol w:w="602"/>
              <w:gridCol w:w="1095"/>
              <w:gridCol w:w="2007"/>
              <w:gridCol w:w="1736"/>
              <w:gridCol w:w="817"/>
              <w:gridCol w:w="570"/>
            </w:tblGrid>
            <w:tr w14:paraId="4DA2DD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94" w:type="dxa"/>
                  <w:tcBorders>
                    <w:tl2br w:val="nil"/>
                    <w:tr2bl w:val="nil"/>
                  </w:tcBorders>
                  <w:vAlign w:val="center"/>
                </w:tcPr>
                <w:p w14:paraId="123021B5">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类别</w:t>
                  </w:r>
                </w:p>
              </w:tc>
              <w:tc>
                <w:tcPr>
                  <w:tcW w:w="1697" w:type="dxa"/>
                  <w:gridSpan w:val="2"/>
                  <w:tcBorders>
                    <w:tl2br w:val="nil"/>
                    <w:tr2bl w:val="nil"/>
                  </w:tcBorders>
                  <w:vAlign w:val="center"/>
                </w:tcPr>
                <w:p w14:paraId="4AE1DE85">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污染物</w:t>
                  </w:r>
                </w:p>
              </w:tc>
              <w:tc>
                <w:tcPr>
                  <w:tcW w:w="2007" w:type="dxa"/>
                  <w:tcBorders>
                    <w:tl2br w:val="nil"/>
                    <w:tr2bl w:val="nil"/>
                  </w:tcBorders>
                  <w:vAlign w:val="center"/>
                </w:tcPr>
                <w:p w14:paraId="42ACD8DD">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处理措施（建设数量、规模、处理能力等）</w:t>
                  </w:r>
                </w:p>
              </w:tc>
              <w:tc>
                <w:tcPr>
                  <w:tcW w:w="1736" w:type="dxa"/>
                  <w:tcBorders>
                    <w:tl2br w:val="nil"/>
                    <w:tr2bl w:val="nil"/>
                  </w:tcBorders>
                  <w:vAlign w:val="center"/>
                </w:tcPr>
                <w:p w14:paraId="661626E2">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处理效果、执行标准或拟达要求</w:t>
                  </w:r>
                </w:p>
              </w:tc>
              <w:tc>
                <w:tcPr>
                  <w:tcW w:w="817" w:type="dxa"/>
                  <w:tcBorders>
                    <w:tl2br w:val="nil"/>
                    <w:tr2bl w:val="nil"/>
                  </w:tcBorders>
                  <w:vAlign w:val="center"/>
                </w:tcPr>
                <w:p w14:paraId="32AF399C">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投资额（万元）</w:t>
                  </w:r>
                </w:p>
              </w:tc>
              <w:tc>
                <w:tcPr>
                  <w:tcW w:w="570" w:type="dxa"/>
                  <w:tcBorders>
                    <w:tl2br w:val="nil"/>
                    <w:tr2bl w:val="nil"/>
                  </w:tcBorders>
                  <w:vAlign w:val="center"/>
                </w:tcPr>
                <w:p w14:paraId="6879D457">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完成时间</w:t>
                  </w:r>
                </w:p>
              </w:tc>
            </w:tr>
            <w:tr w14:paraId="62D3EA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94" w:type="dxa"/>
                  <w:vMerge w:val="restart"/>
                  <w:tcBorders>
                    <w:tl2br w:val="nil"/>
                    <w:tr2bl w:val="nil"/>
                  </w:tcBorders>
                  <w:vAlign w:val="center"/>
                </w:tcPr>
                <w:p w14:paraId="36C3AD1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废气</w:t>
                  </w:r>
                </w:p>
              </w:tc>
              <w:tc>
                <w:tcPr>
                  <w:tcW w:w="602" w:type="dxa"/>
                  <w:tcBorders>
                    <w:tl2br w:val="nil"/>
                    <w:tr2bl w:val="nil"/>
                  </w:tcBorders>
                  <w:vAlign w:val="center"/>
                </w:tcPr>
                <w:p w14:paraId="1CDBCF2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eastAsia="zh-CN"/>
                    </w:rPr>
                    <w:t>有</w:t>
                  </w:r>
                  <w:r>
                    <w:rPr>
                      <w:rFonts w:hint="eastAsia" w:ascii="Times New Roman" w:hAnsi="Times New Roman" w:eastAsia="宋体"/>
                      <w:color w:val="auto"/>
                      <w:highlight w:val="none"/>
                      <w:lang w:val="en-US"/>
                    </w:rPr>
                    <w:t>组织</w:t>
                  </w:r>
                </w:p>
              </w:tc>
              <w:tc>
                <w:tcPr>
                  <w:tcW w:w="1095" w:type="dxa"/>
                  <w:tcBorders>
                    <w:tl2br w:val="nil"/>
                    <w:tr2bl w:val="nil"/>
                  </w:tcBorders>
                  <w:vAlign w:val="center"/>
                </w:tcPr>
                <w:p w14:paraId="361FC8F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非甲烷总烃、乙醛</w:t>
                  </w:r>
                </w:p>
              </w:tc>
              <w:tc>
                <w:tcPr>
                  <w:tcW w:w="2007" w:type="dxa"/>
                  <w:tcBorders>
                    <w:tl2br w:val="nil"/>
                    <w:tr2bl w:val="nil"/>
                  </w:tcBorders>
                  <w:vAlign w:val="center"/>
                </w:tcPr>
                <w:p w14:paraId="4D12BA77">
                  <w:pPr>
                    <w:pStyle w:val="21"/>
                    <w:keepNext w:val="0"/>
                    <w:keepLines w:val="0"/>
                    <w:suppressLineNumbers w:val="0"/>
                    <w:spacing w:before="0" w:beforeAutospacing="0" w:after="0" w:afterAutospacing="0"/>
                    <w:ind w:left="0" w:right="0"/>
                    <w:rPr>
                      <w:rFonts w:hint="default"/>
                      <w:color w:val="auto"/>
                      <w:highlight w:val="none"/>
                      <w:vertAlign w:val="baseline"/>
                      <w:lang w:val="en-US" w:eastAsia="zh-CN"/>
                    </w:rPr>
                  </w:pPr>
                  <w:r>
                    <w:rPr>
                      <w:rFonts w:hint="eastAsia"/>
                      <w:color w:val="auto"/>
                      <w:highlight w:val="none"/>
                      <w:lang w:val="en-US" w:eastAsia="zh-CN"/>
                    </w:rPr>
                    <w:t>注塑、吹瓶废气集气罩收集，压盖废气密闭收集后，经一套二级活性炭吸附设施处理，通过15米高排气筒排放，风量25000m</w:t>
                  </w:r>
                  <w:r>
                    <w:rPr>
                      <w:rFonts w:hint="eastAsia"/>
                      <w:color w:val="auto"/>
                      <w:highlight w:val="none"/>
                      <w:vertAlign w:val="superscript"/>
                      <w:lang w:val="en-US" w:eastAsia="zh-CN"/>
                    </w:rPr>
                    <w:t>3</w:t>
                  </w:r>
                  <w:r>
                    <w:rPr>
                      <w:rFonts w:hint="eastAsia"/>
                      <w:color w:val="auto"/>
                      <w:highlight w:val="none"/>
                      <w:vertAlign w:val="baseline"/>
                      <w:lang w:val="en-US" w:eastAsia="zh-CN"/>
                    </w:rPr>
                    <w:t>/h</w:t>
                  </w:r>
                </w:p>
              </w:tc>
              <w:tc>
                <w:tcPr>
                  <w:tcW w:w="1736" w:type="dxa"/>
                  <w:tcBorders>
                    <w:tl2br w:val="nil"/>
                    <w:tr2bl w:val="nil"/>
                  </w:tcBorders>
                  <w:vAlign w:val="center"/>
                </w:tcPr>
                <w:p w14:paraId="2FBCEDA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default"/>
                      <w:color w:val="auto"/>
                      <w:highlight w:val="none"/>
                    </w:rPr>
                    <w:t>《</w:t>
                  </w:r>
                  <w:r>
                    <w:rPr>
                      <w:rFonts w:hint="eastAsia"/>
                      <w:color w:val="auto"/>
                      <w:highlight w:val="none"/>
                      <w:lang w:val="en-US" w:eastAsia="zh-CN"/>
                    </w:rPr>
                    <w:t>合成树脂工业</w:t>
                  </w:r>
                  <w:r>
                    <w:rPr>
                      <w:rFonts w:hint="default"/>
                      <w:color w:val="auto"/>
                      <w:highlight w:val="none"/>
                    </w:rPr>
                    <w:t>污染物排放标准》（</w:t>
                  </w:r>
                  <w:r>
                    <w:rPr>
                      <w:rFonts w:hint="eastAsia"/>
                      <w:color w:val="auto"/>
                      <w:highlight w:val="none"/>
                      <w:lang w:val="en-US" w:eastAsia="zh-CN"/>
                    </w:rPr>
                    <w:t>GB31572-2015</w:t>
                  </w:r>
                  <w:r>
                    <w:rPr>
                      <w:rFonts w:hint="default"/>
                      <w:color w:val="auto"/>
                      <w:highlight w:val="none"/>
                    </w:rPr>
                    <w:t>）</w:t>
                  </w:r>
                  <w:r>
                    <w:rPr>
                      <w:rFonts w:hint="eastAsia"/>
                      <w:color w:val="auto"/>
                      <w:highlight w:val="none"/>
                      <w:lang w:val="en-US" w:eastAsia="zh-CN"/>
                    </w:rPr>
                    <w:t>表5特别排放限值</w:t>
                  </w:r>
                </w:p>
              </w:tc>
              <w:tc>
                <w:tcPr>
                  <w:tcW w:w="817" w:type="dxa"/>
                  <w:tcBorders>
                    <w:tl2br w:val="nil"/>
                    <w:tr2bl w:val="nil"/>
                  </w:tcBorders>
                  <w:vAlign w:val="center"/>
                </w:tcPr>
                <w:p w14:paraId="22B2373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30</w:t>
                  </w:r>
                </w:p>
              </w:tc>
              <w:tc>
                <w:tcPr>
                  <w:tcW w:w="570" w:type="dxa"/>
                  <w:vMerge w:val="restart"/>
                  <w:tcBorders>
                    <w:tl2br w:val="nil"/>
                    <w:tr2bl w:val="nil"/>
                  </w:tcBorders>
                  <w:vAlign w:val="center"/>
                </w:tcPr>
                <w:p w14:paraId="01DE772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color w:val="auto"/>
                      <w:highlight w:val="none"/>
                      <w:lang w:val="en-US" w:eastAsia="zh-CN"/>
                    </w:rPr>
                    <w:t>与主体工程</w:t>
                  </w:r>
                  <w:r>
                    <w:rPr>
                      <w:rFonts w:hint="eastAsia" w:ascii="Times New Roman" w:hAnsi="Times New Roman" w:eastAsia="宋体"/>
                      <w:color w:val="auto"/>
                      <w:highlight w:val="none"/>
                    </w:rPr>
                    <w:t>同时设计、同时施工、同时</w:t>
                  </w:r>
                  <w:r>
                    <w:rPr>
                      <w:rFonts w:hint="eastAsia"/>
                      <w:color w:val="auto"/>
                      <w:highlight w:val="none"/>
                      <w:lang w:val="en-US" w:eastAsia="zh-CN"/>
                    </w:rPr>
                    <w:t>投入</w:t>
                  </w:r>
                  <w:r>
                    <w:rPr>
                      <w:rFonts w:hint="eastAsia" w:ascii="Times New Roman" w:hAnsi="Times New Roman" w:eastAsia="宋体"/>
                      <w:color w:val="auto"/>
                      <w:highlight w:val="none"/>
                    </w:rPr>
                    <w:t>使用</w:t>
                  </w:r>
                </w:p>
              </w:tc>
            </w:tr>
            <w:tr w14:paraId="59663C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94" w:type="dxa"/>
                  <w:vMerge w:val="continue"/>
                  <w:tcBorders>
                    <w:tl2br w:val="nil"/>
                    <w:tr2bl w:val="nil"/>
                  </w:tcBorders>
                  <w:vAlign w:val="center"/>
                </w:tcPr>
                <w:p w14:paraId="2EB48F18">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rPr>
                  </w:pPr>
                </w:p>
              </w:tc>
              <w:tc>
                <w:tcPr>
                  <w:tcW w:w="602" w:type="dxa"/>
                  <w:tcBorders>
                    <w:tl2br w:val="nil"/>
                    <w:tr2bl w:val="nil"/>
                  </w:tcBorders>
                  <w:shd w:val="clear" w:color="auto" w:fill="auto"/>
                  <w:vAlign w:val="center"/>
                </w:tcPr>
                <w:p w14:paraId="3647F292">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无</w:t>
                  </w:r>
                  <w:r>
                    <w:rPr>
                      <w:rFonts w:hint="eastAsia" w:ascii="Times New Roman" w:hAnsi="Times New Roman" w:eastAsia="宋体"/>
                      <w:color w:val="auto"/>
                      <w:highlight w:val="none"/>
                      <w:lang w:val="en-US"/>
                    </w:rPr>
                    <w:t>组织</w:t>
                  </w:r>
                </w:p>
              </w:tc>
              <w:tc>
                <w:tcPr>
                  <w:tcW w:w="1095" w:type="dxa"/>
                  <w:tcBorders>
                    <w:tl2br w:val="nil"/>
                    <w:tr2bl w:val="nil"/>
                  </w:tcBorders>
                  <w:shd w:val="clear" w:color="auto" w:fill="auto"/>
                  <w:vAlign w:val="center"/>
                </w:tcPr>
                <w:p w14:paraId="7C755E25">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非甲烷总烃、乙醛、氮氧化物、氨、硫化氢、臭气浓度</w:t>
                  </w:r>
                </w:p>
              </w:tc>
              <w:tc>
                <w:tcPr>
                  <w:tcW w:w="2007" w:type="dxa"/>
                  <w:tcBorders>
                    <w:tl2br w:val="nil"/>
                    <w:tr2bl w:val="nil"/>
                  </w:tcBorders>
                  <w:vAlign w:val="center"/>
                </w:tcPr>
                <w:p w14:paraId="6A80274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加强废气收集</w:t>
                  </w:r>
                </w:p>
              </w:tc>
              <w:tc>
                <w:tcPr>
                  <w:tcW w:w="1736" w:type="dxa"/>
                  <w:tcBorders>
                    <w:tl2br w:val="nil"/>
                    <w:tr2bl w:val="nil"/>
                  </w:tcBorders>
                  <w:vAlign w:val="center"/>
                </w:tcPr>
                <w:p w14:paraId="29F46DD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color w:val="auto"/>
                      <w:highlight w:val="none"/>
                      <w:lang w:val="en-US" w:eastAsia="zh-CN"/>
                    </w:rPr>
                    <w:t>非甲烷总烃执行</w:t>
                  </w:r>
                  <w:r>
                    <w:rPr>
                      <w:rFonts w:hint="default"/>
                      <w:color w:val="auto"/>
                      <w:highlight w:val="none"/>
                    </w:rPr>
                    <w:t>《</w:t>
                  </w:r>
                  <w:r>
                    <w:rPr>
                      <w:rFonts w:hint="eastAsia"/>
                      <w:color w:val="auto"/>
                      <w:highlight w:val="none"/>
                      <w:lang w:val="en-US" w:eastAsia="zh-CN"/>
                    </w:rPr>
                    <w:t>合成树脂工业</w:t>
                  </w:r>
                  <w:r>
                    <w:rPr>
                      <w:rFonts w:hint="default"/>
                      <w:color w:val="auto"/>
                      <w:highlight w:val="none"/>
                    </w:rPr>
                    <w:t>污染物排放标准》（</w:t>
                  </w:r>
                  <w:r>
                    <w:rPr>
                      <w:rFonts w:hint="eastAsia"/>
                      <w:color w:val="auto"/>
                      <w:highlight w:val="none"/>
                      <w:lang w:val="en-US" w:eastAsia="zh-CN"/>
                    </w:rPr>
                    <w:t>GB31572-2015</w:t>
                  </w:r>
                  <w:r>
                    <w:rPr>
                      <w:rFonts w:hint="default"/>
                      <w:color w:val="auto"/>
                      <w:highlight w:val="none"/>
                    </w:rPr>
                    <w:t>）</w:t>
                  </w:r>
                  <w:r>
                    <w:rPr>
                      <w:rFonts w:hint="eastAsia"/>
                      <w:color w:val="auto"/>
                      <w:highlight w:val="none"/>
                      <w:lang w:val="en-US" w:eastAsia="zh-CN"/>
                    </w:rPr>
                    <w:t>表9特别排放限值，乙醛执行《大气污染物综合排放标准》（DB32/4041-2021）表3限值，氨、硫化氢、臭气浓度执行</w:t>
                  </w:r>
                  <w:r>
                    <w:rPr>
                      <w:rFonts w:hint="eastAsia" w:ascii="Times New Roman" w:hAnsi="Times New Roman" w:eastAsia="宋体"/>
                      <w:color w:val="auto"/>
                      <w:highlight w:val="none"/>
                      <w:lang w:val="en-US" w:eastAsia="zh-CN"/>
                    </w:rPr>
                    <w:t>《恶臭污染物排放标准》（GB14554-93）表1二级新扩改建项目限值</w:t>
                  </w:r>
                </w:p>
              </w:tc>
              <w:tc>
                <w:tcPr>
                  <w:tcW w:w="817" w:type="dxa"/>
                  <w:tcBorders>
                    <w:tl2br w:val="nil"/>
                    <w:tr2bl w:val="nil"/>
                  </w:tcBorders>
                  <w:vAlign w:val="center"/>
                </w:tcPr>
                <w:p w14:paraId="2275FA06">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color w:val="auto"/>
                      <w:highlight w:val="none"/>
                      <w:lang w:val="en-US" w:eastAsia="zh-CN"/>
                    </w:rPr>
                    <w:t>/</w:t>
                  </w:r>
                </w:p>
              </w:tc>
              <w:tc>
                <w:tcPr>
                  <w:tcW w:w="570" w:type="dxa"/>
                  <w:vMerge w:val="continue"/>
                  <w:tcBorders>
                    <w:tl2br w:val="nil"/>
                    <w:tr2bl w:val="nil"/>
                  </w:tcBorders>
                  <w:vAlign w:val="center"/>
                </w:tcPr>
                <w:p w14:paraId="55D32523">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rPr>
                  </w:pPr>
                </w:p>
              </w:tc>
            </w:tr>
            <w:tr w14:paraId="2E0D6F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994" w:type="dxa"/>
                  <w:vMerge w:val="restart"/>
                  <w:tcBorders>
                    <w:tl2br w:val="nil"/>
                    <w:tr2bl w:val="nil"/>
                  </w:tcBorders>
                  <w:vAlign w:val="center"/>
                </w:tcPr>
                <w:p w14:paraId="394187D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废水</w:t>
                  </w:r>
                </w:p>
              </w:tc>
              <w:tc>
                <w:tcPr>
                  <w:tcW w:w="602" w:type="dxa"/>
                  <w:tcBorders>
                    <w:tl2br w:val="nil"/>
                    <w:tr2bl w:val="nil"/>
                  </w:tcBorders>
                  <w:vAlign w:val="center"/>
                </w:tcPr>
                <w:p w14:paraId="30EE38A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生活污水</w:t>
                  </w:r>
                </w:p>
              </w:tc>
              <w:tc>
                <w:tcPr>
                  <w:tcW w:w="1095" w:type="dxa"/>
                  <w:tcBorders>
                    <w:tl2br w:val="nil"/>
                    <w:tr2bl w:val="nil"/>
                  </w:tcBorders>
                  <w:vAlign w:val="center"/>
                </w:tcPr>
                <w:p w14:paraId="3779F8B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COD、SS、氨氮、总氮、总磷</w:t>
                  </w:r>
                </w:p>
              </w:tc>
              <w:tc>
                <w:tcPr>
                  <w:tcW w:w="2007" w:type="dxa"/>
                  <w:vMerge w:val="restart"/>
                  <w:tcBorders>
                    <w:tl2br w:val="nil"/>
                    <w:tr2bl w:val="nil"/>
                  </w:tcBorders>
                  <w:vAlign w:val="center"/>
                </w:tcPr>
                <w:p w14:paraId="59A83A5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依托租赁厂区现有化粪池、隔油池及污水处理站（工艺：调节池+A/O池+二沉池+除磷池）预处理后接管空港污水处理厂</w:t>
                  </w:r>
                </w:p>
              </w:tc>
              <w:tc>
                <w:tcPr>
                  <w:tcW w:w="1736" w:type="dxa"/>
                  <w:vMerge w:val="restart"/>
                  <w:tcBorders>
                    <w:tl2br w:val="nil"/>
                    <w:tr2bl w:val="nil"/>
                  </w:tcBorders>
                  <w:vAlign w:val="center"/>
                </w:tcPr>
                <w:p w14:paraId="30FA7DDC">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满足《污水综合排放标准》（GB8978-1996）表4三级标准及</w:t>
                  </w:r>
                  <w:r>
                    <w:rPr>
                      <w:rFonts w:hint="eastAsia"/>
                      <w:color w:val="auto"/>
                      <w:highlight w:val="none"/>
                      <w:lang w:val="en-US" w:eastAsia="zh-CN"/>
                    </w:rPr>
                    <w:t>空港</w:t>
                  </w:r>
                  <w:r>
                    <w:rPr>
                      <w:rFonts w:hint="eastAsia" w:ascii="Times New Roman" w:hAnsi="Times New Roman" w:eastAsia="宋体"/>
                      <w:color w:val="auto"/>
                      <w:highlight w:val="none"/>
                      <w:lang w:val="en-US"/>
                    </w:rPr>
                    <w:t>污水处理厂接管水质要求</w:t>
                  </w:r>
                </w:p>
              </w:tc>
              <w:tc>
                <w:tcPr>
                  <w:tcW w:w="817" w:type="dxa"/>
                  <w:vMerge w:val="restart"/>
                  <w:tcBorders>
                    <w:tl2br w:val="nil"/>
                    <w:tr2bl w:val="nil"/>
                  </w:tcBorders>
                  <w:vAlign w:val="center"/>
                </w:tcPr>
                <w:p w14:paraId="7EF2507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5</w:t>
                  </w:r>
                </w:p>
              </w:tc>
              <w:tc>
                <w:tcPr>
                  <w:tcW w:w="570" w:type="dxa"/>
                  <w:vMerge w:val="continue"/>
                  <w:tcBorders>
                    <w:tl2br w:val="nil"/>
                    <w:tr2bl w:val="nil"/>
                  </w:tcBorders>
                  <w:vAlign w:val="center"/>
                </w:tcPr>
                <w:p w14:paraId="4BEC5A2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747C66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94" w:type="dxa"/>
                  <w:vMerge w:val="continue"/>
                  <w:tcBorders>
                    <w:tl2br w:val="nil"/>
                    <w:tr2bl w:val="nil"/>
                  </w:tcBorders>
                  <w:vAlign w:val="center"/>
                </w:tcPr>
                <w:p w14:paraId="633FA6A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02" w:type="dxa"/>
                  <w:tcBorders>
                    <w:tl2br w:val="nil"/>
                    <w:tr2bl w:val="nil"/>
                  </w:tcBorders>
                  <w:vAlign w:val="center"/>
                </w:tcPr>
                <w:p w14:paraId="2EBF274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食堂废水</w:t>
                  </w:r>
                </w:p>
              </w:tc>
              <w:tc>
                <w:tcPr>
                  <w:tcW w:w="1095" w:type="dxa"/>
                  <w:tcBorders>
                    <w:tl2br w:val="nil"/>
                    <w:tr2bl w:val="nil"/>
                  </w:tcBorders>
                  <w:vAlign w:val="center"/>
                </w:tcPr>
                <w:p w14:paraId="399DC14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rPr>
                    <w:t>COD、SS、氨氮、总氮、总磷</w:t>
                  </w:r>
                  <w:r>
                    <w:rPr>
                      <w:rFonts w:hint="eastAsia" w:ascii="Times New Roman" w:hAnsi="Times New Roman" w:eastAsia="宋体"/>
                      <w:color w:val="auto"/>
                      <w:highlight w:val="none"/>
                      <w:lang w:val="en-US" w:eastAsia="zh-CN"/>
                    </w:rPr>
                    <w:t>、动植物油</w:t>
                  </w:r>
                </w:p>
              </w:tc>
              <w:tc>
                <w:tcPr>
                  <w:tcW w:w="2007" w:type="dxa"/>
                  <w:vMerge w:val="continue"/>
                  <w:tcBorders>
                    <w:tl2br w:val="nil"/>
                    <w:tr2bl w:val="nil"/>
                  </w:tcBorders>
                  <w:vAlign w:val="center"/>
                </w:tcPr>
                <w:p w14:paraId="716BAD8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c>
                <w:tcPr>
                  <w:tcW w:w="1736" w:type="dxa"/>
                  <w:vMerge w:val="continue"/>
                  <w:tcBorders>
                    <w:tl2br w:val="nil"/>
                    <w:tr2bl w:val="nil"/>
                  </w:tcBorders>
                  <w:vAlign w:val="center"/>
                </w:tcPr>
                <w:p w14:paraId="2E6BD2D9">
                  <w:pPr>
                    <w:pStyle w:val="21"/>
                    <w:keepNext w:val="0"/>
                    <w:keepLines w:val="0"/>
                    <w:suppressLineNumbers w:val="0"/>
                    <w:autoSpaceDE/>
                    <w:autoSpaceDN/>
                    <w:spacing w:before="0" w:beforeAutospacing="0" w:after="0" w:afterAutospacing="0" w:line="240" w:lineRule="exact"/>
                    <w:ind w:left="0" w:right="0"/>
                    <w:rPr>
                      <w:rFonts w:hint="eastAsia" w:ascii="Times New Roman" w:hAnsi="Times New Roman" w:eastAsia="宋体"/>
                      <w:color w:val="auto"/>
                      <w:highlight w:val="none"/>
                      <w:lang w:val="en-US"/>
                    </w:rPr>
                  </w:pPr>
                </w:p>
              </w:tc>
              <w:tc>
                <w:tcPr>
                  <w:tcW w:w="817" w:type="dxa"/>
                  <w:vMerge w:val="continue"/>
                  <w:tcBorders>
                    <w:tl2br w:val="nil"/>
                    <w:tr2bl w:val="nil"/>
                  </w:tcBorders>
                  <w:vAlign w:val="center"/>
                </w:tcPr>
                <w:p w14:paraId="1E0F7464">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570" w:type="dxa"/>
                  <w:vMerge w:val="continue"/>
                  <w:tcBorders>
                    <w:tl2br w:val="nil"/>
                    <w:tr2bl w:val="nil"/>
                  </w:tcBorders>
                  <w:vAlign w:val="center"/>
                </w:tcPr>
                <w:p w14:paraId="2FD665B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20CA75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94" w:type="dxa"/>
                  <w:vMerge w:val="continue"/>
                  <w:tcBorders>
                    <w:tl2br w:val="nil"/>
                    <w:tr2bl w:val="nil"/>
                  </w:tcBorders>
                  <w:vAlign w:val="center"/>
                </w:tcPr>
                <w:p w14:paraId="2361E35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02" w:type="dxa"/>
                  <w:tcBorders>
                    <w:tl2br w:val="nil"/>
                    <w:tr2bl w:val="nil"/>
                  </w:tcBorders>
                  <w:shd w:val="clear" w:color="auto" w:fill="auto"/>
                  <w:vAlign w:val="center"/>
                </w:tcPr>
                <w:p w14:paraId="242F2873">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设备清洗废水</w:t>
                  </w:r>
                </w:p>
              </w:tc>
              <w:tc>
                <w:tcPr>
                  <w:tcW w:w="1095" w:type="dxa"/>
                  <w:tcBorders>
                    <w:tl2br w:val="nil"/>
                    <w:tr2bl w:val="nil"/>
                  </w:tcBorders>
                  <w:shd w:val="clear" w:color="auto" w:fill="auto"/>
                  <w:vAlign w:val="center"/>
                </w:tcPr>
                <w:p w14:paraId="3008C02A">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pH、</w:t>
                  </w:r>
                  <w:r>
                    <w:rPr>
                      <w:rFonts w:hint="default" w:ascii="Times New Roman" w:hAnsi="Times New Roman" w:eastAsia="宋体"/>
                      <w:color w:val="auto"/>
                      <w:highlight w:val="none"/>
                    </w:rPr>
                    <w:t>COD、SS</w:t>
                  </w:r>
                  <w:r>
                    <w:rPr>
                      <w:rFonts w:hint="eastAsia"/>
                      <w:color w:val="auto"/>
                      <w:highlight w:val="none"/>
                      <w:lang w:eastAsia="zh-CN"/>
                    </w:rPr>
                    <w:t>、</w:t>
                  </w:r>
                  <w:r>
                    <w:rPr>
                      <w:rFonts w:hint="eastAsia"/>
                      <w:color w:val="auto"/>
                      <w:highlight w:val="none"/>
                      <w:lang w:val="en-US" w:eastAsia="zh-CN"/>
                    </w:rPr>
                    <w:t>总氮</w:t>
                  </w:r>
                </w:p>
              </w:tc>
              <w:tc>
                <w:tcPr>
                  <w:tcW w:w="2007" w:type="dxa"/>
                  <w:vMerge w:val="continue"/>
                  <w:tcBorders>
                    <w:tl2br w:val="nil"/>
                    <w:tr2bl w:val="nil"/>
                  </w:tcBorders>
                  <w:vAlign w:val="center"/>
                </w:tcPr>
                <w:p w14:paraId="55DA6457">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1736" w:type="dxa"/>
                  <w:vMerge w:val="continue"/>
                  <w:tcBorders>
                    <w:tl2br w:val="nil"/>
                    <w:tr2bl w:val="nil"/>
                  </w:tcBorders>
                  <w:vAlign w:val="center"/>
                </w:tcPr>
                <w:p w14:paraId="0A7FC0AF">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817" w:type="dxa"/>
                  <w:vMerge w:val="continue"/>
                  <w:tcBorders>
                    <w:tl2br w:val="nil"/>
                    <w:tr2bl w:val="nil"/>
                  </w:tcBorders>
                  <w:vAlign w:val="center"/>
                </w:tcPr>
                <w:p w14:paraId="1994E2AF">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570" w:type="dxa"/>
                  <w:vMerge w:val="continue"/>
                  <w:tcBorders>
                    <w:tl2br w:val="nil"/>
                    <w:tr2bl w:val="nil"/>
                  </w:tcBorders>
                  <w:vAlign w:val="center"/>
                </w:tcPr>
                <w:p w14:paraId="41FACC5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5935E5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94" w:type="dxa"/>
                  <w:vMerge w:val="continue"/>
                  <w:tcBorders>
                    <w:tl2br w:val="nil"/>
                    <w:tr2bl w:val="nil"/>
                  </w:tcBorders>
                  <w:vAlign w:val="center"/>
                </w:tcPr>
                <w:p w14:paraId="0EF7ADD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02" w:type="dxa"/>
                  <w:tcBorders>
                    <w:tl2br w:val="nil"/>
                    <w:tr2bl w:val="nil"/>
                  </w:tcBorders>
                  <w:shd w:val="clear" w:color="auto" w:fill="auto"/>
                  <w:vAlign w:val="center"/>
                </w:tcPr>
                <w:p w14:paraId="19A5E486">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地面冲洗废水</w:t>
                  </w:r>
                </w:p>
              </w:tc>
              <w:tc>
                <w:tcPr>
                  <w:tcW w:w="1095" w:type="dxa"/>
                  <w:tcBorders>
                    <w:tl2br w:val="nil"/>
                    <w:tr2bl w:val="nil"/>
                  </w:tcBorders>
                  <w:shd w:val="clear" w:color="auto" w:fill="auto"/>
                  <w:vAlign w:val="center"/>
                </w:tcPr>
                <w:p w14:paraId="16536A03">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rPr>
                    <w:t>COD、SS</w:t>
                  </w:r>
                </w:p>
              </w:tc>
              <w:tc>
                <w:tcPr>
                  <w:tcW w:w="2007" w:type="dxa"/>
                  <w:vMerge w:val="continue"/>
                  <w:tcBorders>
                    <w:tl2br w:val="nil"/>
                    <w:tr2bl w:val="nil"/>
                  </w:tcBorders>
                  <w:vAlign w:val="center"/>
                </w:tcPr>
                <w:p w14:paraId="3A5442A7">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1736" w:type="dxa"/>
                  <w:vMerge w:val="continue"/>
                  <w:tcBorders>
                    <w:tl2br w:val="nil"/>
                    <w:tr2bl w:val="nil"/>
                  </w:tcBorders>
                  <w:vAlign w:val="center"/>
                </w:tcPr>
                <w:p w14:paraId="329F0067">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817" w:type="dxa"/>
                  <w:vMerge w:val="continue"/>
                  <w:tcBorders>
                    <w:tl2br w:val="nil"/>
                    <w:tr2bl w:val="nil"/>
                  </w:tcBorders>
                  <w:vAlign w:val="center"/>
                </w:tcPr>
                <w:p w14:paraId="1EBD4B75">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570" w:type="dxa"/>
                  <w:vMerge w:val="continue"/>
                  <w:tcBorders>
                    <w:tl2br w:val="nil"/>
                    <w:tr2bl w:val="nil"/>
                  </w:tcBorders>
                  <w:vAlign w:val="center"/>
                </w:tcPr>
                <w:p w14:paraId="5EC62DA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3D5695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94" w:type="dxa"/>
                  <w:vMerge w:val="continue"/>
                  <w:tcBorders>
                    <w:tl2br w:val="nil"/>
                    <w:tr2bl w:val="nil"/>
                  </w:tcBorders>
                  <w:vAlign w:val="center"/>
                </w:tcPr>
                <w:p w14:paraId="005C402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602" w:type="dxa"/>
                  <w:tcBorders>
                    <w:tl2br w:val="nil"/>
                    <w:tr2bl w:val="nil"/>
                  </w:tcBorders>
                  <w:shd w:val="clear" w:color="auto" w:fill="auto"/>
                  <w:vAlign w:val="center"/>
                </w:tcPr>
                <w:p w14:paraId="4BDCAC14">
                  <w:pPr>
                    <w:pStyle w:val="21"/>
                    <w:keepNext w:val="0"/>
                    <w:keepLines w:val="0"/>
                    <w:suppressLineNumbers w:val="0"/>
                    <w:spacing w:before="0" w:beforeAutospacing="0" w:after="0" w:afterAutospacing="0"/>
                    <w:ind w:left="0" w:leftChars="0" w:right="0" w:rightChars="0" w:firstLine="0" w:firstLineChars="0"/>
                    <w:rPr>
                      <w:rFonts w:hint="eastAsia"/>
                      <w:color w:val="auto"/>
                      <w:highlight w:val="none"/>
                      <w:lang w:val="en-US" w:eastAsia="zh-CN"/>
                    </w:rPr>
                  </w:pPr>
                  <w:r>
                    <w:rPr>
                      <w:rFonts w:hint="eastAsia"/>
                      <w:color w:val="auto"/>
                      <w:highlight w:val="none"/>
                      <w:lang w:val="en-US" w:eastAsia="zh-CN"/>
                    </w:rPr>
                    <w:t>反渗透浓水</w:t>
                  </w:r>
                </w:p>
              </w:tc>
              <w:tc>
                <w:tcPr>
                  <w:tcW w:w="1095" w:type="dxa"/>
                  <w:tcBorders>
                    <w:tl2br w:val="nil"/>
                    <w:tr2bl w:val="nil"/>
                  </w:tcBorders>
                  <w:shd w:val="clear" w:color="auto" w:fill="auto"/>
                  <w:vAlign w:val="center"/>
                </w:tcPr>
                <w:p w14:paraId="5F1294FC">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olor w:val="auto"/>
                      <w:highlight w:val="none"/>
                    </w:rPr>
                  </w:pPr>
                  <w:r>
                    <w:rPr>
                      <w:rFonts w:hint="default" w:ascii="Times New Roman" w:hAnsi="Times New Roman" w:eastAsia="宋体"/>
                      <w:color w:val="auto"/>
                      <w:highlight w:val="none"/>
                    </w:rPr>
                    <w:t>COD、SS</w:t>
                  </w:r>
                </w:p>
              </w:tc>
              <w:tc>
                <w:tcPr>
                  <w:tcW w:w="2007" w:type="dxa"/>
                  <w:tcBorders>
                    <w:tl2br w:val="nil"/>
                    <w:tr2bl w:val="nil"/>
                  </w:tcBorders>
                  <w:vAlign w:val="center"/>
                </w:tcPr>
                <w:p w14:paraId="60259040">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color w:val="auto"/>
                      <w:highlight w:val="none"/>
                      <w:lang w:val="en-US" w:eastAsia="zh-CN"/>
                    </w:rPr>
                    <w:t>接管空港污水处理厂</w:t>
                  </w:r>
                </w:p>
              </w:tc>
              <w:tc>
                <w:tcPr>
                  <w:tcW w:w="1736" w:type="dxa"/>
                  <w:vMerge w:val="continue"/>
                  <w:tcBorders>
                    <w:tl2br w:val="nil"/>
                    <w:tr2bl w:val="nil"/>
                  </w:tcBorders>
                  <w:vAlign w:val="center"/>
                </w:tcPr>
                <w:p w14:paraId="006AE02B">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817" w:type="dxa"/>
                  <w:vMerge w:val="continue"/>
                  <w:tcBorders>
                    <w:tl2br w:val="nil"/>
                    <w:tr2bl w:val="nil"/>
                  </w:tcBorders>
                  <w:vAlign w:val="center"/>
                </w:tcPr>
                <w:p w14:paraId="39A54195">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570" w:type="dxa"/>
                  <w:vMerge w:val="continue"/>
                  <w:tcBorders>
                    <w:tl2br w:val="nil"/>
                    <w:tr2bl w:val="nil"/>
                  </w:tcBorders>
                  <w:vAlign w:val="center"/>
                </w:tcPr>
                <w:p w14:paraId="3EBC092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322602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94" w:type="dxa"/>
                  <w:tcBorders>
                    <w:tl2br w:val="nil"/>
                    <w:tr2bl w:val="nil"/>
                  </w:tcBorders>
                  <w:vAlign w:val="center"/>
                </w:tcPr>
                <w:p w14:paraId="6DDB4D9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噪声</w:t>
                  </w:r>
                </w:p>
              </w:tc>
              <w:tc>
                <w:tcPr>
                  <w:tcW w:w="1697" w:type="dxa"/>
                  <w:gridSpan w:val="2"/>
                  <w:tcBorders>
                    <w:tl2br w:val="nil"/>
                    <w:tr2bl w:val="nil"/>
                  </w:tcBorders>
                  <w:vAlign w:val="center"/>
                </w:tcPr>
                <w:p w14:paraId="3CF2639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等效A声级</w:t>
                  </w:r>
                </w:p>
              </w:tc>
              <w:tc>
                <w:tcPr>
                  <w:tcW w:w="2007" w:type="dxa"/>
                  <w:tcBorders>
                    <w:tl2br w:val="nil"/>
                    <w:tr2bl w:val="nil"/>
                  </w:tcBorders>
                  <w:vAlign w:val="center"/>
                </w:tcPr>
                <w:p w14:paraId="2D0BB6C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rPr>
                    <w:t>隔声、减振</w:t>
                  </w:r>
                  <w:r>
                    <w:rPr>
                      <w:rFonts w:hint="eastAsia"/>
                      <w:color w:val="auto"/>
                      <w:highlight w:val="none"/>
                      <w:lang w:eastAsia="zh-CN"/>
                    </w:rPr>
                    <w:t>、</w:t>
                  </w:r>
                  <w:r>
                    <w:rPr>
                      <w:rFonts w:hint="eastAsia"/>
                      <w:color w:val="auto"/>
                      <w:highlight w:val="none"/>
                      <w:lang w:val="en-US" w:eastAsia="zh-CN"/>
                    </w:rPr>
                    <w:t>消声，降噪量20~26dB（A）</w:t>
                  </w:r>
                </w:p>
              </w:tc>
              <w:tc>
                <w:tcPr>
                  <w:tcW w:w="1736" w:type="dxa"/>
                  <w:tcBorders>
                    <w:tl2br w:val="nil"/>
                    <w:tr2bl w:val="nil"/>
                  </w:tcBorders>
                  <w:vAlign w:val="center"/>
                </w:tcPr>
                <w:p w14:paraId="413DA14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lang w:val="en-US"/>
                    </w:rPr>
                    <w:t>厂界环境噪声满足《工业企业厂界环境噪声排放标准》（GB12348-2008）</w:t>
                  </w:r>
                </w:p>
              </w:tc>
              <w:tc>
                <w:tcPr>
                  <w:tcW w:w="817" w:type="dxa"/>
                  <w:tcBorders>
                    <w:tl2br w:val="nil"/>
                    <w:tr2bl w:val="nil"/>
                  </w:tcBorders>
                  <w:vAlign w:val="center"/>
                </w:tcPr>
                <w:p w14:paraId="73BCCE73">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2</w:t>
                  </w:r>
                </w:p>
              </w:tc>
              <w:tc>
                <w:tcPr>
                  <w:tcW w:w="570" w:type="dxa"/>
                  <w:vMerge w:val="continue"/>
                  <w:tcBorders>
                    <w:tl2br w:val="nil"/>
                    <w:tr2bl w:val="nil"/>
                  </w:tcBorders>
                  <w:vAlign w:val="center"/>
                </w:tcPr>
                <w:p w14:paraId="216EB50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412584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94" w:type="dxa"/>
                  <w:vMerge w:val="restart"/>
                  <w:tcBorders>
                    <w:tl2br w:val="nil"/>
                    <w:tr2bl w:val="nil"/>
                  </w:tcBorders>
                  <w:vAlign w:val="center"/>
                </w:tcPr>
                <w:p w14:paraId="525389F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固废</w:t>
                  </w:r>
                </w:p>
              </w:tc>
              <w:tc>
                <w:tcPr>
                  <w:tcW w:w="1697" w:type="dxa"/>
                  <w:gridSpan w:val="2"/>
                  <w:tcBorders>
                    <w:tl2br w:val="nil"/>
                    <w:tr2bl w:val="nil"/>
                  </w:tcBorders>
                  <w:vAlign w:val="center"/>
                </w:tcPr>
                <w:p w14:paraId="43B1C4C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一般工业固废仓库</w:t>
                  </w:r>
                </w:p>
              </w:tc>
              <w:tc>
                <w:tcPr>
                  <w:tcW w:w="2007" w:type="dxa"/>
                  <w:tcBorders>
                    <w:tl2br w:val="nil"/>
                    <w:tr2bl w:val="nil"/>
                  </w:tcBorders>
                  <w:vAlign w:val="center"/>
                </w:tcPr>
                <w:p w14:paraId="7C54F61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vertAlign w:val="baseline"/>
                      <w:lang w:val="en-US" w:eastAsia="zh-CN"/>
                    </w:rPr>
                  </w:pPr>
                  <w:r>
                    <w:rPr>
                      <w:rFonts w:hint="eastAsia"/>
                      <w:color w:val="auto"/>
                      <w:highlight w:val="none"/>
                      <w:lang w:val="en-US" w:eastAsia="zh-CN"/>
                    </w:rPr>
                    <w:t>依托租赁厂区现有430m</w:t>
                  </w:r>
                  <w:r>
                    <w:rPr>
                      <w:rFonts w:hint="eastAsia"/>
                      <w:color w:val="auto"/>
                      <w:highlight w:val="none"/>
                      <w:vertAlign w:val="superscript"/>
                      <w:lang w:val="en-US" w:eastAsia="zh-CN"/>
                    </w:rPr>
                    <w:t>2</w:t>
                  </w:r>
                  <w:r>
                    <w:rPr>
                      <w:rFonts w:hint="eastAsia"/>
                      <w:color w:val="auto"/>
                      <w:highlight w:val="none"/>
                      <w:vertAlign w:val="baseline"/>
                      <w:lang w:val="en-US" w:eastAsia="zh-CN"/>
                    </w:rPr>
                    <w:t>一般工业固废仓库</w:t>
                  </w:r>
                </w:p>
              </w:tc>
              <w:tc>
                <w:tcPr>
                  <w:tcW w:w="1736" w:type="dxa"/>
                  <w:tcBorders>
                    <w:tl2br w:val="nil"/>
                    <w:tr2bl w:val="nil"/>
                  </w:tcBorders>
                  <w:vAlign w:val="center"/>
                </w:tcPr>
                <w:p w14:paraId="61112ED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color w:val="auto"/>
                      <w:highlight w:val="none"/>
                    </w:rPr>
                    <w:t>满足相应防渗漏、防雨淋、防扬尘等环境保护要求</w:t>
                  </w:r>
                </w:p>
              </w:tc>
              <w:tc>
                <w:tcPr>
                  <w:tcW w:w="817" w:type="dxa"/>
                  <w:tcBorders>
                    <w:tl2br w:val="nil"/>
                    <w:tr2bl w:val="nil"/>
                  </w:tcBorders>
                  <w:vAlign w:val="center"/>
                </w:tcPr>
                <w:p w14:paraId="30C59450">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color w:val="auto"/>
                      <w:highlight w:val="none"/>
                      <w:lang w:val="en-US" w:eastAsia="zh-CN"/>
                    </w:rPr>
                    <w:t>0</w:t>
                  </w:r>
                </w:p>
              </w:tc>
              <w:tc>
                <w:tcPr>
                  <w:tcW w:w="570" w:type="dxa"/>
                  <w:vMerge w:val="continue"/>
                  <w:tcBorders>
                    <w:tl2br w:val="nil"/>
                    <w:tr2bl w:val="nil"/>
                  </w:tcBorders>
                  <w:vAlign w:val="center"/>
                </w:tcPr>
                <w:p w14:paraId="3D9B021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45B991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94" w:type="dxa"/>
                  <w:vMerge w:val="continue"/>
                  <w:tcBorders>
                    <w:tl2br w:val="nil"/>
                    <w:tr2bl w:val="nil"/>
                  </w:tcBorders>
                  <w:vAlign w:val="center"/>
                </w:tcPr>
                <w:p w14:paraId="5BDD109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7" w:type="dxa"/>
                  <w:gridSpan w:val="2"/>
                  <w:tcBorders>
                    <w:tl2br w:val="nil"/>
                    <w:tr2bl w:val="nil"/>
                  </w:tcBorders>
                  <w:vAlign w:val="center"/>
                </w:tcPr>
                <w:p w14:paraId="0DB52371">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rPr>
                    <w:t>危废</w:t>
                  </w:r>
                  <w:r>
                    <w:rPr>
                      <w:rFonts w:hint="eastAsia"/>
                      <w:color w:val="auto"/>
                      <w:highlight w:val="none"/>
                      <w:lang w:val="en-US" w:eastAsia="zh-CN"/>
                    </w:rPr>
                    <w:t>暂存点</w:t>
                  </w:r>
                </w:p>
              </w:tc>
              <w:tc>
                <w:tcPr>
                  <w:tcW w:w="2007" w:type="dxa"/>
                  <w:tcBorders>
                    <w:tl2br w:val="nil"/>
                    <w:tr2bl w:val="nil"/>
                  </w:tcBorders>
                  <w:vAlign w:val="center"/>
                </w:tcPr>
                <w:p w14:paraId="0A08ECEB">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color w:val="auto"/>
                      <w:highlight w:val="none"/>
                      <w:lang w:val="en-US" w:eastAsia="zh-CN"/>
                    </w:rPr>
                    <w:t>依托租赁厂区现有30m</w:t>
                  </w:r>
                  <w:r>
                    <w:rPr>
                      <w:rFonts w:hint="eastAsia"/>
                      <w:color w:val="auto"/>
                      <w:highlight w:val="none"/>
                      <w:vertAlign w:val="superscript"/>
                      <w:lang w:val="en-US" w:eastAsia="zh-CN"/>
                    </w:rPr>
                    <w:t>2</w:t>
                  </w:r>
                  <w:r>
                    <w:rPr>
                      <w:rFonts w:hint="eastAsia"/>
                      <w:color w:val="auto"/>
                      <w:highlight w:val="none"/>
                      <w:vertAlign w:val="baseline"/>
                      <w:lang w:val="en-US" w:eastAsia="zh-CN"/>
                    </w:rPr>
                    <w:t>一般工业固废仓库</w:t>
                  </w:r>
                </w:p>
              </w:tc>
              <w:tc>
                <w:tcPr>
                  <w:tcW w:w="1736" w:type="dxa"/>
                  <w:tcBorders>
                    <w:tl2br w:val="nil"/>
                    <w:tr2bl w:val="nil"/>
                  </w:tcBorders>
                  <w:vAlign w:val="center"/>
                </w:tcPr>
                <w:p w14:paraId="45A4855F">
                  <w:pPr>
                    <w:pStyle w:val="21"/>
                    <w:keepNext w:val="0"/>
                    <w:keepLines w:val="0"/>
                    <w:suppressLineNumbers w:val="0"/>
                    <w:autoSpaceDE/>
                    <w:autoSpaceDN/>
                    <w:spacing w:before="0" w:beforeAutospacing="0" w:after="0" w:afterAutospacing="0" w:line="240" w:lineRule="exact"/>
                    <w:ind w:left="0" w:right="0"/>
                    <w:rPr>
                      <w:rFonts w:hint="default" w:ascii="Times New Roman" w:hAnsi="Times New Roman" w:eastAsia="宋体"/>
                      <w:color w:val="auto"/>
                      <w:highlight w:val="none"/>
                      <w:lang w:val="en-US"/>
                    </w:rPr>
                  </w:pPr>
                  <w:r>
                    <w:rPr>
                      <w:rFonts w:hint="default" w:ascii="Times New Roman" w:hAnsi="Times New Roman" w:eastAsia="宋体"/>
                      <w:color w:val="auto"/>
                      <w:highlight w:val="none"/>
                    </w:rPr>
                    <w:t>满足《危险废物贮存污染控制标准》（GB18597-20</w:t>
                  </w:r>
                  <w:r>
                    <w:rPr>
                      <w:rFonts w:hint="eastAsia" w:ascii="Times New Roman" w:hAnsi="Times New Roman" w:eastAsia="宋体"/>
                      <w:color w:val="auto"/>
                      <w:highlight w:val="none"/>
                      <w:lang w:val="en-US"/>
                    </w:rPr>
                    <w:t>23</w:t>
                  </w:r>
                  <w:r>
                    <w:rPr>
                      <w:rFonts w:hint="default" w:ascii="Times New Roman" w:hAnsi="Times New Roman" w:eastAsia="宋体"/>
                      <w:color w:val="auto"/>
                      <w:highlight w:val="none"/>
                    </w:rPr>
                    <w:t>）</w:t>
                  </w:r>
                  <w:r>
                    <w:rPr>
                      <w:rFonts w:hint="eastAsia" w:ascii="Times New Roman" w:hAnsi="Times New Roman" w:eastAsia="宋体"/>
                      <w:color w:val="auto"/>
                      <w:highlight w:val="none"/>
                      <w:lang w:val="en-US"/>
                    </w:rPr>
                    <w:t>的要求</w:t>
                  </w:r>
                </w:p>
              </w:tc>
              <w:tc>
                <w:tcPr>
                  <w:tcW w:w="817" w:type="dxa"/>
                  <w:tcBorders>
                    <w:tl2br w:val="nil"/>
                    <w:tr2bl w:val="nil"/>
                  </w:tcBorders>
                  <w:vAlign w:val="center"/>
                </w:tcPr>
                <w:p w14:paraId="17FE8515">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color w:val="auto"/>
                      <w:highlight w:val="none"/>
                      <w:lang w:val="en-US" w:eastAsia="zh-CN"/>
                    </w:rPr>
                    <w:t>2</w:t>
                  </w:r>
                </w:p>
              </w:tc>
              <w:tc>
                <w:tcPr>
                  <w:tcW w:w="570" w:type="dxa"/>
                  <w:vMerge w:val="continue"/>
                  <w:tcBorders>
                    <w:tl2br w:val="nil"/>
                    <w:tr2bl w:val="nil"/>
                  </w:tcBorders>
                  <w:vAlign w:val="center"/>
                </w:tcPr>
                <w:p w14:paraId="715D628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2F9143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94" w:type="dxa"/>
                  <w:tcBorders>
                    <w:tl2br w:val="nil"/>
                    <w:tr2bl w:val="nil"/>
                  </w:tcBorders>
                  <w:vAlign w:val="center"/>
                </w:tcPr>
                <w:p w14:paraId="0C1AE37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绿化</w:t>
                  </w:r>
                </w:p>
              </w:tc>
              <w:tc>
                <w:tcPr>
                  <w:tcW w:w="5440" w:type="dxa"/>
                  <w:gridSpan w:val="4"/>
                  <w:tcBorders>
                    <w:tl2br w:val="nil"/>
                    <w:tr2bl w:val="nil"/>
                  </w:tcBorders>
                  <w:vAlign w:val="center"/>
                </w:tcPr>
                <w:p w14:paraId="152EE2F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依托</w:t>
                  </w:r>
                  <w:r>
                    <w:rPr>
                      <w:rFonts w:hint="eastAsia"/>
                      <w:color w:val="auto"/>
                      <w:highlight w:val="none"/>
                      <w:lang w:val="en-US" w:eastAsia="zh-CN"/>
                    </w:rPr>
                    <w:t>租赁厂区</w:t>
                  </w:r>
                  <w:r>
                    <w:rPr>
                      <w:rFonts w:hint="eastAsia" w:ascii="Times New Roman" w:hAnsi="Times New Roman" w:eastAsia="宋体"/>
                      <w:color w:val="auto"/>
                      <w:highlight w:val="none"/>
                      <w:lang w:val="en-US" w:eastAsia="zh-CN"/>
                    </w:rPr>
                    <w:t>现有</w:t>
                  </w:r>
                </w:p>
              </w:tc>
              <w:tc>
                <w:tcPr>
                  <w:tcW w:w="817" w:type="dxa"/>
                  <w:tcBorders>
                    <w:tl2br w:val="nil"/>
                    <w:tr2bl w:val="nil"/>
                  </w:tcBorders>
                  <w:vAlign w:val="center"/>
                </w:tcPr>
                <w:p w14:paraId="3A8133A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0</w:t>
                  </w:r>
                </w:p>
              </w:tc>
              <w:tc>
                <w:tcPr>
                  <w:tcW w:w="570" w:type="dxa"/>
                  <w:vMerge w:val="continue"/>
                  <w:tcBorders>
                    <w:tl2br w:val="nil"/>
                    <w:tr2bl w:val="nil"/>
                  </w:tcBorders>
                  <w:vAlign w:val="center"/>
                </w:tcPr>
                <w:p w14:paraId="4CE5F7E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775E56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94" w:type="dxa"/>
                  <w:tcBorders>
                    <w:tl2br w:val="nil"/>
                    <w:tr2bl w:val="nil"/>
                  </w:tcBorders>
                  <w:vAlign w:val="center"/>
                </w:tcPr>
                <w:p w14:paraId="184F34D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清污分流、排污口规范化设置</w:t>
                  </w:r>
                </w:p>
              </w:tc>
              <w:tc>
                <w:tcPr>
                  <w:tcW w:w="5440" w:type="dxa"/>
                  <w:gridSpan w:val="4"/>
                  <w:tcBorders>
                    <w:tl2br w:val="nil"/>
                    <w:tr2bl w:val="nil"/>
                  </w:tcBorders>
                  <w:vAlign w:val="center"/>
                </w:tcPr>
                <w:p w14:paraId="2F5F10C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依托</w:t>
                  </w:r>
                  <w:r>
                    <w:rPr>
                      <w:rFonts w:hint="eastAsia"/>
                      <w:color w:val="auto"/>
                      <w:highlight w:val="none"/>
                      <w:lang w:val="en-US" w:eastAsia="zh-CN"/>
                    </w:rPr>
                    <w:t>租赁厂区</w:t>
                  </w:r>
                  <w:r>
                    <w:rPr>
                      <w:rFonts w:hint="eastAsia" w:ascii="Times New Roman" w:hAnsi="Times New Roman" w:eastAsia="宋体"/>
                      <w:color w:val="auto"/>
                      <w:highlight w:val="none"/>
                      <w:lang w:val="en-US" w:eastAsia="zh-CN"/>
                    </w:rPr>
                    <w:t>现有雨污分流管网和排污口</w:t>
                  </w:r>
                </w:p>
              </w:tc>
              <w:tc>
                <w:tcPr>
                  <w:tcW w:w="817" w:type="dxa"/>
                  <w:tcBorders>
                    <w:tl2br w:val="nil"/>
                    <w:tr2bl w:val="nil"/>
                  </w:tcBorders>
                  <w:vAlign w:val="center"/>
                </w:tcPr>
                <w:p w14:paraId="74FB702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0</w:t>
                  </w:r>
                </w:p>
              </w:tc>
              <w:tc>
                <w:tcPr>
                  <w:tcW w:w="570" w:type="dxa"/>
                  <w:vMerge w:val="continue"/>
                  <w:tcBorders>
                    <w:tl2br w:val="nil"/>
                    <w:tr2bl w:val="nil"/>
                  </w:tcBorders>
                  <w:vAlign w:val="center"/>
                </w:tcPr>
                <w:p w14:paraId="3CA0326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r>
            <w:tr w14:paraId="0580AE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94" w:type="dxa"/>
                  <w:tcBorders>
                    <w:tl2br w:val="nil"/>
                    <w:tr2bl w:val="nil"/>
                  </w:tcBorders>
                  <w:vAlign w:val="center"/>
                </w:tcPr>
                <w:p w14:paraId="4D099D8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总量平衡具体方案</w:t>
                  </w:r>
                </w:p>
              </w:tc>
              <w:tc>
                <w:tcPr>
                  <w:tcW w:w="6257" w:type="dxa"/>
                  <w:gridSpan w:val="5"/>
                  <w:tcBorders>
                    <w:tl2br w:val="nil"/>
                    <w:tr2bl w:val="nil"/>
                  </w:tcBorders>
                  <w:vAlign w:val="center"/>
                </w:tcPr>
                <w:p w14:paraId="2277E902">
                  <w:pPr>
                    <w:pStyle w:val="21"/>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水污染物总量指标</w:t>
                  </w:r>
                  <w:r>
                    <w:rPr>
                      <w:rFonts w:hint="default"/>
                      <w:color w:val="auto"/>
                      <w:lang w:val="en-US"/>
                    </w:rPr>
                    <w:t>（</w:t>
                  </w:r>
                  <w:r>
                    <w:rPr>
                      <w:rFonts w:hint="eastAsia"/>
                      <w:color w:val="auto"/>
                      <w:lang w:val="en-US"/>
                    </w:rPr>
                    <w:t>最终外排</w:t>
                  </w:r>
                  <w:r>
                    <w:rPr>
                      <w:rFonts w:hint="default"/>
                      <w:color w:val="auto"/>
                      <w:lang w:val="en-US"/>
                    </w:rPr>
                    <w:t>量）：COD</w:t>
                  </w:r>
                  <w:r>
                    <w:rPr>
                      <w:rFonts w:hint="eastAsia"/>
                      <w:color w:val="auto"/>
                      <w:lang w:val="en-US" w:eastAsia="zh-CN"/>
                    </w:rPr>
                    <w:t>7.034</w:t>
                  </w:r>
                  <w:r>
                    <w:rPr>
                      <w:rFonts w:hint="default"/>
                      <w:color w:val="auto"/>
                      <w:lang w:val="en-US"/>
                    </w:rPr>
                    <w:t>t/a</w:t>
                  </w:r>
                  <w:r>
                    <w:rPr>
                      <w:rFonts w:hint="eastAsia"/>
                      <w:color w:val="auto"/>
                      <w:lang w:val="en-US"/>
                    </w:rPr>
                    <w:t>、</w:t>
                  </w:r>
                  <w:r>
                    <w:rPr>
                      <w:rFonts w:hint="default"/>
                      <w:color w:val="auto"/>
                      <w:lang w:val="en-US"/>
                    </w:rPr>
                    <w:t>NH</w:t>
                  </w:r>
                  <w:r>
                    <w:rPr>
                      <w:rFonts w:hint="default"/>
                      <w:color w:val="auto"/>
                      <w:vertAlign w:val="subscript"/>
                      <w:lang w:val="en-US"/>
                    </w:rPr>
                    <w:t>3</w:t>
                  </w:r>
                  <w:r>
                    <w:rPr>
                      <w:rFonts w:hint="default"/>
                      <w:color w:val="auto"/>
                      <w:lang w:val="en-US"/>
                    </w:rPr>
                    <w:t>-N</w:t>
                  </w:r>
                  <w:r>
                    <w:rPr>
                      <w:rFonts w:hint="eastAsia"/>
                      <w:color w:val="auto"/>
                      <w:lang w:val="en-US"/>
                    </w:rPr>
                    <w:t>0.</w:t>
                  </w:r>
                  <w:r>
                    <w:rPr>
                      <w:rFonts w:hint="eastAsia"/>
                      <w:color w:val="auto"/>
                      <w:lang w:val="en-US" w:eastAsia="zh-CN"/>
                    </w:rPr>
                    <w:t>703</w:t>
                  </w:r>
                  <w:r>
                    <w:rPr>
                      <w:rFonts w:hint="default"/>
                      <w:color w:val="auto"/>
                      <w:lang w:val="en-US"/>
                    </w:rPr>
                    <w:t>t/a</w:t>
                  </w:r>
                  <w:r>
                    <w:rPr>
                      <w:rFonts w:hint="eastAsia"/>
                      <w:color w:val="auto"/>
                      <w:lang w:val="en-US"/>
                    </w:rPr>
                    <w:t>；</w:t>
                  </w:r>
                </w:p>
                <w:p w14:paraId="2B5CB703">
                  <w:pPr>
                    <w:pStyle w:val="21"/>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大气污染物总量指标：</w:t>
                  </w:r>
                  <w:r>
                    <w:rPr>
                      <w:rFonts w:hint="eastAsia"/>
                      <w:color w:val="auto"/>
                      <w:lang w:val="en-US" w:eastAsia="zh-CN"/>
                    </w:rPr>
                    <w:t>非甲烷总烃0.56t/a（有组织+无组织）</w:t>
                  </w:r>
                  <w:r>
                    <w:rPr>
                      <w:rFonts w:hint="eastAsia"/>
                      <w:color w:val="auto"/>
                      <w:lang w:val="en-US"/>
                    </w:rPr>
                    <w:t>。</w:t>
                  </w:r>
                </w:p>
              </w:tc>
              <w:tc>
                <w:tcPr>
                  <w:tcW w:w="570" w:type="dxa"/>
                  <w:vMerge w:val="continue"/>
                  <w:tcBorders>
                    <w:tl2br w:val="nil"/>
                    <w:tr2bl w:val="nil"/>
                  </w:tcBorders>
                  <w:vAlign w:val="center"/>
                </w:tcPr>
                <w:p w14:paraId="033DA5E2">
                  <w:pPr>
                    <w:pStyle w:val="21"/>
                    <w:keepNext w:val="0"/>
                    <w:keepLines w:val="0"/>
                    <w:suppressLineNumbers w:val="0"/>
                    <w:bidi w:val="0"/>
                    <w:spacing w:before="0" w:beforeAutospacing="0" w:after="0" w:afterAutospacing="0"/>
                    <w:ind w:left="0" w:right="0"/>
                    <w:rPr>
                      <w:rFonts w:hint="default"/>
                      <w:color w:val="auto"/>
                    </w:rPr>
                  </w:pPr>
                </w:p>
              </w:tc>
            </w:tr>
            <w:tr w14:paraId="66C6F6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94" w:type="dxa"/>
                  <w:tcBorders>
                    <w:tl2br w:val="nil"/>
                    <w:tr2bl w:val="nil"/>
                  </w:tcBorders>
                  <w:vAlign w:val="center"/>
                </w:tcPr>
                <w:p w14:paraId="5D52A5C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合计</w:t>
                  </w:r>
                </w:p>
              </w:tc>
              <w:tc>
                <w:tcPr>
                  <w:tcW w:w="5440" w:type="dxa"/>
                  <w:gridSpan w:val="4"/>
                  <w:tcBorders>
                    <w:tl2br w:val="nil"/>
                    <w:tr2bl w:val="nil"/>
                  </w:tcBorders>
                  <w:vAlign w:val="center"/>
                </w:tcPr>
                <w:p w14:paraId="572FC835">
                  <w:pPr>
                    <w:pStyle w:val="21"/>
                    <w:keepNext w:val="0"/>
                    <w:keepLines w:val="0"/>
                    <w:suppressLineNumbers w:val="0"/>
                    <w:bidi w:val="0"/>
                    <w:spacing w:before="0" w:beforeAutospacing="0" w:after="0" w:afterAutospacing="0"/>
                    <w:ind w:left="0" w:right="0"/>
                    <w:rPr>
                      <w:rFonts w:hint="default"/>
                      <w:color w:val="auto"/>
                    </w:rPr>
                  </w:pPr>
                  <w:r>
                    <w:rPr>
                      <w:rFonts w:hint="default"/>
                      <w:color w:val="auto"/>
                    </w:rPr>
                    <w:t>/</w:t>
                  </w:r>
                </w:p>
              </w:tc>
              <w:tc>
                <w:tcPr>
                  <w:tcW w:w="817" w:type="dxa"/>
                  <w:tcBorders>
                    <w:tl2br w:val="nil"/>
                    <w:tr2bl w:val="nil"/>
                  </w:tcBorders>
                  <w:vAlign w:val="center"/>
                </w:tcPr>
                <w:p w14:paraId="057BD7CA">
                  <w:pPr>
                    <w:pStyle w:val="21"/>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40</w:t>
                  </w:r>
                </w:p>
              </w:tc>
              <w:tc>
                <w:tcPr>
                  <w:tcW w:w="570" w:type="dxa"/>
                  <w:tcBorders>
                    <w:tl2br w:val="nil"/>
                    <w:tr2bl w:val="nil"/>
                  </w:tcBorders>
                  <w:vAlign w:val="center"/>
                </w:tcPr>
                <w:p w14:paraId="3FAA9A52">
                  <w:pPr>
                    <w:pStyle w:val="21"/>
                    <w:keepNext w:val="0"/>
                    <w:keepLines w:val="0"/>
                    <w:suppressLineNumbers w:val="0"/>
                    <w:bidi w:val="0"/>
                    <w:spacing w:before="0" w:beforeAutospacing="0" w:after="0" w:afterAutospacing="0"/>
                    <w:ind w:left="0" w:right="0"/>
                    <w:rPr>
                      <w:rFonts w:hint="default"/>
                      <w:color w:val="auto"/>
                    </w:rPr>
                  </w:pPr>
                  <w:r>
                    <w:rPr>
                      <w:rFonts w:hint="default"/>
                      <w:color w:val="auto"/>
                    </w:rPr>
                    <w:t>/</w:t>
                  </w:r>
                </w:p>
              </w:tc>
            </w:tr>
          </w:tbl>
          <w:p w14:paraId="267A9FD0">
            <w:pPr>
              <w:keepNext w:val="0"/>
              <w:keepLines w:val="0"/>
              <w:suppressLineNumbers w:val="0"/>
              <w:spacing w:before="0" w:beforeAutospacing="0" w:after="0" w:afterAutospacing="0"/>
              <w:ind w:left="0" w:leftChars="0" w:right="0" w:firstLine="0" w:firstLineChars="0"/>
              <w:rPr>
                <w:rFonts w:hint="default" w:ascii="Times New Roman" w:hAnsi="Times New Roman" w:eastAsia="宋体"/>
                <w:color w:val="auto"/>
                <w:highlight w:val="none"/>
                <w:lang w:val="en-US"/>
              </w:rPr>
            </w:pPr>
          </w:p>
        </w:tc>
      </w:tr>
    </w:tbl>
    <w:p w14:paraId="06264453">
      <w:pPr>
        <w:ind w:firstLine="480"/>
        <w:rPr>
          <w:rFonts w:ascii="Times New Roman" w:hAnsi="Times New Roman" w:eastAsia="宋体"/>
          <w:color w:val="auto"/>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19003956">
      <w:pPr>
        <w:pStyle w:val="2"/>
        <w:spacing w:before="156"/>
        <w:rPr>
          <w:rFonts w:ascii="Times New Roman" w:hAnsi="Times New Roman" w:eastAsia="宋体"/>
          <w:color w:val="auto"/>
          <w:sz w:val="30"/>
          <w:szCs w:val="30"/>
          <w:highlight w:val="none"/>
        </w:rPr>
      </w:pPr>
      <w:r>
        <w:rPr>
          <w:rFonts w:hint="eastAsia" w:ascii="Times New Roman" w:hAnsi="Times New Roman" w:eastAsia="宋体"/>
          <w:color w:val="auto"/>
          <w:sz w:val="30"/>
          <w:szCs w:val="30"/>
          <w:highlight w:val="none"/>
        </w:rPr>
        <w:t>五、环境保护措施监督检查清单</w:t>
      </w:r>
    </w:p>
    <w:tbl>
      <w:tblPr>
        <w:tblStyle w:val="1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1131"/>
        <w:gridCol w:w="771"/>
        <w:gridCol w:w="911"/>
        <w:gridCol w:w="954"/>
        <w:gridCol w:w="1910"/>
        <w:gridCol w:w="2655"/>
      </w:tblGrid>
      <w:tr w14:paraId="460BE0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131" w:type="dxa"/>
            <w:tcBorders>
              <w:tl2br w:val="single" w:color="auto" w:sz="8" w:space="0"/>
              <w:tr2bl w:val="nil"/>
            </w:tcBorders>
            <w:tcMar>
              <w:top w:w="16" w:type="dxa"/>
              <w:left w:w="16" w:type="dxa"/>
              <w:right w:w="16" w:type="dxa"/>
            </w:tcMar>
            <w:vAlign w:val="center"/>
          </w:tcPr>
          <w:p w14:paraId="38A45503">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内容</w:t>
            </w:r>
          </w:p>
          <w:p w14:paraId="135E137B">
            <w:pPr>
              <w:pStyle w:val="21"/>
              <w:keepNext w:val="0"/>
              <w:keepLines w:val="0"/>
              <w:suppressLineNumbers w:val="0"/>
              <w:spacing w:before="0" w:beforeAutospacing="0" w:after="0" w:afterAutospacing="0"/>
              <w:ind w:left="0" w:right="0"/>
              <w:jc w:val="both"/>
              <w:rPr>
                <w:rFonts w:hint="default" w:ascii="Times New Roman" w:hAnsi="Times New Roman" w:eastAsia="宋体"/>
                <w:b/>
                <w:bCs/>
                <w:color w:val="auto"/>
                <w:highlight w:val="none"/>
              </w:rPr>
            </w:pPr>
            <w:r>
              <w:rPr>
                <w:rFonts w:hint="default" w:ascii="Times New Roman" w:hAnsi="Times New Roman" w:eastAsia="宋体"/>
                <w:b/>
                <w:bCs/>
                <w:color w:val="auto"/>
                <w:highlight w:val="none"/>
              </w:rPr>
              <w:t>要素</w:t>
            </w:r>
          </w:p>
        </w:tc>
        <w:tc>
          <w:tcPr>
            <w:tcW w:w="1682" w:type="dxa"/>
            <w:gridSpan w:val="2"/>
            <w:vAlign w:val="center"/>
          </w:tcPr>
          <w:p w14:paraId="1B1E22CA">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default" w:ascii="Times New Roman" w:hAnsi="Times New Roman" w:eastAsia="宋体"/>
                <w:b/>
                <w:bCs/>
                <w:color w:val="auto"/>
                <w:highlight w:val="none"/>
                <w:lang w:val="en-US"/>
              </w:rPr>
              <w:t>排放口（编号、名称）/污染源</w:t>
            </w:r>
          </w:p>
        </w:tc>
        <w:tc>
          <w:tcPr>
            <w:tcW w:w="954" w:type="dxa"/>
            <w:vAlign w:val="center"/>
          </w:tcPr>
          <w:p w14:paraId="6E294F56">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default" w:ascii="Times New Roman" w:hAnsi="Times New Roman" w:eastAsia="宋体"/>
                <w:b/>
                <w:bCs/>
                <w:color w:val="auto"/>
                <w:highlight w:val="none"/>
                <w:lang w:val="en-US"/>
              </w:rPr>
              <w:t>污染物项目</w:t>
            </w:r>
          </w:p>
        </w:tc>
        <w:tc>
          <w:tcPr>
            <w:tcW w:w="1910" w:type="dxa"/>
            <w:vAlign w:val="center"/>
          </w:tcPr>
          <w:p w14:paraId="41D579AC">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default" w:ascii="Times New Roman" w:hAnsi="Times New Roman" w:eastAsia="宋体"/>
                <w:b/>
                <w:bCs/>
                <w:color w:val="auto"/>
                <w:highlight w:val="none"/>
                <w:lang w:val="en-US"/>
              </w:rPr>
              <w:t>环境保护措施</w:t>
            </w:r>
          </w:p>
        </w:tc>
        <w:tc>
          <w:tcPr>
            <w:tcW w:w="2655" w:type="dxa"/>
            <w:vAlign w:val="center"/>
          </w:tcPr>
          <w:p w14:paraId="35A996D3">
            <w:pPr>
              <w:pStyle w:val="21"/>
              <w:keepNext w:val="0"/>
              <w:keepLines w:val="0"/>
              <w:suppressLineNumbers w:val="0"/>
              <w:spacing w:before="0" w:beforeAutospacing="0" w:after="0" w:afterAutospacing="0"/>
              <w:ind w:left="0" w:right="0"/>
              <w:rPr>
                <w:rFonts w:hint="default" w:ascii="Times New Roman" w:hAnsi="Times New Roman" w:eastAsia="宋体"/>
                <w:b/>
                <w:bCs/>
                <w:color w:val="auto"/>
                <w:highlight w:val="none"/>
                <w:lang w:val="en-US"/>
              </w:rPr>
            </w:pPr>
            <w:r>
              <w:rPr>
                <w:rFonts w:hint="default" w:ascii="Times New Roman" w:hAnsi="Times New Roman" w:eastAsia="宋体"/>
                <w:b/>
                <w:bCs/>
                <w:color w:val="auto"/>
                <w:highlight w:val="none"/>
                <w:lang w:val="en-US"/>
              </w:rPr>
              <w:t>执行标准</w:t>
            </w:r>
          </w:p>
        </w:tc>
      </w:tr>
      <w:tr w14:paraId="21CCA9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131" w:type="dxa"/>
            <w:vMerge w:val="restart"/>
            <w:tcMar>
              <w:top w:w="16" w:type="dxa"/>
              <w:left w:w="16" w:type="dxa"/>
              <w:right w:w="16" w:type="dxa"/>
            </w:tcMar>
            <w:vAlign w:val="center"/>
          </w:tcPr>
          <w:p w14:paraId="50A657D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大气环境</w:t>
            </w:r>
          </w:p>
        </w:tc>
        <w:tc>
          <w:tcPr>
            <w:tcW w:w="771" w:type="dxa"/>
            <w:vMerge w:val="restart"/>
            <w:vAlign w:val="center"/>
          </w:tcPr>
          <w:p w14:paraId="18854247">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有组织</w:t>
            </w:r>
          </w:p>
        </w:tc>
        <w:tc>
          <w:tcPr>
            <w:tcW w:w="911" w:type="dxa"/>
            <w:vAlign w:val="center"/>
          </w:tcPr>
          <w:p w14:paraId="4B4C6FD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排气筒</w:t>
            </w:r>
            <w:r>
              <w:rPr>
                <w:rFonts w:hint="eastAsia"/>
                <w:color w:val="auto"/>
                <w:highlight w:val="none"/>
                <w:lang w:val="en-US" w:eastAsia="zh-CN"/>
              </w:rPr>
              <w:t>（</w:t>
            </w:r>
            <w:r>
              <w:rPr>
                <w:rFonts w:hint="eastAsia" w:ascii="Times New Roman" w:hAnsi="Times New Roman" w:eastAsia="宋体"/>
                <w:color w:val="auto"/>
                <w:highlight w:val="none"/>
                <w:lang w:val="en-US" w:eastAsia="zh-CN"/>
              </w:rPr>
              <w:t>DA00</w:t>
            </w:r>
            <w:r>
              <w:rPr>
                <w:rFonts w:hint="eastAsia"/>
                <w:color w:val="auto"/>
                <w:highlight w:val="none"/>
                <w:lang w:val="en-US" w:eastAsia="zh-CN"/>
              </w:rPr>
              <w:t>1）</w:t>
            </w:r>
          </w:p>
        </w:tc>
        <w:tc>
          <w:tcPr>
            <w:tcW w:w="954" w:type="dxa"/>
            <w:shd w:val="clear" w:color="auto" w:fill="auto"/>
            <w:vAlign w:val="center"/>
          </w:tcPr>
          <w:p w14:paraId="4E6B60F9">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非甲烷总烃</w:t>
            </w:r>
            <w:r>
              <w:rPr>
                <w:rFonts w:hint="eastAsia"/>
                <w:color w:val="auto"/>
                <w:lang w:eastAsia="zh-CN"/>
              </w:rPr>
              <w:t>、</w:t>
            </w:r>
            <w:r>
              <w:rPr>
                <w:rFonts w:hint="eastAsia"/>
                <w:color w:val="auto"/>
                <w:lang w:val="en-US" w:eastAsia="zh-CN"/>
              </w:rPr>
              <w:t>乙醛</w:t>
            </w:r>
          </w:p>
        </w:tc>
        <w:tc>
          <w:tcPr>
            <w:tcW w:w="1910" w:type="dxa"/>
            <w:shd w:val="clear" w:color="auto" w:fill="auto"/>
            <w:vAlign w:val="center"/>
          </w:tcPr>
          <w:p w14:paraId="08741072">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vertAlign w:val="baseline"/>
                <w:lang w:val="en-US" w:eastAsia="zh-CN" w:bidi="zh-CN"/>
              </w:rPr>
            </w:pPr>
            <w:r>
              <w:rPr>
                <w:rFonts w:hint="eastAsia"/>
                <w:color w:val="auto"/>
                <w:highlight w:val="none"/>
                <w:lang w:val="en-US" w:eastAsia="zh-CN"/>
              </w:rPr>
              <w:t>注塑、吹瓶废气集气罩收集，压盖废气密闭收集后，经一套二级活性炭吸附设施处理，通过15米高排气筒排放，风量25000m</w:t>
            </w:r>
            <w:r>
              <w:rPr>
                <w:rFonts w:hint="eastAsia"/>
                <w:color w:val="auto"/>
                <w:highlight w:val="none"/>
                <w:vertAlign w:val="superscript"/>
                <w:lang w:val="en-US" w:eastAsia="zh-CN"/>
              </w:rPr>
              <w:t>3</w:t>
            </w:r>
            <w:r>
              <w:rPr>
                <w:rFonts w:hint="eastAsia"/>
                <w:color w:val="auto"/>
                <w:highlight w:val="none"/>
                <w:vertAlign w:val="baseline"/>
                <w:lang w:val="en-US" w:eastAsia="zh-CN"/>
              </w:rPr>
              <w:t>/h</w:t>
            </w:r>
          </w:p>
        </w:tc>
        <w:tc>
          <w:tcPr>
            <w:tcW w:w="2655" w:type="dxa"/>
            <w:shd w:val="clear" w:color="auto" w:fill="auto"/>
            <w:vAlign w:val="center"/>
          </w:tcPr>
          <w:p w14:paraId="67A78CAD">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color w:val="auto"/>
                <w:highlight w:val="none"/>
              </w:rPr>
              <w:t>《</w:t>
            </w:r>
            <w:r>
              <w:rPr>
                <w:rFonts w:hint="eastAsia"/>
                <w:color w:val="auto"/>
                <w:highlight w:val="none"/>
                <w:lang w:val="en-US" w:eastAsia="zh-CN"/>
              </w:rPr>
              <w:t>合成树脂工业</w:t>
            </w:r>
            <w:r>
              <w:rPr>
                <w:rFonts w:hint="default"/>
                <w:color w:val="auto"/>
                <w:highlight w:val="none"/>
              </w:rPr>
              <w:t>污染物排放标准》（</w:t>
            </w:r>
            <w:r>
              <w:rPr>
                <w:rFonts w:hint="eastAsia"/>
                <w:color w:val="auto"/>
                <w:highlight w:val="none"/>
                <w:lang w:val="en-US" w:eastAsia="zh-CN"/>
              </w:rPr>
              <w:t>GB31572-2015</w:t>
            </w:r>
            <w:r>
              <w:rPr>
                <w:rFonts w:hint="default"/>
                <w:color w:val="auto"/>
                <w:highlight w:val="none"/>
              </w:rPr>
              <w:t>）</w:t>
            </w:r>
            <w:r>
              <w:rPr>
                <w:rFonts w:hint="eastAsia"/>
                <w:color w:val="auto"/>
                <w:highlight w:val="none"/>
                <w:lang w:val="en-US" w:eastAsia="zh-CN"/>
              </w:rPr>
              <w:t>表5特别排放限值</w:t>
            </w:r>
          </w:p>
        </w:tc>
      </w:tr>
      <w:tr w14:paraId="73D258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131" w:type="dxa"/>
            <w:vMerge w:val="continue"/>
            <w:tcMar>
              <w:top w:w="16" w:type="dxa"/>
              <w:left w:w="16" w:type="dxa"/>
              <w:right w:w="16" w:type="dxa"/>
            </w:tcMar>
            <w:vAlign w:val="center"/>
          </w:tcPr>
          <w:p w14:paraId="18F7613A">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771" w:type="dxa"/>
            <w:vMerge w:val="continue"/>
            <w:vAlign w:val="center"/>
          </w:tcPr>
          <w:p w14:paraId="081073A8">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911" w:type="dxa"/>
            <w:vAlign w:val="center"/>
          </w:tcPr>
          <w:p w14:paraId="7B91705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eastAsia"/>
                <w:color w:val="auto"/>
                <w:highlight w:val="none"/>
                <w:lang w:val="en-US" w:eastAsia="zh-CN"/>
              </w:rPr>
              <w:t>依托厂区污水处理站废水排放口</w:t>
            </w:r>
          </w:p>
        </w:tc>
        <w:tc>
          <w:tcPr>
            <w:tcW w:w="954" w:type="dxa"/>
            <w:shd w:val="clear" w:color="auto" w:fill="auto"/>
            <w:vAlign w:val="center"/>
          </w:tcPr>
          <w:p w14:paraId="6F97081F">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lang w:val="en-US" w:eastAsia="zh-CN"/>
              </w:rPr>
            </w:pPr>
            <w:r>
              <w:rPr>
                <w:rFonts w:hint="eastAsia"/>
                <w:color w:val="auto"/>
                <w:highlight w:val="none"/>
                <w:lang w:val="en-US" w:eastAsia="zh-CN"/>
              </w:rPr>
              <w:t>氨、硫化氢、臭气浓度</w:t>
            </w:r>
          </w:p>
        </w:tc>
        <w:tc>
          <w:tcPr>
            <w:tcW w:w="1910" w:type="dxa"/>
            <w:shd w:val="clear" w:color="auto" w:fill="auto"/>
            <w:vAlign w:val="center"/>
          </w:tcPr>
          <w:p w14:paraId="364CE554">
            <w:pPr>
              <w:pStyle w:val="21"/>
              <w:keepNext w:val="0"/>
              <w:keepLines w:val="0"/>
              <w:suppressLineNumbers w:val="0"/>
              <w:spacing w:before="0" w:beforeAutospacing="0" w:after="0" w:afterAutospacing="0"/>
              <w:ind w:left="0" w:leftChars="0" w:right="0" w:rightChars="0" w:firstLine="0" w:firstLineChars="0"/>
              <w:rPr>
                <w:rFonts w:hint="eastAsia"/>
                <w:color w:val="auto"/>
                <w:highlight w:val="none"/>
                <w:lang w:val="en-US" w:eastAsia="zh-CN"/>
              </w:rPr>
            </w:pPr>
            <w:r>
              <w:rPr>
                <w:rFonts w:hint="eastAsia"/>
                <w:color w:val="auto"/>
                <w:highlight w:val="none"/>
                <w:lang w:val="en-US" w:eastAsia="zh-CN"/>
              </w:rPr>
              <w:t>依托南京娃哈哈饮料有限公司拟建污水站除臭设施“一体式生物除臭箱+15米高排气筒”，风量7000m</w:t>
            </w:r>
            <w:r>
              <w:rPr>
                <w:rFonts w:hint="eastAsia"/>
                <w:color w:val="auto"/>
                <w:highlight w:val="none"/>
                <w:vertAlign w:val="superscript"/>
                <w:lang w:val="en-US" w:eastAsia="zh-CN"/>
              </w:rPr>
              <w:t>3</w:t>
            </w:r>
            <w:r>
              <w:rPr>
                <w:rFonts w:hint="eastAsia"/>
                <w:color w:val="auto"/>
                <w:highlight w:val="none"/>
                <w:vertAlign w:val="baseline"/>
                <w:lang w:val="en-US" w:eastAsia="zh-CN"/>
              </w:rPr>
              <w:t>/h</w:t>
            </w:r>
          </w:p>
        </w:tc>
        <w:tc>
          <w:tcPr>
            <w:tcW w:w="2655" w:type="dxa"/>
            <w:shd w:val="clear" w:color="auto" w:fill="auto"/>
            <w:vAlign w:val="center"/>
          </w:tcPr>
          <w:p w14:paraId="55415C06">
            <w:pPr>
              <w:pStyle w:val="21"/>
              <w:keepNext w:val="0"/>
              <w:keepLines w:val="0"/>
              <w:suppressLineNumbers w:val="0"/>
              <w:spacing w:before="0" w:beforeAutospacing="0" w:after="0" w:afterAutospacing="0"/>
              <w:ind w:left="0" w:leftChars="0" w:right="0" w:rightChars="0" w:firstLine="0" w:firstLineChars="0"/>
              <w:rPr>
                <w:rFonts w:hint="default"/>
                <w:color w:val="auto"/>
                <w:highlight w:val="none"/>
              </w:rPr>
            </w:pPr>
            <w:r>
              <w:rPr>
                <w:rFonts w:hint="eastAsia"/>
                <w:color w:val="auto"/>
                <w:highlight w:val="none"/>
                <w:lang w:val="en-US" w:eastAsia="zh-CN"/>
              </w:rPr>
              <w:t>《恶臭污染物排放标准》（GB14554-93）表2限值</w:t>
            </w:r>
          </w:p>
        </w:tc>
      </w:tr>
      <w:tr w14:paraId="61DC73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131" w:type="dxa"/>
            <w:vMerge w:val="continue"/>
            <w:tcMar>
              <w:top w:w="16" w:type="dxa"/>
              <w:left w:w="16" w:type="dxa"/>
              <w:right w:w="16" w:type="dxa"/>
            </w:tcMar>
            <w:vAlign w:val="center"/>
          </w:tcPr>
          <w:p w14:paraId="2FBA8544">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771" w:type="dxa"/>
            <w:shd w:val="clear" w:color="auto" w:fill="auto"/>
            <w:vAlign w:val="center"/>
          </w:tcPr>
          <w:p w14:paraId="06569DE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无组织</w:t>
            </w:r>
          </w:p>
        </w:tc>
        <w:tc>
          <w:tcPr>
            <w:tcW w:w="911" w:type="dxa"/>
            <w:shd w:val="clear" w:color="auto" w:fill="auto"/>
            <w:vAlign w:val="center"/>
          </w:tcPr>
          <w:p w14:paraId="6F9622A7">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厂界</w:t>
            </w:r>
          </w:p>
        </w:tc>
        <w:tc>
          <w:tcPr>
            <w:tcW w:w="954" w:type="dxa"/>
            <w:shd w:val="clear" w:color="auto" w:fill="auto"/>
            <w:vAlign w:val="center"/>
          </w:tcPr>
          <w:p w14:paraId="564C74EE">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非甲烷总烃、乙醛、氨、硫化氢、臭气浓度</w:t>
            </w:r>
          </w:p>
        </w:tc>
        <w:tc>
          <w:tcPr>
            <w:tcW w:w="1910" w:type="dxa"/>
            <w:shd w:val="clear" w:color="auto" w:fill="auto"/>
            <w:vAlign w:val="center"/>
          </w:tcPr>
          <w:p w14:paraId="685B2BAB">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加强废气收集</w:t>
            </w:r>
          </w:p>
        </w:tc>
        <w:tc>
          <w:tcPr>
            <w:tcW w:w="2655" w:type="dxa"/>
            <w:shd w:val="clear" w:color="auto" w:fill="auto"/>
            <w:vAlign w:val="center"/>
          </w:tcPr>
          <w:p w14:paraId="7442E899">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非甲烷总烃执行</w:t>
            </w:r>
            <w:r>
              <w:rPr>
                <w:rFonts w:hint="default"/>
                <w:color w:val="auto"/>
                <w:highlight w:val="none"/>
              </w:rPr>
              <w:t>《</w:t>
            </w:r>
            <w:r>
              <w:rPr>
                <w:rFonts w:hint="eastAsia"/>
                <w:color w:val="auto"/>
                <w:highlight w:val="none"/>
                <w:lang w:val="en-US" w:eastAsia="zh-CN"/>
              </w:rPr>
              <w:t>合成树脂工业</w:t>
            </w:r>
            <w:r>
              <w:rPr>
                <w:rFonts w:hint="default"/>
                <w:color w:val="auto"/>
                <w:highlight w:val="none"/>
              </w:rPr>
              <w:t>污染物排放标准》（</w:t>
            </w:r>
            <w:r>
              <w:rPr>
                <w:rFonts w:hint="eastAsia"/>
                <w:color w:val="auto"/>
                <w:highlight w:val="none"/>
                <w:lang w:val="en-US" w:eastAsia="zh-CN"/>
              </w:rPr>
              <w:t>GB31572-2015</w:t>
            </w:r>
            <w:r>
              <w:rPr>
                <w:rFonts w:hint="default"/>
                <w:color w:val="auto"/>
                <w:highlight w:val="none"/>
              </w:rPr>
              <w:t>）</w:t>
            </w:r>
            <w:r>
              <w:rPr>
                <w:rFonts w:hint="eastAsia"/>
                <w:color w:val="auto"/>
                <w:highlight w:val="none"/>
                <w:lang w:val="en-US" w:eastAsia="zh-CN"/>
              </w:rPr>
              <w:t>表9特别排放限值，乙醛执行《大气污染物综合排放标准》（DB32/4041-2021）表3限值，氨、硫化氢、臭气浓度执行</w:t>
            </w:r>
            <w:r>
              <w:rPr>
                <w:rFonts w:hint="eastAsia" w:ascii="Times New Roman" w:hAnsi="Times New Roman" w:eastAsia="宋体"/>
                <w:color w:val="auto"/>
                <w:highlight w:val="none"/>
                <w:lang w:val="en-US" w:eastAsia="zh-CN"/>
              </w:rPr>
              <w:t>《恶臭污染物排放标准》（GB14554-93）表1二级新扩改建项目限值</w:t>
            </w:r>
          </w:p>
        </w:tc>
      </w:tr>
      <w:tr w14:paraId="3DE2F9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131" w:type="dxa"/>
            <w:vMerge w:val="restart"/>
            <w:tcMar>
              <w:top w:w="16" w:type="dxa"/>
              <w:left w:w="16" w:type="dxa"/>
              <w:right w:w="16" w:type="dxa"/>
            </w:tcMar>
            <w:vAlign w:val="center"/>
          </w:tcPr>
          <w:p w14:paraId="43927FB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地表水环境</w:t>
            </w:r>
          </w:p>
        </w:tc>
        <w:tc>
          <w:tcPr>
            <w:tcW w:w="771" w:type="dxa"/>
            <w:shd w:val="clear" w:color="auto" w:fill="auto"/>
            <w:vAlign w:val="center"/>
          </w:tcPr>
          <w:p w14:paraId="663A4700">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rPr>
              <w:t>生活污水</w:t>
            </w:r>
          </w:p>
        </w:tc>
        <w:tc>
          <w:tcPr>
            <w:tcW w:w="911" w:type="dxa"/>
            <w:vMerge w:val="restart"/>
            <w:vAlign w:val="center"/>
          </w:tcPr>
          <w:p w14:paraId="71E0426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DW001</w:t>
            </w:r>
          </w:p>
        </w:tc>
        <w:tc>
          <w:tcPr>
            <w:tcW w:w="954" w:type="dxa"/>
            <w:shd w:val="clear" w:color="auto" w:fill="auto"/>
            <w:vAlign w:val="center"/>
          </w:tcPr>
          <w:p w14:paraId="64C2BBB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COD、SS、氨氮、总氮、总磷</w:t>
            </w:r>
          </w:p>
        </w:tc>
        <w:tc>
          <w:tcPr>
            <w:tcW w:w="1910" w:type="dxa"/>
            <w:vMerge w:val="restart"/>
            <w:shd w:val="clear" w:color="auto" w:fill="auto"/>
            <w:vAlign w:val="center"/>
          </w:tcPr>
          <w:p w14:paraId="0E1BA6B7">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依托租赁厂区现有化粪池、隔油池及污水处理站（工艺：调节池+A/O池+二沉池+除磷池）预处理后接管空港污水处理厂</w:t>
            </w:r>
          </w:p>
          <w:p w14:paraId="0788795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c>
          <w:tcPr>
            <w:tcW w:w="2655" w:type="dxa"/>
            <w:vMerge w:val="restart"/>
            <w:shd w:val="clear" w:color="auto" w:fill="auto"/>
            <w:vAlign w:val="center"/>
          </w:tcPr>
          <w:p w14:paraId="31FE2C71">
            <w:pPr>
              <w:pStyle w:val="21"/>
              <w:keepNext w:val="0"/>
              <w:keepLines w:val="0"/>
              <w:suppressLineNumbers w:val="0"/>
              <w:autoSpaceDE/>
              <w:autoSpaceDN/>
              <w:spacing w:before="0" w:beforeAutospacing="0" w:after="0" w:afterAutospacing="0" w:line="240" w:lineRule="exact"/>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eastAsia" w:ascii="Times New Roman" w:hAnsi="Times New Roman" w:eastAsia="宋体"/>
                <w:color w:val="auto"/>
                <w:highlight w:val="none"/>
                <w:lang w:val="en-US"/>
              </w:rPr>
              <w:t>满足《污水综合排放标准》（GB8978-1996）表4三级标准及</w:t>
            </w:r>
            <w:r>
              <w:rPr>
                <w:rFonts w:hint="eastAsia"/>
                <w:color w:val="auto"/>
                <w:highlight w:val="none"/>
                <w:lang w:val="en-US" w:eastAsia="zh-CN"/>
              </w:rPr>
              <w:t>空港</w:t>
            </w:r>
            <w:r>
              <w:rPr>
                <w:rFonts w:hint="eastAsia" w:ascii="Times New Roman" w:hAnsi="Times New Roman" w:eastAsia="宋体"/>
                <w:color w:val="auto"/>
                <w:highlight w:val="none"/>
                <w:lang w:val="en-US"/>
              </w:rPr>
              <w:t>污水处理厂接管水质要求</w:t>
            </w:r>
          </w:p>
          <w:p w14:paraId="63F0223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r>
      <w:tr w14:paraId="35C7F5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131" w:type="dxa"/>
            <w:vMerge w:val="continue"/>
            <w:tcMar>
              <w:top w:w="16" w:type="dxa"/>
              <w:left w:w="16" w:type="dxa"/>
              <w:right w:w="16" w:type="dxa"/>
            </w:tcMar>
            <w:vAlign w:val="center"/>
          </w:tcPr>
          <w:p w14:paraId="2170BB5F">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771" w:type="dxa"/>
            <w:shd w:val="clear" w:color="auto" w:fill="auto"/>
            <w:vAlign w:val="center"/>
          </w:tcPr>
          <w:p w14:paraId="580AD8F0">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食堂废水</w:t>
            </w:r>
          </w:p>
        </w:tc>
        <w:tc>
          <w:tcPr>
            <w:tcW w:w="911" w:type="dxa"/>
            <w:vMerge w:val="continue"/>
            <w:vAlign w:val="center"/>
          </w:tcPr>
          <w:p w14:paraId="26281BC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c>
          <w:tcPr>
            <w:tcW w:w="954" w:type="dxa"/>
            <w:shd w:val="clear" w:color="auto" w:fill="auto"/>
            <w:vAlign w:val="center"/>
          </w:tcPr>
          <w:p w14:paraId="485D4E10">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COD、SS、氨氮、总氮、总磷</w:t>
            </w:r>
            <w:r>
              <w:rPr>
                <w:rFonts w:hint="eastAsia" w:ascii="Times New Roman" w:hAnsi="Times New Roman" w:eastAsia="宋体"/>
                <w:color w:val="auto"/>
                <w:highlight w:val="none"/>
                <w:lang w:val="en-US" w:eastAsia="zh-CN"/>
              </w:rPr>
              <w:t>、动植物油</w:t>
            </w:r>
          </w:p>
        </w:tc>
        <w:tc>
          <w:tcPr>
            <w:tcW w:w="1910" w:type="dxa"/>
            <w:vMerge w:val="continue"/>
            <w:vAlign w:val="center"/>
          </w:tcPr>
          <w:p w14:paraId="0C5A2A11">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2655" w:type="dxa"/>
            <w:vMerge w:val="continue"/>
            <w:vAlign w:val="center"/>
          </w:tcPr>
          <w:p w14:paraId="039FF87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r>
      <w:tr w14:paraId="541C17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131" w:type="dxa"/>
            <w:vMerge w:val="continue"/>
            <w:tcMar>
              <w:top w:w="16" w:type="dxa"/>
              <w:left w:w="16" w:type="dxa"/>
              <w:right w:w="16" w:type="dxa"/>
            </w:tcMar>
            <w:vAlign w:val="center"/>
          </w:tcPr>
          <w:p w14:paraId="64E32559">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771" w:type="dxa"/>
            <w:shd w:val="clear" w:color="auto" w:fill="auto"/>
            <w:vAlign w:val="center"/>
          </w:tcPr>
          <w:p w14:paraId="2C80EF1E">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设备清洗废水</w:t>
            </w:r>
          </w:p>
        </w:tc>
        <w:tc>
          <w:tcPr>
            <w:tcW w:w="911" w:type="dxa"/>
            <w:vMerge w:val="continue"/>
            <w:vAlign w:val="center"/>
          </w:tcPr>
          <w:p w14:paraId="3F32D44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c>
          <w:tcPr>
            <w:tcW w:w="954" w:type="dxa"/>
            <w:shd w:val="clear" w:color="auto" w:fill="auto"/>
            <w:vAlign w:val="center"/>
          </w:tcPr>
          <w:p w14:paraId="39746D60">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pH、</w:t>
            </w:r>
            <w:r>
              <w:rPr>
                <w:rFonts w:hint="default" w:ascii="Times New Roman" w:hAnsi="Times New Roman" w:eastAsia="宋体"/>
                <w:color w:val="auto"/>
                <w:highlight w:val="none"/>
              </w:rPr>
              <w:t>COD、SS</w:t>
            </w:r>
            <w:r>
              <w:rPr>
                <w:rFonts w:hint="eastAsia"/>
                <w:color w:val="auto"/>
                <w:highlight w:val="none"/>
                <w:lang w:eastAsia="zh-CN"/>
              </w:rPr>
              <w:t>、</w:t>
            </w:r>
            <w:r>
              <w:rPr>
                <w:rFonts w:hint="eastAsia"/>
                <w:color w:val="auto"/>
                <w:highlight w:val="none"/>
                <w:lang w:val="en-US" w:eastAsia="zh-CN"/>
              </w:rPr>
              <w:t>总氮</w:t>
            </w:r>
          </w:p>
        </w:tc>
        <w:tc>
          <w:tcPr>
            <w:tcW w:w="1910" w:type="dxa"/>
            <w:vMerge w:val="continue"/>
            <w:vAlign w:val="center"/>
          </w:tcPr>
          <w:p w14:paraId="118EA97B">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2655" w:type="dxa"/>
            <w:vMerge w:val="continue"/>
            <w:vAlign w:val="center"/>
          </w:tcPr>
          <w:p w14:paraId="40B87E3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p>
        </w:tc>
      </w:tr>
      <w:tr w14:paraId="246368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39" w:hRule="atLeast"/>
          <w:jc w:val="center"/>
        </w:trPr>
        <w:tc>
          <w:tcPr>
            <w:tcW w:w="1131" w:type="dxa"/>
            <w:vMerge w:val="continue"/>
            <w:tcMar>
              <w:top w:w="16" w:type="dxa"/>
              <w:left w:w="16" w:type="dxa"/>
              <w:right w:w="16" w:type="dxa"/>
            </w:tcMar>
            <w:vAlign w:val="center"/>
          </w:tcPr>
          <w:p w14:paraId="7BBAFA09">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771" w:type="dxa"/>
            <w:shd w:val="clear" w:color="auto" w:fill="auto"/>
            <w:vAlign w:val="center"/>
          </w:tcPr>
          <w:p w14:paraId="61B8E2B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地面冲洗废水</w:t>
            </w:r>
          </w:p>
        </w:tc>
        <w:tc>
          <w:tcPr>
            <w:tcW w:w="911" w:type="dxa"/>
            <w:vMerge w:val="continue"/>
            <w:vAlign w:val="center"/>
          </w:tcPr>
          <w:p w14:paraId="185CE38B">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eastAsia="zh-CN"/>
              </w:rPr>
            </w:pPr>
          </w:p>
        </w:tc>
        <w:tc>
          <w:tcPr>
            <w:tcW w:w="954" w:type="dxa"/>
            <w:shd w:val="clear" w:color="auto" w:fill="auto"/>
            <w:vAlign w:val="center"/>
          </w:tcPr>
          <w:p w14:paraId="66694806">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rPr>
              <w:t>COD、SS</w:t>
            </w:r>
          </w:p>
        </w:tc>
        <w:tc>
          <w:tcPr>
            <w:tcW w:w="1910" w:type="dxa"/>
            <w:vMerge w:val="continue"/>
            <w:vAlign w:val="center"/>
          </w:tcPr>
          <w:p w14:paraId="3D31DF0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c>
          <w:tcPr>
            <w:tcW w:w="2655" w:type="dxa"/>
            <w:vMerge w:val="continue"/>
            <w:vAlign w:val="center"/>
          </w:tcPr>
          <w:p w14:paraId="15D9B58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r>
      <w:tr w14:paraId="073B24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39" w:hRule="atLeast"/>
          <w:jc w:val="center"/>
        </w:trPr>
        <w:tc>
          <w:tcPr>
            <w:tcW w:w="1131" w:type="dxa"/>
            <w:vMerge w:val="continue"/>
            <w:tcMar>
              <w:top w:w="16" w:type="dxa"/>
              <w:left w:w="16" w:type="dxa"/>
              <w:right w:w="16" w:type="dxa"/>
            </w:tcMar>
            <w:vAlign w:val="center"/>
          </w:tcPr>
          <w:p w14:paraId="5A9FCF83">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771" w:type="dxa"/>
            <w:shd w:val="clear" w:color="auto" w:fill="auto"/>
            <w:vAlign w:val="center"/>
          </w:tcPr>
          <w:p w14:paraId="2284474E">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反渗透浓水</w:t>
            </w:r>
          </w:p>
        </w:tc>
        <w:tc>
          <w:tcPr>
            <w:tcW w:w="911" w:type="dxa"/>
            <w:vMerge w:val="continue"/>
            <w:shd w:val="clear" w:color="auto" w:fill="auto"/>
            <w:vAlign w:val="center"/>
          </w:tcPr>
          <w:p w14:paraId="47C9D0BD">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p>
        </w:tc>
        <w:tc>
          <w:tcPr>
            <w:tcW w:w="954" w:type="dxa"/>
            <w:shd w:val="clear" w:color="auto" w:fill="auto"/>
            <w:vAlign w:val="center"/>
          </w:tcPr>
          <w:p w14:paraId="14BBB3F4">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rPr>
              <w:t>COD、SS</w:t>
            </w:r>
          </w:p>
        </w:tc>
        <w:tc>
          <w:tcPr>
            <w:tcW w:w="1910" w:type="dxa"/>
            <w:vAlign w:val="center"/>
          </w:tcPr>
          <w:p w14:paraId="12AFF228">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olor w:val="auto"/>
                <w:highlight w:val="none"/>
                <w:lang w:val="en-US" w:eastAsia="zh-CN"/>
              </w:rPr>
            </w:pPr>
            <w:r>
              <w:rPr>
                <w:rFonts w:hint="eastAsia"/>
                <w:color w:val="auto"/>
                <w:highlight w:val="none"/>
                <w:lang w:val="en-US" w:eastAsia="zh-CN"/>
              </w:rPr>
              <w:t>接管空港污水处理厂</w:t>
            </w:r>
          </w:p>
        </w:tc>
        <w:tc>
          <w:tcPr>
            <w:tcW w:w="2655" w:type="dxa"/>
            <w:vMerge w:val="continue"/>
            <w:vAlign w:val="center"/>
          </w:tcPr>
          <w:p w14:paraId="4FBAA06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p>
        </w:tc>
      </w:tr>
      <w:tr w14:paraId="1DF0EA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97" w:hRule="atLeast"/>
          <w:jc w:val="center"/>
        </w:trPr>
        <w:tc>
          <w:tcPr>
            <w:tcW w:w="1131" w:type="dxa"/>
            <w:tcMar>
              <w:top w:w="16" w:type="dxa"/>
              <w:left w:w="16" w:type="dxa"/>
              <w:right w:w="16" w:type="dxa"/>
            </w:tcMar>
            <w:vAlign w:val="center"/>
          </w:tcPr>
          <w:p w14:paraId="478FFAC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声环境</w:t>
            </w:r>
          </w:p>
        </w:tc>
        <w:tc>
          <w:tcPr>
            <w:tcW w:w="1682" w:type="dxa"/>
            <w:gridSpan w:val="2"/>
            <w:vAlign w:val="center"/>
          </w:tcPr>
          <w:p w14:paraId="79942A8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生产设备</w:t>
            </w:r>
          </w:p>
        </w:tc>
        <w:tc>
          <w:tcPr>
            <w:tcW w:w="954" w:type="dxa"/>
            <w:vAlign w:val="center"/>
          </w:tcPr>
          <w:p w14:paraId="442FC05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噪声</w:t>
            </w:r>
          </w:p>
        </w:tc>
        <w:tc>
          <w:tcPr>
            <w:tcW w:w="1910" w:type="dxa"/>
            <w:vAlign w:val="center"/>
          </w:tcPr>
          <w:p w14:paraId="76F311B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eastAsia="zh-CN"/>
              </w:rPr>
            </w:pPr>
            <w:r>
              <w:rPr>
                <w:rFonts w:hint="default" w:ascii="Times New Roman" w:hAnsi="Times New Roman" w:eastAsia="宋体"/>
                <w:color w:val="auto"/>
                <w:highlight w:val="none"/>
                <w:lang w:val="en-US"/>
              </w:rPr>
              <w:t>厂房隔声、</w:t>
            </w:r>
            <w:r>
              <w:rPr>
                <w:rFonts w:hint="eastAsia" w:ascii="Times New Roman" w:hAnsi="Times New Roman" w:eastAsia="宋体"/>
                <w:color w:val="auto"/>
                <w:highlight w:val="none"/>
                <w:lang w:val="en-US" w:eastAsia="zh-CN"/>
              </w:rPr>
              <w:t>合理布局、减振消声等</w:t>
            </w:r>
          </w:p>
        </w:tc>
        <w:tc>
          <w:tcPr>
            <w:tcW w:w="2655" w:type="dxa"/>
            <w:vAlign w:val="center"/>
          </w:tcPr>
          <w:p w14:paraId="65FC5FB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《工业企业厂界环境噪声排放标准》（GB12348-2008）中的</w:t>
            </w:r>
            <w:r>
              <w:rPr>
                <w:rFonts w:hint="eastAsia"/>
                <w:color w:val="auto"/>
                <w:highlight w:val="none"/>
                <w:lang w:val="en-US" w:eastAsia="zh-CN"/>
              </w:rPr>
              <w:t>3</w:t>
            </w:r>
            <w:r>
              <w:rPr>
                <w:rFonts w:hint="default" w:ascii="Times New Roman" w:hAnsi="Times New Roman" w:eastAsia="宋体"/>
                <w:color w:val="auto"/>
                <w:highlight w:val="none"/>
                <w:lang w:val="en-US"/>
              </w:rPr>
              <w:t>类标准</w:t>
            </w:r>
          </w:p>
        </w:tc>
      </w:tr>
      <w:tr w14:paraId="238095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131" w:type="dxa"/>
            <w:tcMar>
              <w:top w:w="16" w:type="dxa"/>
              <w:left w:w="16" w:type="dxa"/>
              <w:right w:w="16" w:type="dxa"/>
            </w:tcMar>
            <w:vAlign w:val="center"/>
          </w:tcPr>
          <w:p w14:paraId="3E64670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电磁辐射</w:t>
            </w:r>
          </w:p>
        </w:tc>
        <w:tc>
          <w:tcPr>
            <w:tcW w:w="1682" w:type="dxa"/>
            <w:gridSpan w:val="2"/>
            <w:vAlign w:val="center"/>
          </w:tcPr>
          <w:p w14:paraId="2CD1CFB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w:t>
            </w:r>
          </w:p>
        </w:tc>
        <w:tc>
          <w:tcPr>
            <w:tcW w:w="954" w:type="dxa"/>
            <w:vAlign w:val="center"/>
          </w:tcPr>
          <w:p w14:paraId="081A543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w:t>
            </w:r>
          </w:p>
        </w:tc>
        <w:tc>
          <w:tcPr>
            <w:tcW w:w="1910" w:type="dxa"/>
            <w:vAlign w:val="center"/>
          </w:tcPr>
          <w:p w14:paraId="751E307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w:t>
            </w:r>
          </w:p>
        </w:tc>
        <w:tc>
          <w:tcPr>
            <w:tcW w:w="2655" w:type="dxa"/>
            <w:vAlign w:val="center"/>
          </w:tcPr>
          <w:p w14:paraId="2236986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w:t>
            </w:r>
          </w:p>
        </w:tc>
      </w:tr>
      <w:tr w14:paraId="620E95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131" w:type="dxa"/>
            <w:tcMar>
              <w:top w:w="16" w:type="dxa"/>
              <w:left w:w="16" w:type="dxa"/>
              <w:right w:w="16" w:type="dxa"/>
            </w:tcMar>
            <w:vAlign w:val="center"/>
          </w:tcPr>
          <w:p w14:paraId="1706A8B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固体废物</w:t>
            </w:r>
          </w:p>
        </w:tc>
        <w:tc>
          <w:tcPr>
            <w:tcW w:w="7201" w:type="dxa"/>
            <w:gridSpan w:val="5"/>
            <w:vAlign w:val="center"/>
          </w:tcPr>
          <w:p w14:paraId="7583F302">
            <w:pPr>
              <w:pStyle w:val="21"/>
              <w:keepNext w:val="0"/>
              <w:keepLines w:val="0"/>
              <w:suppressLineNumbers w:val="0"/>
              <w:spacing w:before="0" w:beforeAutospacing="0" w:after="0" w:afterAutospacing="0"/>
              <w:ind w:left="0" w:right="0" w:firstLine="420" w:firstLineChars="200"/>
              <w:jc w:val="both"/>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本项目营运期产生的固废生活垃圾</w:t>
            </w:r>
            <w:r>
              <w:rPr>
                <w:rFonts w:hint="eastAsia"/>
                <w:color w:val="auto"/>
                <w:highlight w:val="none"/>
                <w:lang w:val="en-US" w:eastAsia="zh-CN"/>
              </w:rPr>
              <w:t>、食堂垃圾</w:t>
            </w:r>
            <w:r>
              <w:rPr>
                <w:rFonts w:hint="default" w:ascii="Times New Roman" w:hAnsi="Times New Roman" w:eastAsia="宋体"/>
                <w:color w:val="auto"/>
                <w:highlight w:val="none"/>
                <w:lang w:val="en-US"/>
              </w:rPr>
              <w:t>由环卫清运</w:t>
            </w:r>
            <w:r>
              <w:rPr>
                <w:rFonts w:hint="eastAsia"/>
                <w:color w:val="auto"/>
                <w:highlight w:val="none"/>
                <w:lang w:val="en-US" w:eastAsia="zh-CN"/>
              </w:rPr>
              <w:t>处理</w:t>
            </w:r>
            <w:r>
              <w:rPr>
                <w:rFonts w:hint="default" w:ascii="Times New Roman" w:hAnsi="Times New Roman" w:eastAsia="宋体"/>
                <w:color w:val="auto"/>
                <w:highlight w:val="none"/>
                <w:lang w:val="en-US"/>
              </w:rPr>
              <w:t>，</w:t>
            </w:r>
            <w:r>
              <w:rPr>
                <w:rFonts w:hint="eastAsia" w:ascii="Times New Roman" w:hAnsi="Times New Roman" w:eastAsia="宋体"/>
                <w:color w:val="auto"/>
                <w:highlight w:val="none"/>
                <w:lang w:val="en-US"/>
              </w:rPr>
              <w:t>废活性炭（制纯水）</w:t>
            </w:r>
            <w:r>
              <w:rPr>
                <w:rFonts w:hint="eastAsia"/>
                <w:color w:val="auto"/>
                <w:highlight w:val="none"/>
                <w:lang w:val="en-US" w:eastAsia="zh-CN"/>
              </w:rPr>
              <w:t>、</w:t>
            </w:r>
            <w:r>
              <w:rPr>
                <w:rFonts w:hint="eastAsia" w:ascii="Times New Roman" w:hAnsi="Times New Roman" w:eastAsia="宋体"/>
                <w:color w:val="auto"/>
                <w:highlight w:val="none"/>
                <w:lang w:val="en-US"/>
              </w:rPr>
              <w:t>废反渗透膜</w:t>
            </w:r>
            <w:r>
              <w:rPr>
                <w:rFonts w:hint="eastAsia"/>
                <w:color w:val="auto"/>
                <w:highlight w:val="none"/>
                <w:lang w:val="en-US" w:eastAsia="zh-CN"/>
              </w:rPr>
              <w:t>、</w:t>
            </w:r>
            <w:r>
              <w:rPr>
                <w:rFonts w:hint="eastAsia" w:ascii="Times New Roman" w:hAnsi="Times New Roman" w:eastAsia="宋体"/>
                <w:color w:val="auto"/>
                <w:highlight w:val="none"/>
                <w:lang w:val="en-US"/>
              </w:rPr>
              <w:t>废塑料</w:t>
            </w:r>
            <w:r>
              <w:rPr>
                <w:rFonts w:hint="eastAsia"/>
                <w:color w:val="auto"/>
                <w:highlight w:val="none"/>
                <w:lang w:val="en-US" w:eastAsia="zh-CN"/>
              </w:rPr>
              <w:t>、</w:t>
            </w:r>
            <w:r>
              <w:rPr>
                <w:rFonts w:hint="eastAsia" w:ascii="Times New Roman" w:hAnsi="Times New Roman" w:eastAsia="宋体"/>
                <w:color w:val="auto"/>
                <w:highlight w:val="none"/>
                <w:lang w:val="en-US"/>
              </w:rPr>
              <w:t>废滤芯</w:t>
            </w:r>
            <w:r>
              <w:rPr>
                <w:rFonts w:hint="eastAsia"/>
                <w:color w:val="auto"/>
                <w:highlight w:val="none"/>
                <w:lang w:val="en-US" w:eastAsia="zh-CN"/>
              </w:rPr>
              <w:t>、</w:t>
            </w:r>
            <w:r>
              <w:rPr>
                <w:rFonts w:hint="eastAsia" w:ascii="Times New Roman" w:hAnsi="Times New Roman" w:eastAsia="宋体"/>
                <w:color w:val="auto"/>
                <w:highlight w:val="none"/>
                <w:lang w:val="en-US"/>
              </w:rPr>
              <w:t>废分子筛</w:t>
            </w:r>
            <w:r>
              <w:rPr>
                <w:rFonts w:hint="eastAsia"/>
                <w:color w:val="auto"/>
                <w:highlight w:val="none"/>
                <w:lang w:val="en-US" w:eastAsia="zh-CN"/>
              </w:rPr>
              <w:t>、</w:t>
            </w:r>
            <w:r>
              <w:rPr>
                <w:rFonts w:hint="eastAsia" w:ascii="Times New Roman" w:hAnsi="Times New Roman" w:eastAsia="宋体"/>
                <w:color w:val="auto"/>
                <w:highlight w:val="none"/>
                <w:lang w:val="en-US"/>
              </w:rPr>
              <w:t>废纸箱</w:t>
            </w:r>
            <w:r>
              <w:rPr>
                <w:rFonts w:hint="eastAsia"/>
                <w:color w:val="auto"/>
                <w:highlight w:val="none"/>
                <w:lang w:val="en-US" w:eastAsia="zh-CN"/>
              </w:rPr>
              <w:t>、</w:t>
            </w:r>
            <w:r>
              <w:rPr>
                <w:rFonts w:hint="eastAsia" w:ascii="Times New Roman" w:hAnsi="Times New Roman" w:eastAsia="宋体"/>
                <w:color w:val="auto"/>
                <w:highlight w:val="none"/>
                <w:lang w:val="en-US"/>
              </w:rPr>
              <w:t>废塑料膜</w:t>
            </w:r>
            <w:r>
              <w:rPr>
                <w:rFonts w:hint="eastAsia"/>
                <w:color w:val="auto"/>
                <w:highlight w:val="none"/>
                <w:lang w:val="en-US" w:eastAsia="zh-CN"/>
              </w:rPr>
              <w:t>、</w:t>
            </w:r>
            <w:r>
              <w:rPr>
                <w:rFonts w:hint="eastAsia" w:ascii="Times New Roman" w:hAnsi="Times New Roman" w:eastAsia="宋体"/>
                <w:color w:val="auto"/>
                <w:highlight w:val="none"/>
                <w:lang w:val="en-US"/>
              </w:rPr>
              <w:t>废包装袋</w:t>
            </w:r>
            <w:r>
              <w:rPr>
                <w:rFonts w:hint="default" w:ascii="Times New Roman" w:hAnsi="Times New Roman" w:eastAsia="宋体"/>
                <w:color w:val="auto"/>
                <w:highlight w:val="none"/>
                <w:lang w:val="en-US"/>
              </w:rPr>
              <w:t>外售</w:t>
            </w:r>
            <w:r>
              <w:rPr>
                <w:rFonts w:hint="eastAsia" w:ascii="Times New Roman" w:hAnsi="Times New Roman" w:eastAsia="宋体"/>
                <w:color w:val="auto"/>
                <w:highlight w:val="none"/>
                <w:lang w:val="en-US"/>
              </w:rPr>
              <w:t>综合利用</w:t>
            </w:r>
            <w:r>
              <w:rPr>
                <w:rFonts w:hint="default" w:ascii="Times New Roman" w:hAnsi="Times New Roman" w:eastAsia="宋体"/>
                <w:color w:val="auto"/>
                <w:highlight w:val="none"/>
                <w:lang w:val="en-US"/>
              </w:rPr>
              <w:t>，</w:t>
            </w:r>
            <w:r>
              <w:rPr>
                <w:rFonts w:hint="eastAsia" w:ascii="Times New Roman" w:hAnsi="Times New Roman" w:eastAsia="宋体"/>
                <w:color w:val="auto"/>
                <w:highlight w:val="none"/>
                <w:lang w:val="en-US"/>
              </w:rPr>
              <w:t>污泥</w:t>
            </w:r>
            <w:r>
              <w:rPr>
                <w:rFonts w:hint="eastAsia" w:ascii="Times New Roman" w:hAnsi="Times New Roman"/>
                <w:color w:val="auto"/>
                <w:highlight w:val="none"/>
                <w:lang w:val="en-US" w:eastAsia="zh-CN"/>
              </w:rPr>
              <w:t>委外处置，</w:t>
            </w:r>
            <w:r>
              <w:rPr>
                <w:rFonts w:hint="default" w:ascii="Times New Roman" w:hAnsi="Times New Roman" w:eastAsia="宋体"/>
                <w:color w:val="auto"/>
                <w:highlight w:val="none"/>
                <w:lang w:val="en-US"/>
              </w:rPr>
              <w:t>沉淀渣</w:t>
            </w:r>
            <w:r>
              <w:rPr>
                <w:rFonts w:hint="eastAsia" w:ascii="Times New Roman" w:hAnsi="Times New Roman" w:eastAsia="宋体"/>
                <w:color w:val="auto"/>
                <w:highlight w:val="none"/>
                <w:lang w:val="en-US" w:eastAsia="zh-CN"/>
              </w:rPr>
              <w:t>委外处置</w:t>
            </w:r>
            <w:r>
              <w:rPr>
                <w:rFonts w:hint="eastAsia"/>
                <w:color w:val="auto"/>
                <w:highlight w:val="none"/>
                <w:lang w:val="en-US" w:eastAsia="zh-CN"/>
              </w:rPr>
              <w:t>，</w:t>
            </w:r>
            <w:r>
              <w:rPr>
                <w:rFonts w:hint="eastAsia" w:ascii="Times New Roman" w:hAnsi="Times New Roman" w:eastAsia="宋体"/>
                <w:color w:val="auto"/>
                <w:highlight w:val="none"/>
                <w:lang w:val="en-US" w:eastAsia="zh-CN"/>
              </w:rPr>
              <w:t>废紫外灯管</w:t>
            </w:r>
            <w:r>
              <w:rPr>
                <w:rFonts w:hint="eastAsia"/>
                <w:color w:val="auto"/>
                <w:highlight w:val="none"/>
                <w:lang w:val="en-US" w:eastAsia="zh-CN"/>
              </w:rPr>
              <w:t>、</w:t>
            </w:r>
            <w:r>
              <w:rPr>
                <w:rFonts w:hint="eastAsia" w:ascii="Times New Roman" w:hAnsi="Times New Roman" w:eastAsia="宋体"/>
                <w:color w:val="auto"/>
                <w:highlight w:val="none"/>
                <w:lang w:val="en-US" w:eastAsia="zh-CN"/>
              </w:rPr>
              <w:t>废机油桶</w:t>
            </w:r>
            <w:r>
              <w:rPr>
                <w:rFonts w:hint="eastAsia"/>
                <w:color w:val="auto"/>
                <w:highlight w:val="none"/>
                <w:lang w:val="en-US" w:eastAsia="zh-CN"/>
              </w:rPr>
              <w:t>、</w:t>
            </w:r>
            <w:r>
              <w:rPr>
                <w:rFonts w:hint="eastAsia" w:ascii="Times New Roman" w:hAnsi="Times New Roman" w:eastAsia="宋体"/>
                <w:color w:val="auto"/>
                <w:highlight w:val="none"/>
                <w:lang w:val="en-US" w:eastAsia="zh-CN"/>
              </w:rPr>
              <w:t>废化学品包装桶</w:t>
            </w:r>
            <w:r>
              <w:rPr>
                <w:rFonts w:hint="eastAsia"/>
                <w:color w:val="auto"/>
                <w:highlight w:val="none"/>
                <w:lang w:val="en-US" w:eastAsia="zh-CN"/>
              </w:rPr>
              <w:t>、</w:t>
            </w:r>
            <w:r>
              <w:rPr>
                <w:rFonts w:hint="eastAsia" w:ascii="Times New Roman" w:hAnsi="Times New Roman" w:eastAsia="宋体"/>
                <w:color w:val="auto"/>
                <w:highlight w:val="none"/>
                <w:lang w:val="en-US" w:eastAsia="zh-CN"/>
              </w:rPr>
              <w:t>废机油</w:t>
            </w:r>
            <w:r>
              <w:rPr>
                <w:rFonts w:hint="eastAsia"/>
                <w:color w:val="auto"/>
                <w:highlight w:val="none"/>
                <w:lang w:val="en-US" w:eastAsia="zh-CN"/>
              </w:rPr>
              <w:t>、</w:t>
            </w:r>
            <w:r>
              <w:rPr>
                <w:rFonts w:hint="eastAsia" w:ascii="Times New Roman" w:hAnsi="Times New Roman" w:eastAsia="宋体"/>
                <w:color w:val="auto"/>
                <w:highlight w:val="none"/>
                <w:lang w:val="en-US" w:eastAsia="zh-CN"/>
              </w:rPr>
              <w:t>废活性炭</w:t>
            </w:r>
            <w:r>
              <w:rPr>
                <w:rFonts w:hint="default" w:ascii="Times New Roman" w:hAnsi="Times New Roman" w:eastAsia="宋体"/>
                <w:color w:val="auto"/>
                <w:highlight w:val="none"/>
                <w:lang w:val="en-US"/>
              </w:rPr>
              <w:t>委托有资质单位处理。固废均得到相应合理的处置，零排放。</w:t>
            </w:r>
          </w:p>
        </w:tc>
      </w:tr>
      <w:tr w14:paraId="412E23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131" w:type="dxa"/>
            <w:tcMar>
              <w:top w:w="16" w:type="dxa"/>
              <w:left w:w="16" w:type="dxa"/>
              <w:right w:w="16" w:type="dxa"/>
            </w:tcMar>
            <w:vAlign w:val="center"/>
          </w:tcPr>
          <w:p w14:paraId="6DBC70E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土壤及地下水污染防治措施</w:t>
            </w:r>
          </w:p>
        </w:tc>
        <w:tc>
          <w:tcPr>
            <w:tcW w:w="7201" w:type="dxa"/>
            <w:gridSpan w:val="5"/>
            <w:vAlign w:val="center"/>
          </w:tcPr>
          <w:p w14:paraId="714362B1">
            <w:pPr>
              <w:pStyle w:val="21"/>
              <w:keepNext w:val="0"/>
              <w:keepLines w:val="0"/>
              <w:suppressLineNumbers w:val="0"/>
              <w:spacing w:before="0" w:beforeAutospacing="0" w:after="0" w:afterAutospacing="0"/>
              <w:ind w:left="0" w:right="0" w:firstLine="420" w:firstLineChars="200"/>
              <w:jc w:val="both"/>
              <w:rPr>
                <w:rFonts w:hint="default" w:ascii="Times New Roman" w:hAnsi="Times New Roman" w:eastAsia="宋体"/>
                <w:color w:val="auto"/>
                <w:highlight w:val="none"/>
                <w:lang w:val="en-US"/>
              </w:rPr>
            </w:pPr>
            <w:r>
              <w:rPr>
                <w:rFonts w:hint="default" w:ascii="Times New Roman" w:hAnsi="Times New Roman" w:eastAsia="宋体"/>
                <w:color w:val="auto"/>
                <w:highlight w:val="none"/>
                <w:lang w:val="en-US"/>
              </w:rPr>
              <w:t>建设单位切实做好防治措施，源头控制、分区防渗，对各种污染物进行有效</w:t>
            </w:r>
            <w:r>
              <w:rPr>
                <w:rFonts w:hint="eastAsia"/>
                <w:color w:val="auto"/>
                <w:highlight w:val="none"/>
                <w:lang w:val="en-US" w:eastAsia="zh-CN"/>
              </w:rPr>
              <w:t>地</w:t>
            </w:r>
            <w:r>
              <w:rPr>
                <w:rFonts w:hint="default" w:ascii="Times New Roman" w:hAnsi="Times New Roman" w:eastAsia="宋体"/>
                <w:color w:val="auto"/>
                <w:highlight w:val="none"/>
                <w:lang w:val="en-US"/>
              </w:rPr>
              <w:t>治理，可将污染物对土壤及地下水环境影响降至最低，对土壤及地下水环境的影响较小。</w:t>
            </w:r>
          </w:p>
        </w:tc>
      </w:tr>
      <w:tr w14:paraId="6765F7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131" w:type="dxa"/>
            <w:tcMar>
              <w:top w:w="16" w:type="dxa"/>
              <w:left w:w="16" w:type="dxa"/>
              <w:right w:w="16" w:type="dxa"/>
            </w:tcMar>
            <w:vAlign w:val="center"/>
          </w:tcPr>
          <w:p w14:paraId="220F01B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生态保护措施</w:t>
            </w:r>
          </w:p>
        </w:tc>
        <w:tc>
          <w:tcPr>
            <w:tcW w:w="7201" w:type="dxa"/>
            <w:gridSpan w:val="5"/>
            <w:vAlign w:val="center"/>
          </w:tcPr>
          <w:p w14:paraId="34C0E6E0">
            <w:pPr>
              <w:pStyle w:val="21"/>
              <w:keepNext w:val="0"/>
              <w:keepLines w:val="0"/>
              <w:suppressLineNumbers w:val="0"/>
              <w:spacing w:before="0" w:beforeAutospacing="0" w:after="0" w:afterAutospacing="0"/>
              <w:ind w:left="0" w:right="0" w:firstLine="420" w:firstLineChars="200"/>
              <w:jc w:val="both"/>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w:t>
            </w:r>
          </w:p>
        </w:tc>
      </w:tr>
      <w:tr w14:paraId="5A81D5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131" w:type="dxa"/>
            <w:tcMar>
              <w:top w:w="16" w:type="dxa"/>
              <w:left w:w="16" w:type="dxa"/>
              <w:right w:w="16" w:type="dxa"/>
            </w:tcMar>
            <w:vAlign w:val="center"/>
          </w:tcPr>
          <w:p w14:paraId="4DDD073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环境风险</w:t>
            </w:r>
          </w:p>
          <w:p w14:paraId="336B8E3F">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防范措施</w:t>
            </w:r>
          </w:p>
        </w:tc>
        <w:tc>
          <w:tcPr>
            <w:tcW w:w="7201" w:type="dxa"/>
            <w:gridSpan w:val="5"/>
            <w:vAlign w:val="center"/>
          </w:tcPr>
          <w:p w14:paraId="403CCD9F">
            <w:pPr>
              <w:pStyle w:val="21"/>
              <w:keepNext w:val="0"/>
              <w:keepLines w:val="0"/>
              <w:suppressLineNumbers w:val="0"/>
              <w:spacing w:before="0" w:beforeAutospacing="0" w:after="0" w:afterAutospacing="0"/>
              <w:ind w:left="0" w:right="0" w:firstLine="420" w:firstLineChars="200"/>
              <w:jc w:val="both"/>
              <w:rPr>
                <w:rFonts w:hint="default"/>
                <w:color w:val="auto"/>
                <w:highlight w:val="none"/>
                <w:lang w:val="en-US"/>
              </w:rPr>
            </w:pPr>
            <w:r>
              <w:rPr>
                <w:rFonts w:hint="eastAsia"/>
                <w:color w:val="auto"/>
                <w:highlight w:val="none"/>
                <w:lang w:val="en-US"/>
              </w:rPr>
              <w:t>1、</w:t>
            </w:r>
            <w:r>
              <w:rPr>
                <w:rFonts w:hint="eastAsia"/>
                <w:color w:val="auto"/>
                <w:highlight w:val="none"/>
                <w:lang w:val="en-US" w:eastAsia="zh-CN"/>
              </w:rPr>
              <w:t>危化品仓库</w:t>
            </w:r>
            <w:r>
              <w:rPr>
                <w:rFonts w:hint="eastAsia"/>
                <w:color w:val="auto"/>
                <w:highlight w:val="none"/>
                <w:lang w:val="en-US"/>
              </w:rPr>
              <w:t>、危废仓库地面及墙壁裙脚均采取防渗措施，危废仓库内设置不锈钢防泄漏托盘或导流沟、集液槽，防止泄漏液流出车间。</w:t>
            </w:r>
          </w:p>
          <w:p w14:paraId="77A91238">
            <w:pPr>
              <w:pStyle w:val="21"/>
              <w:keepNext w:val="0"/>
              <w:keepLines w:val="0"/>
              <w:suppressLineNumbers w:val="0"/>
              <w:spacing w:before="0" w:beforeAutospacing="0" w:after="0" w:afterAutospacing="0"/>
              <w:ind w:left="0" w:right="0" w:firstLine="420" w:firstLineChars="200"/>
              <w:jc w:val="both"/>
              <w:rPr>
                <w:rFonts w:hint="default"/>
                <w:color w:val="auto"/>
                <w:highlight w:val="none"/>
                <w:lang w:val="en-US"/>
              </w:rPr>
            </w:pPr>
            <w:r>
              <w:rPr>
                <w:rFonts w:hint="eastAsia"/>
                <w:color w:val="auto"/>
                <w:highlight w:val="none"/>
                <w:lang w:val="en-US"/>
              </w:rPr>
              <w:t>2、建立完善的安全生产管理制度和定期排查制度，设置专人管理，落实主管人员责任，及时排查环境风险隐患，实施整改。</w:t>
            </w:r>
          </w:p>
          <w:p w14:paraId="2C2CD6CC">
            <w:pPr>
              <w:pStyle w:val="21"/>
              <w:keepNext w:val="0"/>
              <w:keepLines w:val="0"/>
              <w:suppressLineNumbers w:val="0"/>
              <w:spacing w:before="0" w:beforeAutospacing="0" w:after="0" w:afterAutospacing="0"/>
              <w:ind w:left="0" w:right="0" w:firstLine="420" w:firstLineChars="200"/>
              <w:jc w:val="both"/>
              <w:rPr>
                <w:rFonts w:hint="default"/>
                <w:color w:val="auto"/>
                <w:szCs w:val="21"/>
                <w:highlight w:val="none"/>
              </w:rPr>
            </w:pPr>
            <w:r>
              <w:rPr>
                <w:rFonts w:hint="eastAsia"/>
                <w:color w:val="auto"/>
                <w:highlight w:val="none"/>
                <w:lang w:val="en-US"/>
              </w:rPr>
              <w:t>3、</w:t>
            </w:r>
            <w:r>
              <w:rPr>
                <w:rFonts w:hint="default"/>
                <w:color w:val="auto"/>
                <w:szCs w:val="21"/>
                <w:highlight w:val="none"/>
              </w:rPr>
              <w:t>加强对仓库的巡视工作，重点检测包装有无破裂等</w:t>
            </w:r>
          </w:p>
          <w:p w14:paraId="0EC6EA10">
            <w:pPr>
              <w:pStyle w:val="21"/>
              <w:keepNext w:val="0"/>
              <w:keepLines w:val="0"/>
              <w:suppressLineNumbers w:val="0"/>
              <w:spacing w:before="0" w:beforeAutospacing="0" w:after="0" w:afterAutospacing="0"/>
              <w:ind w:left="0" w:right="0" w:firstLine="420" w:firstLineChars="200"/>
              <w:jc w:val="both"/>
              <w:rPr>
                <w:rFonts w:hint="default" w:ascii="Times New Roman" w:hAnsi="Times New Roman" w:eastAsia="宋体"/>
                <w:color w:val="auto"/>
                <w:szCs w:val="21"/>
                <w:highlight w:val="none"/>
                <w:lang w:val="en-US"/>
              </w:rPr>
            </w:pPr>
            <w:r>
              <w:rPr>
                <w:rFonts w:hint="eastAsia"/>
                <w:color w:val="auto"/>
                <w:szCs w:val="21"/>
                <w:highlight w:val="none"/>
                <w:lang w:val="en-US"/>
              </w:rPr>
              <w:t>4、厂区内储存</w:t>
            </w:r>
            <w:r>
              <w:rPr>
                <w:rFonts w:hint="eastAsia"/>
                <w:color w:val="auto"/>
                <w:highlight w:val="none"/>
                <w:lang w:val="en-US"/>
              </w:rPr>
              <w:t>充气式堵水气囊、事故水泵和应急水囊等应急物资。</w:t>
            </w:r>
          </w:p>
        </w:tc>
      </w:tr>
      <w:tr w14:paraId="7D3DCF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131" w:type="dxa"/>
            <w:tcMar>
              <w:top w:w="16" w:type="dxa"/>
              <w:left w:w="16" w:type="dxa"/>
              <w:right w:w="16" w:type="dxa"/>
            </w:tcMar>
            <w:vAlign w:val="center"/>
          </w:tcPr>
          <w:p w14:paraId="41DCC7D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其他环境</w:t>
            </w:r>
          </w:p>
          <w:p w14:paraId="4DEB536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管理要求</w:t>
            </w:r>
          </w:p>
        </w:tc>
        <w:tc>
          <w:tcPr>
            <w:tcW w:w="7201" w:type="dxa"/>
            <w:gridSpan w:val="5"/>
            <w:vAlign w:val="center"/>
          </w:tcPr>
          <w:p w14:paraId="57EC7202">
            <w:pPr>
              <w:pStyle w:val="21"/>
              <w:keepNext w:val="0"/>
              <w:keepLines w:val="0"/>
              <w:suppressLineNumbers w:val="0"/>
              <w:spacing w:before="0" w:beforeAutospacing="0" w:after="0" w:afterAutospacing="0"/>
              <w:ind w:left="0" w:right="0" w:firstLine="420" w:firstLineChars="200"/>
              <w:jc w:val="both"/>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（1）环境管理机构</w:t>
            </w:r>
          </w:p>
          <w:p w14:paraId="24DEA8C5">
            <w:pPr>
              <w:pStyle w:val="21"/>
              <w:keepNext w:val="0"/>
              <w:keepLines w:val="0"/>
              <w:suppressLineNumbers w:val="0"/>
              <w:spacing w:before="0" w:beforeAutospacing="0" w:after="0" w:afterAutospacing="0"/>
              <w:ind w:left="0" w:right="0" w:firstLine="420" w:firstLineChars="200"/>
              <w:jc w:val="both"/>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项目建成后，设置专门的环境管理机构，配备专职环保人员，负责环境监督管理工作，同时要加强对管理人员的环保培训，不断提高管理水平。</w:t>
            </w:r>
          </w:p>
          <w:p w14:paraId="0CFD5294">
            <w:pPr>
              <w:pStyle w:val="21"/>
              <w:keepNext w:val="0"/>
              <w:keepLines w:val="0"/>
              <w:suppressLineNumbers w:val="0"/>
              <w:spacing w:before="0" w:beforeAutospacing="0" w:after="0" w:afterAutospacing="0"/>
              <w:ind w:left="0" w:right="0" w:firstLine="420" w:firstLineChars="200"/>
              <w:jc w:val="both"/>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（2）环境管理内容</w:t>
            </w:r>
          </w:p>
          <w:p w14:paraId="6D55B667">
            <w:pPr>
              <w:pStyle w:val="21"/>
              <w:keepNext w:val="0"/>
              <w:keepLines w:val="0"/>
              <w:suppressLineNumbers w:val="0"/>
              <w:spacing w:before="0" w:beforeAutospacing="0" w:after="0" w:afterAutospacing="0"/>
              <w:ind w:left="0" w:right="0" w:firstLine="420" w:firstLineChars="200"/>
              <w:jc w:val="both"/>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项目在生产运行过程中为保证环境管理系统的有效运行应制定环境管理方案，环境管理方案主要包括下列内容：</w:t>
            </w:r>
          </w:p>
          <w:p w14:paraId="0C4387EE">
            <w:pPr>
              <w:pStyle w:val="21"/>
              <w:keepNext w:val="0"/>
              <w:keepLines w:val="0"/>
              <w:suppressLineNumbers w:val="0"/>
              <w:spacing w:before="0" w:beforeAutospacing="0" w:after="0" w:afterAutospacing="0"/>
              <w:ind w:left="0" w:right="0" w:firstLine="420" w:firstLineChars="200"/>
              <w:jc w:val="both"/>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①组织贯彻国家及地方的有关环保方针、政策法令和条例，搞好环境教育和技术培训，增强公司职工的环保意识和技术水平，提高污染控制的责任心。</w:t>
            </w:r>
          </w:p>
          <w:p w14:paraId="15C26857">
            <w:pPr>
              <w:pStyle w:val="21"/>
              <w:keepNext w:val="0"/>
              <w:keepLines w:val="0"/>
              <w:suppressLineNumbers w:val="0"/>
              <w:spacing w:before="0" w:beforeAutospacing="0" w:after="0" w:afterAutospacing="0"/>
              <w:ind w:left="0" w:right="0" w:firstLine="420" w:firstLineChars="200"/>
              <w:jc w:val="both"/>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②制定并实施公司环境保护工作的长期规划及年度污染治理计划：定期检查环保设施的运行状况及对设备的维修与管理，严格控制“三废”的排放。</w:t>
            </w:r>
          </w:p>
          <w:p w14:paraId="5E2991E4">
            <w:pPr>
              <w:pStyle w:val="21"/>
              <w:keepNext w:val="0"/>
              <w:keepLines w:val="0"/>
              <w:suppressLineNumbers w:val="0"/>
              <w:spacing w:before="0" w:beforeAutospacing="0" w:after="0" w:afterAutospacing="0"/>
              <w:ind w:left="0" w:right="0" w:firstLine="420" w:firstLineChars="200"/>
              <w:jc w:val="both"/>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③掌握公司内部污染物排放状况，编制公司内部环境状况报告。</w:t>
            </w:r>
          </w:p>
          <w:p w14:paraId="7BCED22F">
            <w:pPr>
              <w:pStyle w:val="21"/>
              <w:keepNext w:val="0"/>
              <w:keepLines w:val="0"/>
              <w:suppressLineNumbers w:val="0"/>
              <w:spacing w:before="0" w:beforeAutospacing="0" w:after="0" w:afterAutospacing="0"/>
              <w:ind w:left="0" w:right="0" w:firstLine="420" w:firstLineChars="200"/>
              <w:jc w:val="both"/>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④组织环境监测，检查公司环境状况，并及时将环境监测信息向环保部门通报。</w:t>
            </w:r>
          </w:p>
          <w:p w14:paraId="486246AA">
            <w:pPr>
              <w:pStyle w:val="21"/>
              <w:keepNext w:val="0"/>
              <w:keepLines w:val="0"/>
              <w:suppressLineNumbers w:val="0"/>
              <w:spacing w:before="0" w:beforeAutospacing="0" w:after="0" w:afterAutospacing="0"/>
              <w:ind w:left="0" w:right="0" w:firstLine="420" w:firstLineChars="200"/>
              <w:jc w:val="both"/>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⑤调查处理公司内污染事故和污染纠纷：建立污染突发事故分类分级档案和处理制度。</w:t>
            </w:r>
          </w:p>
        </w:tc>
      </w:tr>
    </w:tbl>
    <w:p w14:paraId="75F85DC5">
      <w:pPr>
        <w:ind w:firstLine="480"/>
        <w:rPr>
          <w:rFonts w:ascii="Times New Roman" w:hAnsi="Times New Roman" w:eastAsia="宋体"/>
          <w:color w:val="auto"/>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2D1C4699">
      <w:pPr>
        <w:pStyle w:val="2"/>
        <w:spacing w:before="156"/>
        <w:rPr>
          <w:rFonts w:ascii="Times New Roman" w:hAnsi="Times New Roman" w:eastAsia="宋体"/>
          <w:color w:val="auto"/>
          <w:sz w:val="30"/>
          <w:szCs w:val="30"/>
          <w:highlight w:val="none"/>
        </w:rPr>
      </w:pPr>
      <w:r>
        <w:rPr>
          <w:rFonts w:hint="eastAsia" w:ascii="Times New Roman" w:hAnsi="Times New Roman" w:eastAsia="宋体"/>
          <w:color w:val="auto"/>
          <w:sz w:val="30"/>
          <w:szCs w:val="30"/>
          <w:highlight w:val="none"/>
        </w:rPr>
        <w:t>六、结论</w:t>
      </w:r>
    </w:p>
    <w:tbl>
      <w:tblPr>
        <w:tblStyle w:val="16"/>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8362"/>
      </w:tblGrid>
      <w:tr w14:paraId="562C40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2472" w:hRule="atLeast"/>
          <w:jc w:val="center"/>
        </w:trPr>
        <w:tc>
          <w:tcPr>
            <w:tcW w:w="7311" w:type="dxa"/>
          </w:tcPr>
          <w:p w14:paraId="5F7CEA10">
            <w:pPr>
              <w:keepNext w:val="0"/>
              <w:keepLines w:val="0"/>
              <w:suppressLineNumbers w:val="0"/>
              <w:spacing w:before="0" w:beforeAutospacing="0" w:after="0" w:afterAutospacing="0"/>
              <w:ind w:left="0" w:right="0" w:firstLine="48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本项目符合国家及地方产业政策，地址选择符合用地规划要求；项目生产过程中产生的污染在采取有效的治理措施之后，对周围环境影响较小，不会改变当地环境质量现状；同时本项目对周边环境产生的影响较小，事故风险水平可被接受。因此，从环保的角度出发，该项目在坚持“三同时”原则并按照本报告中提出的各项环保措施治理后环境影响是可行的。</w:t>
            </w:r>
          </w:p>
        </w:tc>
      </w:tr>
    </w:tbl>
    <w:p w14:paraId="16FC72D6">
      <w:pPr>
        <w:ind w:firstLine="480"/>
        <w:rPr>
          <w:rFonts w:ascii="Times New Roman" w:hAnsi="Times New Roman" w:eastAsia="宋体"/>
          <w:color w:val="auto"/>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0736A84D">
      <w:pPr>
        <w:pStyle w:val="2"/>
        <w:spacing w:before="156"/>
        <w:jc w:val="both"/>
        <w:rPr>
          <w:rFonts w:ascii="Times New Roman" w:hAnsi="Times New Roman" w:eastAsia="宋体"/>
          <w:color w:val="auto"/>
          <w:sz w:val="30"/>
          <w:szCs w:val="30"/>
          <w:highlight w:val="none"/>
        </w:rPr>
      </w:pPr>
      <w:r>
        <w:rPr>
          <w:rFonts w:hint="eastAsia" w:ascii="Times New Roman" w:hAnsi="Times New Roman" w:eastAsia="宋体"/>
          <w:color w:val="auto"/>
          <w:sz w:val="30"/>
          <w:szCs w:val="30"/>
          <w:highlight w:val="none"/>
        </w:rPr>
        <w:t>附表</w:t>
      </w:r>
    </w:p>
    <w:p w14:paraId="56E34659">
      <w:pPr>
        <w:pStyle w:val="23"/>
        <w:rPr>
          <w:rFonts w:hint="default" w:ascii="Times New Roman" w:hAnsi="Times New Roman" w:eastAsia="宋体"/>
          <w:color w:val="auto"/>
          <w:sz w:val="32"/>
          <w:szCs w:val="32"/>
          <w:highlight w:val="none"/>
        </w:rPr>
      </w:pPr>
      <w:r>
        <w:rPr>
          <w:rFonts w:ascii="Times New Roman" w:hAnsi="Times New Roman" w:eastAsia="宋体"/>
          <w:color w:val="auto"/>
          <w:sz w:val="32"/>
          <w:szCs w:val="32"/>
          <w:highlight w:val="none"/>
        </w:rPr>
        <w:t>建设项目污染物排放量汇总表</w:t>
      </w:r>
    </w:p>
    <w:tbl>
      <w:tblPr>
        <w:tblStyle w:val="16"/>
        <w:tblW w:w="1387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7"/>
        <w:gridCol w:w="903"/>
        <w:gridCol w:w="1695"/>
        <w:gridCol w:w="1565"/>
        <w:gridCol w:w="1118"/>
        <w:gridCol w:w="1517"/>
        <w:gridCol w:w="1671"/>
        <w:gridCol w:w="1383"/>
        <w:gridCol w:w="1800"/>
        <w:gridCol w:w="1762"/>
      </w:tblGrid>
      <w:tr w14:paraId="6E6C1C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gridSpan w:val="2"/>
            <w:tcBorders>
              <w:tl2br w:val="single" w:color="auto" w:sz="4" w:space="0"/>
            </w:tcBorders>
            <w:tcMar>
              <w:left w:w="28" w:type="dxa"/>
              <w:right w:w="28" w:type="dxa"/>
            </w:tcMar>
            <w:vAlign w:val="center"/>
          </w:tcPr>
          <w:p w14:paraId="680E9CE5">
            <w:pPr>
              <w:pStyle w:val="21"/>
              <w:keepNext w:val="0"/>
              <w:keepLines w:val="0"/>
              <w:suppressLineNumbers w:val="0"/>
              <w:spacing w:before="0" w:beforeAutospacing="0" w:after="0" w:afterAutospacing="0"/>
              <w:ind w:left="0" w:right="0"/>
              <w:jc w:val="right"/>
              <w:rPr>
                <w:rFonts w:hint="default" w:ascii="Times New Roman" w:hAnsi="Times New Roman" w:eastAsia="宋体"/>
                <w:color w:val="auto"/>
                <w:highlight w:val="none"/>
              </w:rPr>
            </w:pPr>
            <w:r>
              <w:rPr>
                <w:rFonts w:hint="default" w:ascii="Times New Roman" w:hAnsi="Times New Roman" w:eastAsia="宋体"/>
                <w:color w:val="auto"/>
                <w:highlight w:val="none"/>
              </w:rPr>
              <w:t>项目</w:t>
            </w:r>
          </w:p>
          <w:p w14:paraId="13A5F1DC">
            <w:pPr>
              <w:pStyle w:val="21"/>
              <w:keepNext w:val="0"/>
              <w:keepLines w:val="0"/>
              <w:suppressLineNumbers w:val="0"/>
              <w:spacing w:before="0" w:beforeAutospacing="0" w:after="0" w:afterAutospacing="0"/>
              <w:ind w:left="0" w:right="0"/>
              <w:jc w:val="both"/>
              <w:rPr>
                <w:rFonts w:hint="default" w:ascii="Times New Roman" w:hAnsi="Times New Roman" w:eastAsia="宋体"/>
                <w:color w:val="auto"/>
                <w:highlight w:val="none"/>
              </w:rPr>
            </w:pPr>
            <w:r>
              <w:rPr>
                <w:rFonts w:hint="default" w:ascii="Times New Roman" w:hAnsi="Times New Roman" w:eastAsia="宋体"/>
                <w:color w:val="auto"/>
                <w:highlight w:val="none"/>
              </w:rPr>
              <w:t>分类</w:t>
            </w:r>
          </w:p>
        </w:tc>
        <w:tc>
          <w:tcPr>
            <w:tcW w:w="1695" w:type="dxa"/>
            <w:tcMar>
              <w:left w:w="28" w:type="dxa"/>
              <w:right w:w="28" w:type="dxa"/>
            </w:tcMar>
            <w:vAlign w:val="center"/>
          </w:tcPr>
          <w:p w14:paraId="603C314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污染物名称</w:t>
            </w:r>
          </w:p>
        </w:tc>
        <w:tc>
          <w:tcPr>
            <w:tcW w:w="1565" w:type="dxa"/>
            <w:tcMar>
              <w:left w:w="28" w:type="dxa"/>
              <w:right w:w="28" w:type="dxa"/>
            </w:tcMar>
            <w:vAlign w:val="center"/>
          </w:tcPr>
          <w:p w14:paraId="003B5F0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现有工程</w:t>
            </w:r>
          </w:p>
          <w:p w14:paraId="00B8D75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排放量（固体废物产生量）</w:t>
            </w:r>
            <w:r>
              <w:rPr>
                <w:rFonts w:hint="default" w:ascii="Times New Roman" w:hAnsi="Times New Roman" w:eastAsia="宋体"/>
                <w:color w:val="auto"/>
                <w:highlight w:val="none"/>
              </w:rPr>
              <w:fldChar w:fldCharType="begin"/>
            </w:r>
            <w:r>
              <w:rPr>
                <w:rFonts w:hint="default" w:ascii="Times New Roman" w:hAnsi="Times New Roman" w:eastAsia="宋体"/>
                <w:color w:val="auto"/>
                <w:highlight w:val="none"/>
              </w:rPr>
              <w:instrText xml:space="preserve"> = 1 \* GB3 \* MERGEFORMAT </w:instrText>
            </w:r>
            <w:r>
              <w:rPr>
                <w:rFonts w:hint="default" w:ascii="Times New Roman" w:hAnsi="Times New Roman" w:eastAsia="宋体"/>
                <w:color w:val="auto"/>
                <w:highlight w:val="none"/>
              </w:rPr>
              <w:fldChar w:fldCharType="separate"/>
            </w:r>
            <w:r>
              <w:rPr>
                <w:rFonts w:hint="default" w:ascii="Times New Roman" w:hAnsi="Times New Roman" w:eastAsia="宋体"/>
                <w:color w:val="auto"/>
                <w:highlight w:val="none"/>
              </w:rPr>
              <w:t>①</w:t>
            </w:r>
            <w:r>
              <w:rPr>
                <w:rFonts w:hint="default" w:ascii="Times New Roman" w:hAnsi="Times New Roman" w:eastAsia="宋体"/>
                <w:color w:val="auto"/>
                <w:highlight w:val="none"/>
              </w:rPr>
              <w:fldChar w:fldCharType="end"/>
            </w:r>
          </w:p>
        </w:tc>
        <w:tc>
          <w:tcPr>
            <w:tcW w:w="1118" w:type="dxa"/>
            <w:tcMar>
              <w:left w:w="28" w:type="dxa"/>
              <w:right w:w="28" w:type="dxa"/>
            </w:tcMar>
            <w:vAlign w:val="center"/>
          </w:tcPr>
          <w:p w14:paraId="4E2A425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现有工程</w:t>
            </w:r>
          </w:p>
          <w:p w14:paraId="463F864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许可排放量</w:t>
            </w:r>
          </w:p>
          <w:p w14:paraId="0E0FA80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fldChar w:fldCharType="begin"/>
            </w:r>
            <w:r>
              <w:rPr>
                <w:rFonts w:hint="default" w:ascii="Times New Roman" w:hAnsi="Times New Roman" w:eastAsia="宋体"/>
                <w:color w:val="auto"/>
                <w:highlight w:val="none"/>
              </w:rPr>
              <w:instrText xml:space="preserve"> = 2 \* GB3 \* MERGEFORMAT </w:instrText>
            </w:r>
            <w:r>
              <w:rPr>
                <w:rFonts w:hint="default" w:ascii="Times New Roman" w:hAnsi="Times New Roman" w:eastAsia="宋体"/>
                <w:color w:val="auto"/>
                <w:highlight w:val="none"/>
              </w:rPr>
              <w:fldChar w:fldCharType="separate"/>
            </w:r>
            <w:r>
              <w:rPr>
                <w:rFonts w:hint="default" w:ascii="Times New Roman" w:hAnsi="Times New Roman" w:eastAsia="宋体"/>
                <w:color w:val="auto"/>
                <w:highlight w:val="none"/>
              </w:rPr>
              <w:t>②</w:t>
            </w:r>
            <w:r>
              <w:rPr>
                <w:rFonts w:hint="default" w:ascii="Times New Roman" w:hAnsi="Times New Roman" w:eastAsia="宋体"/>
                <w:color w:val="auto"/>
                <w:highlight w:val="none"/>
              </w:rPr>
              <w:fldChar w:fldCharType="end"/>
            </w:r>
          </w:p>
        </w:tc>
        <w:tc>
          <w:tcPr>
            <w:tcW w:w="1517" w:type="dxa"/>
            <w:tcMar>
              <w:left w:w="28" w:type="dxa"/>
              <w:right w:w="28" w:type="dxa"/>
            </w:tcMar>
            <w:vAlign w:val="center"/>
          </w:tcPr>
          <w:p w14:paraId="09AD60D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在建工程</w:t>
            </w:r>
          </w:p>
          <w:p w14:paraId="5B690B9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排放量（固体废物产生量）</w:t>
            </w:r>
            <w:r>
              <w:rPr>
                <w:rFonts w:hint="default" w:ascii="Times New Roman" w:hAnsi="Times New Roman" w:eastAsia="宋体"/>
                <w:color w:val="auto"/>
                <w:highlight w:val="none"/>
              </w:rPr>
              <w:fldChar w:fldCharType="begin"/>
            </w:r>
            <w:r>
              <w:rPr>
                <w:rFonts w:hint="default" w:ascii="Times New Roman" w:hAnsi="Times New Roman" w:eastAsia="宋体"/>
                <w:color w:val="auto"/>
                <w:highlight w:val="none"/>
              </w:rPr>
              <w:instrText xml:space="preserve"> = 3 \* GB3 \* MERGEFORMAT </w:instrText>
            </w:r>
            <w:r>
              <w:rPr>
                <w:rFonts w:hint="default" w:ascii="Times New Roman" w:hAnsi="Times New Roman" w:eastAsia="宋体"/>
                <w:color w:val="auto"/>
                <w:highlight w:val="none"/>
              </w:rPr>
              <w:fldChar w:fldCharType="separate"/>
            </w:r>
            <w:r>
              <w:rPr>
                <w:rFonts w:hint="default" w:ascii="Times New Roman" w:hAnsi="Times New Roman" w:eastAsia="宋体"/>
                <w:color w:val="auto"/>
                <w:highlight w:val="none"/>
              </w:rPr>
              <w:t>③</w:t>
            </w:r>
            <w:r>
              <w:rPr>
                <w:rFonts w:hint="default" w:ascii="Times New Roman" w:hAnsi="Times New Roman" w:eastAsia="宋体"/>
                <w:color w:val="auto"/>
                <w:highlight w:val="none"/>
              </w:rPr>
              <w:fldChar w:fldCharType="end"/>
            </w:r>
          </w:p>
        </w:tc>
        <w:tc>
          <w:tcPr>
            <w:tcW w:w="1671" w:type="dxa"/>
            <w:tcMar>
              <w:left w:w="28" w:type="dxa"/>
              <w:right w:w="28" w:type="dxa"/>
            </w:tcMar>
            <w:vAlign w:val="center"/>
          </w:tcPr>
          <w:p w14:paraId="67EDB65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本项目</w:t>
            </w:r>
          </w:p>
          <w:p w14:paraId="2579A47E">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排放量（固体废物产生量）</w:t>
            </w:r>
            <w:r>
              <w:rPr>
                <w:rFonts w:hint="default" w:ascii="Times New Roman" w:hAnsi="Times New Roman" w:eastAsia="宋体"/>
                <w:color w:val="auto"/>
                <w:highlight w:val="none"/>
              </w:rPr>
              <w:fldChar w:fldCharType="begin"/>
            </w:r>
            <w:r>
              <w:rPr>
                <w:rFonts w:hint="default" w:ascii="Times New Roman" w:hAnsi="Times New Roman" w:eastAsia="宋体"/>
                <w:color w:val="auto"/>
                <w:highlight w:val="none"/>
              </w:rPr>
              <w:instrText xml:space="preserve"> = 4 \* GB3 \* MERGEFORMAT </w:instrText>
            </w:r>
            <w:r>
              <w:rPr>
                <w:rFonts w:hint="default" w:ascii="Times New Roman" w:hAnsi="Times New Roman" w:eastAsia="宋体"/>
                <w:color w:val="auto"/>
                <w:highlight w:val="none"/>
              </w:rPr>
              <w:fldChar w:fldCharType="separate"/>
            </w:r>
            <w:r>
              <w:rPr>
                <w:rFonts w:hint="default" w:ascii="Times New Roman" w:hAnsi="Times New Roman" w:eastAsia="宋体"/>
                <w:color w:val="auto"/>
                <w:highlight w:val="none"/>
              </w:rPr>
              <w:t>④</w:t>
            </w:r>
            <w:r>
              <w:rPr>
                <w:rFonts w:hint="default" w:ascii="Times New Roman" w:hAnsi="Times New Roman" w:eastAsia="宋体"/>
                <w:color w:val="auto"/>
                <w:highlight w:val="none"/>
              </w:rPr>
              <w:fldChar w:fldCharType="end"/>
            </w:r>
          </w:p>
        </w:tc>
        <w:tc>
          <w:tcPr>
            <w:tcW w:w="1383" w:type="dxa"/>
            <w:tcMar>
              <w:left w:w="28" w:type="dxa"/>
              <w:right w:w="28" w:type="dxa"/>
            </w:tcMar>
            <w:vAlign w:val="center"/>
          </w:tcPr>
          <w:p w14:paraId="46A82AA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以新带老削减量（新建项目不填）</w:t>
            </w:r>
            <w:r>
              <w:rPr>
                <w:rFonts w:hint="default" w:ascii="Times New Roman" w:hAnsi="Times New Roman" w:eastAsia="宋体"/>
                <w:color w:val="auto"/>
                <w:highlight w:val="none"/>
              </w:rPr>
              <w:fldChar w:fldCharType="begin"/>
            </w:r>
            <w:r>
              <w:rPr>
                <w:rFonts w:hint="default" w:ascii="Times New Roman" w:hAnsi="Times New Roman" w:eastAsia="宋体"/>
                <w:color w:val="auto"/>
                <w:highlight w:val="none"/>
              </w:rPr>
              <w:instrText xml:space="preserve"> = 5 \* GB3 \* MERGEFORMAT </w:instrText>
            </w:r>
            <w:r>
              <w:rPr>
                <w:rFonts w:hint="default" w:ascii="Times New Roman" w:hAnsi="Times New Roman" w:eastAsia="宋体"/>
                <w:color w:val="auto"/>
                <w:highlight w:val="none"/>
              </w:rPr>
              <w:fldChar w:fldCharType="separate"/>
            </w:r>
            <w:r>
              <w:rPr>
                <w:rFonts w:hint="default" w:ascii="Times New Roman" w:hAnsi="Times New Roman" w:eastAsia="宋体"/>
                <w:color w:val="auto"/>
                <w:highlight w:val="none"/>
              </w:rPr>
              <w:t>⑤</w:t>
            </w:r>
            <w:r>
              <w:rPr>
                <w:rFonts w:hint="default" w:ascii="Times New Roman" w:hAnsi="Times New Roman" w:eastAsia="宋体"/>
                <w:color w:val="auto"/>
                <w:highlight w:val="none"/>
              </w:rPr>
              <w:fldChar w:fldCharType="end"/>
            </w:r>
          </w:p>
        </w:tc>
        <w:tc>
          <w:tcPr>
            <w:tcW w:w="1800" w:type="dxa"/>
            <w:tcMar>
              <w:left w:w="28" w:type="dxa"/>
              <w:right w:w="28" w:type="dxa"/>
            </w:tcMar>
            <w:vAlign w:val="center"/>
          </w:tcPr>
          <w:p w14:paraId="3C79EB7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本项目建成后</w:t>
            </w:r>
          </w:p>
          <w:p w14:paraId="2C4B0C0C">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全厂排放量（固体废物产生量）</w:t>
            </w:r>
            <w:r>
              <w:rPr>
                <w:rFonts w:hint="default" w:ascii="Times New Roman" w:hAnsi="Times New Roman" w:eastAsia="宋体"/>
                <w:color w:val="auto"/>
                <w:highlight w:val="none"/>
              </w:rPr>
              <w:fldChar w:fldCharType="begin"/>
            </w:r>
            <w:r>
              <w:rPr>
                <w:rFonts w:hint="default" w:ascii="Times New Roman" w:hAnsi="Times New Roman" w:eastAsia="宋体"/>
                <w:color w:val="auto"/>
                <w:highlight w:val="none"/>
              </w:rPr>
              <w:instrText xml:space="preserve"> = 6 \* GB3 \* MERGEFORMAT </w:instrText>
            </w:r>
            <w:r>
              <w:rPr>
                <w:rFonts w:hint="default" w:ascii="Times New Roman" w:hAnsi="Times New Roman" w:eastAsia="宋体"/>
                <w:color w:val="auto"/>
                <w:highlight w:val="none"/>
              </w:rPr>
              <w:fldChar w:fldCharType="separate"/>
            </w:r>
            <w:r>
              <w:rPr>
                <w:rFonts w:hint="default" w:ascii="Times New Roman" w:hAnsi="Times New Roman" w:eastAsia="宋体"/>
                <w:color w:val="auto"/>
                <w:highlight w:val="none"/>
              </w:rPr>
              <w:t>⑥</w:t>
            </w:r>
            <w:r>
              <w:rPr>
                <w:rFonts w:hint="default" w:ascii="Times New Roman" w:hAnsi="Times New Roman" w:eastAsia="宋体"/>
                <w:color w:val="auto"/>
                <w:highlight w:val="none"/>
              </w:rPr>
              <w:fldChar w:fldCharType="end"/>
            </w:r>
          </w:p>
        </w:tc>
        <w:tc>
          <w:tcPr>
            <w:tcW w:w="1762" w:type="dxa"/>
            <w:tcMar>
              <w:left w:w="28" w:type="dxa"/>
              <w:right w:w="28" w:type="dxa"/>
            </w:tcMar>
            <w:vAlign w:val="center"/>
          </w:tcPr>
          <w:p w14:paraId="5619FDB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变化量</w:t>
            </w:r>
          </w:p>
          <w:p w14:paraId="3E26B7F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fldChar w:fldCharType="begin"/>
            </w:r>
            <w:r>
              <w:rPr>
                <w:rFonts w:hint="default" w:ascii="Times New Roman" w:hAnsi="Times New Roman" w:eastAsia="宋体"/>
                <w:color w:val="auto"/>
                <w:highlight w:val="none"/>
              </w:rPr>
              <w:instrText xml:space="preserve"> = 7 \* GB3 \* MERGEFORMAT </w:instrText>
            </w:r>
            <w:r>
              <w:rPr>
                <w:rFonts w:hint="default" w:ascii="Times New Roman" w:hAnsi="Times New Roman" w:eastAsia="宋体"/>
                <w:color w:val="auto"/>
                <w:highlight w:val="none"/>
              </w:rPr>
              <w:fldChar w:fldCharType="separate"/>
            </w:r>
            <w:r>
              <w:rPr>
                <w:rFonts w:hint="default" w:ascii="Times New Roman" w:hAnsi="Times New Roman" w:eastAsia="宋体"/>
                <w:color w:val="auto"/>
                <w:highlight w:val="none"/>
              </w:rPr>
              <w:t>⑦</w:t>
            </w:r>
            <w:r>
              <w:rPr>
                <w:rFonts w:hint="default" w:ascii="Times New Roman" w:hAnsi="Times New Roman" w:eastAsia="宋体"/>
                <w:color w:val="auto"/>
                <w:highlight w:val="none"/>
              </w:rPr>
              <w:fldChar w:fldCharType="end"/>
            </w:r>
          </w:p>
        </w:tc>
      </w:tr>
      <w:tr w14:paraId="5B63C9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7" w:type="dxa"/>
            <w:vMerge w:val="restart"/>
            <w:vAlign w:val="center"/>
          </w:tcPr>
          <w:p w14:paraId="6A5E8D3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废气</w:t>
            </w:r>
          </w:p>
        </w:tc>
        <w:tc>
          <w:tcPr>
            <w:tcW w:w="903" w:type="dxa"/>
            <w:vMerge w:val="restart"/>
            <w:vAlign w:val="center"/>
          </w:tcPr>
          <w:p w14:paraId="4D01D431">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r>
              <w:rPr>
                <w:rFonts w:hint="default" w:ascii="Times New Roman" w:hAnsi="Times New Roman" w:eastAsia="宋体"/>
                <w:color w:val="auto"/>
                <w:highlight w:val="none"/>
              </w:rPr>
              <w:t>有组织</w:t>
            </w:r>
          </w:p>
        </w:tc>
        <w:tc>
          <w:tcPr>
            <w:tcW w:w="1695" w:type="dxa"/>
            <w:shd w:val="clear" w:color="auto" w:fill="auto"/>
            <w:vAlign w:val="center"/>
          </w:tcPr>
          <w:p w14:paraId="03FFD4FD">
            <w:pPr>
              <w:pStyle w:val="21"/>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非甲烷总烃</w:t>
            </w:r>
          </w:p>
        </w:tc>
        <w:tc>
          <w:tcPr>
            <w:tcW w:w="1565" w:type="dxa"/>
            <w:shd w:val="clear" w:color="auto" w:fill="auto"/>
            <w:vAlign w:val="center"/>
          </w:tcPr>
          <w:p w14:paraId="337FE8BC">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w:t>
            </w:r>
          </w:p>
        </w:tc>
        <w:tc>
          <w:tcPr>
            <w:tcW w:w="1118" w:type="dxa"/>
            <w:shd w:val="clear" w:color="auto" w:fill="auto"/>
            <w:vAlign w:val="center"/>
          </w:tcPr>
          <w:p w14:paraId="767A1177">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w:t>
            </w:r>
          </w:p>
        </w:tc>
        <w:tc>
          <w:tcPr>
            <w:tcW w:w="1517" w:type="dxa"/>
            <w:shd w:val="clear" w:color="auto" w:fill="auto"/>
            <w:vAlign w:val="center"/>
          </w:tcPr>
          <w:p w14:paraId="2962BA59">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w:t>
            </w:r>
          </w:p>
        </w:tc>
        <w:tc>
          <w:tcPr>
            <w:tcW w:w="1671" w:type="dxa"/>
            <w:shd w:val="clear" w:color="auto" w:fill="auto"/>
            <w:vAlign w:val="center"/>
          </w:tcPr>
          <w:p w14:paraId="5693A6DC">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0.257</w:t>
            </w:r>
          </w:p>
        </w:tc>
        <w:tc>
          <w:tcPr>
            <w:tcW w:w="1383" w:type="dxa"/>
            <w:shd w:val="clear" w:color="auto" w:fill="auto"/>
            <w:vAlign w:val="center"/>
          </w:tcPr>
          <w:p w14:paraId="44318774">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w:t>
            </w:r>
          </w:p>
        </w:tc>
        <w:tc>
          <w:tcPr>
            <w:tcW w:w="1800" w:type="dxa"/>
            <w:shd w:val="clear" w:color="auto" w:fill="auto"/>
            <w:vAlign w:val="center"/>
          </w:tcPr>
          <w:p w14:paraId="25854951">
            <w:pPr>
              <w:pStyle w:val="21"/>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color w:val="auto"/>
                <w:sz w:val="21"/>
                <w:szCs w:val="24"/>
                <w:lang w:val="en-US" w:eastAsia="zh-CN" w:bidi="zh-CN"/>
              </w:rPr>
            </w:pPr>
            <w:r>
              <w:rPr>
                <w:rFonts w:hint="default"/>
                <w:color w:val="auto"/>
                <w:lang w:val="en-US" w:eastAsia="zh-CN"/>
              </w:rPr>
              <w:t>0.257</w:t>
            </w:r>
          </w:p>
        </w:tc>
        <w:tc>
          <w:tcPr>
            <w:tcW w:w="1762" w:type="dxa"/>
            <w:shd w:val="clear" w:color="auto" w:fill="auto"/>
            <w:vAlign w:val="center"/>
          </w:tcPr>
          <w:p w14:paraId="12141D5F">
            <w:pPr>
              <w:pStyle w:val="21"/>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color w:val="auto"/>
                <w:sz w:val="21"/>
                <w:szCs w:val="24"/>
                <w:lang w:val="en-US" w:eastAsia="zh-CN" w:bidi="zh-CN"/>
              </w:rPr>
            </w:pPr>
            <w:r>
              <w:rPr>
                <w:rFonts w:hint="default"/>
                <w:color w:val="auto"/>
                <w:lang w:val="en-US" w:eastAsia="zh-CN"/>
              </w:rPr>
              <w:t>0.257</w:t>
            </w:r>
          </w:p>
        </w:tc>
      </w:tr>
      <w:tr w14:paraId="78369E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7" w:type="dxa"/>
            <w:vMerge w:val="continue"/>
            <w:vAlign w:val="center"/>
          </w:tcPr>
          <w:p w14:paraId="3D3BCB13">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903" w:type="dxa"/>
            <w:vMerge w:val="continue"/>
            <w:vAlign w:val="center"/>
          </w:tcPr>
          <w:p w14:paraId="2172FC4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2A73286C">
            <w:pPr>
              <w:pStyle w:val="21"/>
              <w:keepNext w:val="0"/>
              <w:keepLines w:val="0"/>
              <w:suppressLineNumbers w:val="0"/>
              <w:bidi w:val="0"/>
              <w:spacing w:before="0" w:beforeAutospacing="0" w:after="0" w:afterAutospacing="0"/>
              <w:ind w:left="0" w:right="0" w:firstLine="0" w:firstLineChars="0"/>
              <w:rPr>
                <w:rFonts w:hint="eastAsia"/>
                <w:color w:val="auto"/>
                <w:lang w:val="en-US" w:eastAsia="zh-CN"/>
              </w:rPr>
            </w:pPr>
            <w:r>
              <w:rPr>
                <w:rFonts w:hint="eastAsia"/>
                <w:color w:val="auto"/>
                <w:lang w:val="en-US" w:eastAsia="zh-CN"/>
              </w:rPr>
              <w:t>乙醛</w:t>
            </w:r>
          </w:p>
        </w:tc>
        <w:tc>
          <w:tcPr>
            <w:tcW w:w="1565" w:type="dxa"/>
            <w:shd w:val="clear" w:color="auto" w:fill="auto"/>
            <w:vAlign w:val="center"/>
          </w:tcPr>
          <w:p w14:paraId="0E629503">
            <w:pPr>
              <w:pStyle w:val="21"/>
              <w:keepNext w:val="0"/>
              <w:keepLines w:val="0"/>
              <w:suppressLineNumbers w:val="0"/>
              <w:bidi w:val="0"/>
              <w:spacing w:before="0" w:beforeAutospacing="0" w:after="0" w:afterAutospacing="0"/>
              <w:ind w:left="0" w:right="0" w:firstLine="0" w:firstLineChars="0"/>
              <w:rPr>
                <w:rFonts w:hint="default"/>
                <w:color w:val="auto"/>
                <w:lang w:val="en-US" w:eastAsia="zh-CN"/>
              </w:rPr>
            </w:pPr>
            <w:r>
              <w:rPr>
                <w:rFonts w:hint="eastAsia"/>
                <w:color w:val="auto"/>
                <w:lang w:val="en-US" w:eastAsia="zh-CN"/>
              </w:rPr>
              <w:t>/</w:t>
            </w:r>
          </w:p>
        </w:tc>
        <w:tc>
          <w:tcPr>
            <w:tcW w:w="1118" w:type="dxa"/>
            <w:shd w:val="clear" w:color="auto" w:fill="auto"/>
            <w:vAlign w:val="center"/>
          </w:tcPr>
          <w:p w14:paraId="23CE362C">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w:t>
            </w:r>
          </w:p>
        </w:tc>
        <w:tc>
          <w:tcPr>
            <w:tcW w:w="1517" w:type="dxa"/>
            <w:shd w:val="clear" w:color="auto" w:fill="auto"/>
            <w:vAlign w:val="center"/>
          </w:tcPr>
          <w:p w14:paraId="78345F99">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w:t>
            </w:r>
          </w:p>
        </w:tc>
        <w:tc>
          <w:tcPr>
            <w:tcW w:w="1671" w:type="dxa"/>
            <w:shd w:val="clear" w:color="auto" w:fill="auto"/>
            <w:vAlign w:val="center"/>
          </w:tcPr>
          <w:p w14:paraId="1B3C5DAF">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0.013</w:t>
            </w:r>
          </w:p>
        </w:tc>
        <w:tc>
          <w:tcPr>
            <w:tcW w:w="1383" w:type="dxa"/>
            <w:shd w:val="clear" w:color="auto" w:fill="auto"/>
            <w:vAlign w:val="center"/>
          </w:tcPr>
          <w:p w14:paraId="30266FD3">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w:t>
            </w:r>
          </w:p>
        </w:tc>
        <w:tc>
          <w:tcPr>
            <w:tcW w:w="1800" w:type="dxa"/>
            <w:shd w:val="clear" w:color="auto" w:fill="auto"/>
            <w:vAlign w:val="center"/>
          </w:tcPr>
          <w:p w14:paraId="0C1280E7">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0.013</w:t>
            </w:r>
          </w:p>
        </w:tc>
        <w:tc>
          <w:tcPr>
            <w:tcW w:w="1762" w:type="dxa"/>
            <w:shd w:val="clear" w:color="auto" w:fill="auto"/>
            <w:vAlign w:val="center"/>
          </w:tcPr>
          <w:p w14:paraId="078C6C2C">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0.013</w:t>
            </w:r>
          </w:p>
        </w:tc>
      </w:tr>
      <w:tr w14:paraId="12B4C0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7" w:type="dxa"/>
            <w:vMerge w:val="continue"/>
            <w:vAlign w:val="center"/>
          </w:tcPr>
          <w:p w14:paraId="0868DB5D">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903" w:type="dxa"/>
            <w:vMerge w:val="continue"/>
            <w:vAlign w:val="center"/>
          </w:tcPr>
          <w:p w14:paraId="4A681CC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193CB937">
            <w:pPr>
              <w:pStyle w:val="21"/>
              <w:keepNext w:val="0"/>
              <w:keepLines w:val="0"/>
              <w:suppressLineNumbers w:val="0"/>
              <w:bidi w:val="0"/>
              <w:spacing w:before="0" w:beforeAutospacing="0" w:after="0" w:afterAutospacing="0"/>
              <w:ind w:left="0" w:right="0" w:firstLine="0" w:firstLineChars="0"/>
              <w:rPr>
                <w:rFonts w:hint="default"/>
                <w:color w:val="auto"/>
                <w:lang w:val="en-US" w:eastAsia="zh-CN"/>
              </w:rPr>
            </w:pPr>
            <w:r>
              <w:rPr>
                <w:rFonts w:hint="eastAsia"/>
                <w:color w:val="auto"/>
                <w:lang w:val="en-US" w:eastAsia="zh-CN"/>
              </w:rPr>
              <w:t>食堂油烟</w:t>
            </w:r>
          </w:p>
        </w:tc>
        <w:tc>
          <w:tcPr>
            <w:tcW w:w="1565" w:type="dxa"/>
            <w:shd w:val="clear" w:color="auto" w:fill="auto"/>
            <w:vAlign w:val="center"/>
          </w:tcPr>
          <w:p w14:paraId="2922F3E3">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w:t>
            </w:r>
          </w:p>
        </w:tc>
        <w:tc>
          <w:tcPr>
            <w:tcW w:w="1118" w:type="dxa"/>
            <w:shd w:val="clear" w:color="auto" w:fill="auto"/>
            <w:vAlign w:val="center"/>
          </w:tcPr>
          <w:p w14:paraId="60887F0D">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w:t>
            </w:r>
          </w:p>
        </w:tc>
        <w:tc>
          <w:tcPr>
            <w:tcW w:w="1517" w:type="dxa"/>
            <w:shd w:val="clear" w:color="auto" w:fill="auto"/>
            <w:vAlign w:val="center"/>
          </w:tcPr>
          <w:p w14:paraId="4BF0A4F4">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w:t>
            </w:r>
          </w:p>
        </w:tc>
        <w:tc>
          <w:tcPr>
            <w:tcW w:w="1671" w:type="dxa"/>
            <w:shd w:val="clear" w:color="auto" w:fill="auto"/>
            <w:vAlign w:val="center"/>
          </w:tcPr>
          <w:p w14:paraId="1B26622F">
            <w:pPr>
              <w:pStyle w:val="21"/>
              <w:keepNext w:val="0"/>
              <w:keepLines w:val="0"/>
              <w:suppressLineNumbers w:val="0"/>
              <w:bidi w:val="0"/>
              <w:spacing w:before="0" w:beforeAutospacing="0" w:after="0" w:afterAutospacing="0"/>
              <w:ind w:left="0" w:right="0" w:firstLine="0" w:firstLineChars="0"/>
              <w:rPr>
                <w:rFonts w:hint="default"/>
                <w:color w:val="auto"/>
                <w:lang w:val="en-US" w:eastAsia="zh-CN"/>
              </w:rPr>
            </w:pPr>
            <w:r>
              <w:rPr>
                <w:rFonts w:hint="eastAsia"/>
                <w:color w:val="auto"/>
                <w:lang w:val="en-US" w:eastAsia="zh-CN"/>
              </w:rPr>
              <w:t>0.002</w:t>
            </w:r>
          </w:p>
        </w:tc>
        <w:tc>
          <w:tcPr>
            <w:tcW w:w="1383" w:type="dxa"/>
            <w:shd w:val="clear" w:color="auto" w:fill="auto"/>
            <w:vAlign w:val="center"/>
          </w:tcPr>
          <w:p w14:paraId="766C7E6B">
            <w:pPr>
              <w:pStyle w:val="21"/>
              <w:keepNext w:val="0"/>
              <w:keepLines w:val="0"/>
              <w:suppressLineNumbers w:val="0"/>
              <w:bidi w:val="0"/>
              <w:spacing w:before="0" w:beforeAutospacing="0" w:after="0" w:afterAutospacing="0"/>
              <w:ind w:left="0" w:leftChars="0" w:right="0" w:rightChars="0" w:firstLine="0" w:firstLineChars="0"/>
              <w:rPr>
                <w:rFonts w:hint="eastAsia"/>
                <w:color w:val="auto"/>
                <w:lang w:val="en-US" w:eastAsia="zh-CN"/>
              </w:rPr>
            </w:pPr>
            <w:r>
              <w:rPr>
                <w:rFonts w:hint="eastAsia"/>
                <w:color w:val="auto"/>
                <w:lang w:val="en-US" w:eastAsia="zh-CN"/>
              </w:rPr>
              <w:t>/</w:t>
            </w:r>
          </w:p>
        </w:tc>
        <w:tc>
          <w:tcPr>
            <w:tcW w:w="1800" w:type="dxa"/>
            <w:shd w:val="clear" w:color="auto" w:fill="auto"/>
            <w:vAlign w:val="center"/>
          </w:tcPr>
          <w:p w14:paraId="49FFB42A">
            <w:pPr>
              <w:pStyle w:val="21"/>
              <w:keepNext w:val="0"/>
              <w:keepLines w:val="0"/>
              <w:suppressLineNumbers w:val="0"/>
              <w:bidi w:val="0"/>
              <w:spacing w:before="0" w:beforeAutospacing="0" w:after="0" w:afterAutospacing="0"/>
              <w:ind w:left="0" w:right="0" w:firstLine="0" w:firstLineChars="0"/>
              <w:rPr>
                <w:rFonts w:hint="default"/>
                <w:color w:val="auto"/>
                <w:lang w:val="en-US" w:eastAsia="zh-CN"/>
              </w:rPr>
            </w:pPr>
            <w:r>
              <w:rPr>
                <w:rFonts w:hint="eastAsia"/>
                <w:color w:val="auto"/>
                <w:lang w:val="en-US" w:eastAsia="zh-CN"/>
              </w:rPr>
              <w:t>0.002</w:t>
            </w:r>
          </w:p>
        </w:tc>
        <w:tc>
          <w:tcPr>
            <w:tcW w:w="1762" w:type="dxa"/>
            <w:shd w:val="clear" w:color="auto" w:fill="auto"/>
            <w:vAlign w:val="center"/>
          </w:tcPr>
          <w:p w14:paraId="0E6DFA7A">
            <w:pPr>
              <w:pStyle w:val="21"/>
              <w:keepNext w:val="0"/>
              <w:keepLines w:val="0"/>
              <w:suppressLineNumbers w:val="0"/>
              <w:bidi w:val="0"/>
              <w:spacing w:before="0" w:beforeAutospacing="0" w:after="0" w:afterAutospacing="0"/>
              <w:ind w:left="0" w:right="0" w:firstLine="0" w:firstLineChars="0"/>
              <w:rPr>
                <w:rFonts w:hint="default"/>
                <w:color w:val="auto"/>
                <w:lang w:val="en-US" w:eastAsia="zh-CN"/>
              </w:rPr>
            </w:pPr>
            <w:r>
              <w:rPr>
                <w:rFonts w:hint="eastAsia"/>
                <w:color w:val="auto"/>
                <w:lang w:val="en-US" w:eastAsia="zh-CN"/>
              </w:rPr>
              <w:t>0.002</w:t>
            </w:r>
          </w:p>
        </w:tc>
      </w:tr>
      <w:tr w14:paraId="2268B7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7" w:type="dxa"/>
            <w:vMerge w:val="continue"/>
            <w:vAlign w:val="center"/>
          </w:tcPr>
          <w:p w14:paraId="352A2D49">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903" w:type="dxa"/>
            <w:vMerge w:val="restart"/>
            <w:vAlign w:val="center"/>
          </w:tcPr>
          <w:p w14:paraId="04BA073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lang w:val="en-US"/>
              </w:rPr>
            </w:pPr>
            <w:r>
              <w:rPr>
                <w:rFonts w:hint="eastAsia" w:ascii="Times New Roman" w:hAnsi="Times New Roman" w:eastAsia="宋体"/>
                <w:color w:val="auto"/>
                <w:highlight w:val="none"/>
                <w:lang w:val="en-US"/>
              </w:rPr>
              <w:t>无组织</w:t>
            </w:r>
          </w:p>
        </w:tc>
        <w:tc>
          <w:tcPr>
            <w:tcW w:w="1695" w:type="dxa"/>
            <w:shd w:val="clear" w:color="auto" w:fill="auto"/>
            <w:vAlign w:val="center"/>
          </w:tcPr>
          <w:p w14:paraId="194CC0B3">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非甲烷总烃</w:t>
            </w:r>
          </w:p>
        </w:tc>
        <w:tc>
          <w:tcPr>
            <w:tcW w:w="1565" w:type="dxa"/>
            <w:shd w:val="clear" w:color="auto" w:fill="auto"/>
            <w:vAlign w:val="center"/>
          </w:tcPr>
          <w:p w14:paraId="5136DE5B">
            <w:pPr>
              <w:pStyle w:val="21"/>
              <w:keepNext w:val="0"/>
              <w:keepLines w:val="0"/>
              <w:suppressLineNumbers w:val="0"/>
              <w:bidi w:val="0"/>
              <w:spacing w:before="0" w:beforeAutospacing="0" w:after="0" w:afterAutospacing="0"/>
              <w:ind w:left="0" w:right="0" w:firstLine="0" w:firstLineChars="0"/>
              <w:rPr>
                <w:rFonts w:hint="default"/>
                <w:color w:val="auto"/>
                <w:lang w:val="en-US" w:eastAsia="zh-CN"/>
              </w:rPr>
            </w:pPr>
            <w:r>
              <w:rPr>
                <w:rFonts w:hint="eastAsia"/>
                <w:color w:val="auto"/>
                <w:lang w:val="en-US" w:eastAsia="zh-CN"/>
              </w:rPr>
              <w:t>/</w:t>
            </w:r>
          </w:p>
        </w:tc>
        <w:tc>
          <w:tcPr>
            <w:tcW w:w="1118" w:type="dxa"/>
            <w:shd w:val="clear" w:color="auto" w:fill="auto"/>
            <w:vAlign w:val="center"/>
          </w:tcPr>
          <w:p w14:paraId="232F8657">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w:t>
            </w:r>
          </w:p>
        </w:tc>
        <w:tc>
          <w:tcPr>
            <w:tcW w:w="1517" w:type="dxa"/>
            <w:shd w:val="clear" w:color="auto" w:fill="auto"/>
            <w:vAlign w:val="center"/>
          </w:tcPr>
          <w:p w14:paraId="1E495FD8">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w:t>
            </w:r>
          </w:p>
        </w:tc>
        <w:tc>
          <w:tcPr>
            <w:tcW w:w="1671" w:type="dxa"/>
            <w:shd w:val="clear" w:color="auto" w:fill="auto"/>
            <w:vAlign w:val="center"/>
          </w:tcPr>
          <w:p w14:paraId="56C62A79">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0.303</w:t>
            </w:r>
          </w:p>
        </w:tc>
        <w:tc>
          <w:tcPr>
            <w:tcW w:w="1383" w:type="dxa"/>
            <w:shd w:val="clear" w:color="auto" w:fill="auto"/>
            <w:vAlign w:val="center"/>
          </w:tcPr>
          <w:p w14:paraId="17A143F3">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w:t>
            </w:r>
          </w:p>
        </w:tc>
        <w:tc>
          <w:tcPr>
            <w:tcW w:w="1800" w:type="dxa"/>
            <w:shd w:val="clear" w:color="auto" w:fill="auto"/>
            <w:vAlign w:val="center"/>
          </w:tcPr>
          <w:p w14:paraId="00AE479B">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0.303</w:t>
            </w:r>
          </w:p>
        </w:tc>
        <w:tc>
          <w:tcPr>
            <w:tcW w:w="1762" w:type="dxa"/>
            <w:shd w:val="clear" w:color="auto" w:fill="auto"/>
            <w:vAlign w:val="center"/>
          </w:tcPr>
          <w:p w14:paraId="44D949E8">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0.303</w:t>
            </w:r>
          </w:p>
        </w:tc>
      </w:tr>
      <w:tr w14:paraId="4B32AF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7" w:type="dxa"/>
            <w:vMerge w:val="continue"/>
            <w:vAlign w:val="center"/>
          </w:tcPr>
          <w:p w14:paraId="42D8BD2B">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903" w:type="dxa"/>
            <w:vMerge w:val="continue"/>
            <w:vAlign w:val="center"/>
          </w:tcPr>
          <w:p w14:paraId="5F9B0DA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1F35E614">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乙醛</w:t>
            </w:r>
          </w:p>
        </w:tc>
        <w:tc>
          <w:tcPr>
            <w:tcW w:w="1565" w:type="dxa"/>
            <w:shd w:val="clear" w:color="auto" w:fill="auto"/>
            <w:vAlign w:val="center"/>
          </w:tcPr>
          <w:p w14:paraId="5C4B22DE">
            <w:pPr>
              <w:pStyle w:val="21"/>
              <w:keepNext w:val="0"/>
              <w:keepLines w:val="0"/>
              <w:suppressLineNumbers w:val="0"/>
              <w:bidi w:val="0"/>
              <w:spacing w:before="0" w:beforeAutospacing="0" w:after="0" w:afterAutospacing="0"/>
              <w:ind w:left="0" w:right="0" w:firstLine="0" w:firstLineChars="0"/>
              <w:rPr>
                <w:rFonts w:hint="default"/>
                <w:color w:val="auto"/>
                <w:lang w:val="en-US" w:eastAsia="zh-CN"/>
              </w:rPr>
            </w:pPr>
            <w:r>
              <w:rPr>
                <w:rFonts w:hint="eastAsia"/>
                <w:color w:val="auto"/>
                <w:lang w:val="en-US" w:eastAsia="zh-CN"/>
              </w:rPr>
              <w:t>/</w:t>
            </w:r>
          </w:p>
        </w:tc>
        <w:tc>
          <w:tcPr>
            <w:tcW w:w="1118" w:type="dxa"/>
            <w:shd w:val="clear" w:color="auto" w:fill="auto"/>
            <w:vAlign w:val="center"/>
          </w:tcPr>
          <w:p w14:paraId="3AD427DA">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w:t>
            </w:r>
          </w:p>
        </w:tc>
        <w:tc>
          <w:tcPr>
            <w:tcW w:w="1517" w:type="dxa"/>
            <w:shd w:val="clear" w:color="auto" w:fill="auto"/>
            <w:vAlign w:val="center"/>
          </w:tcPr>
          <w:p w14:paraId="6BC6EBF1">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w:t>
            </w:r>
          </w:p>
        </w:tc>
        <w:tc>
          <w:tcPr>
            <w:tcW w:w="1671" w:type="dxa"/>
            <w:shd w:val="clear" w:color="auto" w:fill="auto"/>
            <w:vAlign w:val="center"/>
          </w:tcPr>
          <w:p w14:paraId="3BFEDC0A">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0.0141</w:t>
            </w:r>
          </w:p>
        </w:tc>
        <w:tc>
          <w:tcPr>
            <w:tcW w:w="1383" w:type="dxa"/>
            <w:shd w:val="clear" w:color="auto" w:fill="auto"/>
            <w:vAlign w:val="center"/>
          </w:tcPr>
          <w:p w14:paraId="7D1B8781">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w:t>
            </w:r>
          </w:p>
        </w:tc>
        <w:tc>
          <w:tcPr>
            <w:tcW w:w="1800" w:type="dxa"/>
            <w:shd w:val="clear" w:color="auto" w:fill="auto"/>
            <w:vAlign w:val="center"/>
          </w:tcPr>
          <w:p w14:paraId="356C5D01">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0.0141</w:t>
            </w:r>
          </w:p>
        </w:tc>
        <w:tc>
          <w:tcPr>
            <w:tcW w:w="1762" w:type="dxa"/>
            <w:shd w:val="clear" w:color="auto" w:fill="auto"/>
            <w:vAlign w:val="center"/>
          </w:tcPr>
          <w:p w14:paraId="65B7A316">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0.0141</w:t>
            </w:r>
          </w:p>
        </w:tc>
      </w:tr>
      <w:tr w14:paraId="1235FE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7" w:type="dxa"/>
            <w:vMerge w:val="continue"/>
            <w:vAlign w:val="center"/>
          </w:tcPr>
          <w:p w14:paraId="56D38E62">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903" w:type="dxa"/>
            <w:vMerge w:val="continue"/>
            <w:vAlign w:val="center"/>
          </w:tcPr>
          <w:p w14:paraId="67D3649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6490E587">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氨</w:t>
            </w:r>
          </w:p>
        </w:tc>
        <w:tc>
          <w:tcPr>
            <w:tcW w:w="1565" w:type="dxa"/>
            <w:shd w:val="clear" w:color="auto" w:fill="auto"/>
            <w:vAlign w:val="center"/>
          </w:tcPr>
          <w:p w14:paraId="3DEC9E11">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w:t>
            </w:r>
          </w:p>
        </w:tc>
        <w:tc>
          <w:tcPr>
            <w:tcW w:w="1118" w:type="dxa"/>
            <w:shd w:val="clear" w:color="auto" w:fill="auto"/>
            <w:vAlign w:val="center"/>
          </w:tcPr>
          <w:p w14:paraId="7BBB12C3">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w:t>
            </w:r>
          </w:p>
        </w:tc>
        <w:tc>
          <w:tcPr>
            <w:tcW w:w="1517" w:type="dxa"/>
            <w:shd w:val="clear" w:color="auto" w:fill="auto"/>
            <w:vAlign w:val="center"/>
          </w:tcPr>
          <w:p w14:paraId="046AC751">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w:t>
            </w:r>
          </w:p>
        </w:tc>
        <w:tc>
          <w:tcPr>
            <w:tcW w:w="1671" w:type="dxa"/>
            <w:shd w:val="clear" w:color="auto" w:fill="auto"/>
            <w:vAlign w:val="center"/>
          </w:tcPr>
          <w:p w14:paraId="6B8EB3DC">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0.037</w:t>
            </w:r>
          </w:p>
        </w:tc>
        <w:tc>
          <w:tcPr>
            <w:tcW w:w="1383" w:type="dxa"/>
            <w:shd w:val="clear" w:color="auto" w:fill="auto"/>
            <w:vAlign w:val="center"/>
          </w:tcPr>
          <w:p w14:paraId="4189D4F7">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w:t>
            </w:r>
          </w:p>
        </w:tc>
        <w:tc>
          <w:tcPr>
            <w:tcW w:w="1800" w:type="dxa"/>
            <w:shd w:val="clear" w:color="auto" w:fill="auto"/>
            <w:vAlign w:val="center"/>
          </w:tcPr>
          <w:p w14:paraId="3FEA4857">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0.037</w:t>
            </w:r>
          </w:p>
        </w:tc>
        <w:tc>
          <w:tcPr>
            <w:tcW w:w="1762" w:type="dxa"/>
            <w:shd w:val="clear" w:color="auto" w:fill="auto"/>
            <w:vAlign w:val="center"/>
          </w:tcPr>
          <w:p w14:paraId="6EC4316E">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0.037</w:t>
            </w:r>
          </w:p>
        </w:tc>
      </w:tr>
      <w:tr w14:paraId="4FF5D7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7" w:type="dxa"/>
            <w:vMerge w:val="continue"/>
            <w:vAlign w:val="center"/>
          </w:tcPr>
          <w:p w14:paraId="2DFC7B5A">
            <w:pPr>
              <w:pStyle w:val="21"/>
              <w:keepNext w:val="0"/>
              <w:keepLines w:val="0"/>
              <w:suppressLineNumbers w:val="0"/>
              <w:spacing w:before="0" w:beforeAutospacing="0" w:after="0" w:afterAutospacing="0"/>
              <w:ind w:left="0" w:right="0"/>
              <w:rPr>
                <w:rFonts w:hint="eastAsia" w:ascii="Times New Roman" w:hAnsi="Times New Roman" w:eastAsia="宋体"/>
                <w:color w:val="auto"/>
                <w:highlight w:val="none"/>
                <w:lang w:val="en-US"/>
              </w:rPr>
            </w:pPr>
          </w:p>
        </w:tc>
        <w:tc>
          <w:tcPr>
            <w:tcW w:w="903" w:type="dxa"/>
            <w:vMerge w:val="continue"/>
            <w:vAlign w:val="center"/>
          </w:tcPr>
          <w:p w14:paraId="684E947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1DEF7E7C">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硫化氢</w:t>
            </w:r>
          </w:p>
        </w:tc>
        <w:tc>
          <w:tcPr>
            <w:tcW w:w="1565" w:type="dxa"/>
            <w:shd w:val="clear" w:color="auto" w:fill="auto"/>
            <w:vAlign w:val="center"/>
          </w:tcPr>
          <w:p w14:paraId="06E41EF8">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w:t>
            </w:r>
          </w:p>
        </w:tc>
        <w:tc>
          <w:tcPr>
            <w:tcW w:w="1118" w:type="dxa"/>
            <w:shd w:val="clear" w:color="auto" w:fill="auto"/>
            <w:vAlign w:val="center"/>
          </w:tcPr>
          <w:p w14:paraId="60C5B263">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w:t>
            </w:r>
          </w:p>
        </w:tc>
        <w:tc>
          <w:tcPr>
            <w:tcW w:w="1517" w:type="dxa"/>
            <w:shd w:val="clear" w:color="auto" w:fill="auto"/>
            <w:vAlign w:val="center"/>
          </w:tcPr>
          <w:p w14:paraId="75E8B5F4">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w:t>
            </w:r>
          </w:p>
        </w:tc>
        <w:tc>
          <w:tcPr>
            <w:tcW w:w="1671" w:type="dxa"/>
            <w:shd w:val="clear" w:color="auto" w:fill="auto"/>
            <w:vAlign w:val="center"/>
          </w:tcPr>
          <w:p w14:paraId="439FE27F">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0.001</w:t>
            </w:r>
          </w:p>
        </w:tc>
        <w:tc>
          <w:tcPr>
            <w:tcW w:w="1383" w:type="dxa"/>
            <w:shd w:val="clear" w:color="auto" w:fill="auto"/>
            <w:vAlign w:val="center"/>
          </w:tcPr>
          <w:p w14:paraId="2F20D7D6">
            <w:pPr>
              <w:pStyle w:val="2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lang w:val="en-US" w:eastAsia="zh-CN" w:bidi="zh-CN"/>
              </w:rPr>
            </w:pPr>
            <w:r>
              <w:rPr>
                <w:rFonts w:hint="eastAsia"/>
                <w:color w:val="auto"/>
                <w:lang w:val="en-US" w:eastAsia="zh-CN"/>
              </w:rPr>
              <w:t>/</w:t>
            </w:r>
          </w:p>
        </w:tc>
        <w:tc>
          <w:tcPr>
            <w:tcW w:w="1800" w:type="dxa"/>
            <w:shd w:val="clear" w:color="auto" w:fill="auto"/>
            <w:vAlign w:val="center"/>
          </w:tcPr>
          <w:p w14:paraId="3C2C26A4">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0.001</w:t>
            </w:r>
          </w:p>
        </w:tc>
        <w:tc>
          <w:tcPr>
            <w:tcW w:w="1762" w:type="dxa"/>
            <w:shd w:val="clear" w:color="auto" w:fill="auto"/>
            <w:vAlign w:val="center"/>
          </w:tcPr>
          <w:p w14:paraId="4DC92DD1">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0.001</w:t>
            </w:r>
          </w:p>
        </w:tc>
      </w:tr>
      <w:tr w14:paraId="492140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gridSpan w:val="2"/>
            <w:vMerge w:val="restart"/>
            <w:vAlign w:val="center"/>
          </w:tcPr>
          <w:p w14:paraId="6B862AD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废水</w:t>
            </w:r>
          </w:p>
        </w:tc>
        <w:tc>
          <w:tcPr>
            <w:tcW w:w="1695" w:type="dxa"/>
            <w:vAlign w:val="center"/>
          </w:tcPr>
          <w:p w14:paraId="15274B8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lang w:eastAsia="zh-TW"/>
              </w:rPr>
              <w:t>废水量m</w:t>
            </w:r>
            <w:r>
              <w:rPr>
                <w:rFonts w:hint="default" w:ascii="Times New Roman" w:hAnsi="Times New Roman" w:eastAsia="宋体"/>
                <w:color w:val="auto"/>
                <w:highlight w:val="none"/>
                <w:vertAlign w:val="superscript"/>
                <w:lang w:eastAsia="zh-TW"/>
              </w:rPr>
              <w:t>3</w:t>
            </w:r>
            <w:r>
              <w:rPr>
                <w:rFonts w:hint="default" w:ascii="Times New Roman" w:hAnsi="Times New Roman" w:eastAsia="宋体"/>
                <w:color w:val="auto"/>
                <w:highlight w:val="none"/>
                <w:lang w:eastAsia="zh-TW"/>
              </w:rPr>
              <w:t>/a</w:t>
            </w:r>
          </w:p>
        </w:tc>
        <w:tc>
          <w:tcPr>
            <w:tcW w:w="1565" w:type="dxa"/>
            <w:shd w:val="clear" w:color="auto" w:fill="auto"/>
            <w:vAlign w:val="center"/>
          </w:tcPr>
          <w:p w14:paraId="1F88915F">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rPr>
              <w:t>/</w:t>
            </w:r>
          </w:p>
        </w:tc>
        <w:tc>
          <w:tcPr>
            <w:tcW w:w="1118" w:type="dxa"/>
            <w:shd w:val="clear" w:color="auto" w:fill="auto"/>
            <w:vAlign w:val="center"/>
          </w:tcPr>
          <w:p w14:paraId="553DA68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default" w:ascii="Times New Roman" w:hAnsi="Times New Roman" w:eastAsia="宋体"/>
                <w:color w:val="auto"/>
                <w:highlight w:val="none"/>
              </w:rPr>
              <w:t>/</w:t>
            </w:r>
          </w:p>
        </w:tc>
        <w:tc>
          <w:tcPr>
            <w:tcW w:w="1517" w:type="dxa"/>
            <w:shd w:val="clear" w:color="auto" w:fill="auto"/>
            <w:vAlign w:val="center"/>
          </w:tcPr>
          <w:p w14:paraId="3929772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rPr>
              <w:t>/</w:t>
            </w:r>
          </w:p>
        </w:tc>
        <w:tc>
          <w:tcPr>
            <w:tcW w:w="1671" w:type="dxa"/>
            <w:shd w:val="clear" w:color="auto" w:fill="auto"/>
            <w:vAlign w:val="center"/>
          </w:tcPr>
          <w:p w14:paraId="06CD20A3">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140683/140683</w:t>
            </w:r>
          </w:p>
        </w:tc>
        <w:tc>
          <w:tcPr>
            <w:tcW w:w="1383" w:type="dxa"/>
            <w:shd w:val="clear" w:color="auto" w:fill="auto"/>
            <w:vAlign w:val="center"/>
          </w:tcPr>
          <w:p w14:paraId="0669BE4C">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rPr>
              <w:t>/</w:t>
            </w:r>
          </w:p>
        </w:tc>
        <w:tc>
          <w:tcPr>
            <w:tcW w:w="1800" w:type="dxa"/>
            <w:shd w:val="clear" w:color="auto" w:fill="auto"/>
            <w:vAlign w:val="center"/>
          </w:tcPr>
          <w:p w14:paraId="21B61C1D">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140683/140683</w:t>
            </w:r>
          </w:p>
        </w:tc>
        <w:tc>
          <w:tcPr>
            <w:tcW w:w="1762" w:type="dxa"/>
            <w:shd w:val="clear" w:color="auto" w:fill="auto"/>
            <w:vAlign w:val="center"/>
          </w:tcPr>
          <w:p w14:paraId="62614858">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eastAsia"/>
                <w:color w:val="auto"/>
                <w:lang w:val="en-US" w:eastAsia="zh-CN"/>
              </w:rPr>
              <w:t>140683/140683</w:t>
            </w:r>
          </w:p>
        </w:tc>
      </w:tr>
      <w:tr w14:paraId="13F3B3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gridSpan w:val="2"/>
            <w:vMerge w:val="continue"/>
            <w:vAlign w:val="center"/>
          </w:tcPr>
          <w:p w14:paraId="1BB6EA6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534AF7DC">
            <w:pPr>
              <w:pStyle w:val="21"/>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z w:val="21"/>
                <w:szCs w:val="24"/>
                <w:highlight w:val="none"/>
                <w:lang w:val="zh-CN" w:eastAsia="zh-CN" w:bidi="zh-CN"/>
              </w:rPr>
            </w:pPr>
            <w:r>
              <w:rPr>
                <w:rFonts w:hint="default" w:ascii="Times New Roman" w:hAnsi="Times New Roman" w:eastAsia="宋体"/>
                <w:color w:val="auto"/>
                <w:highlight w:val="none"/>
              </w:rPr>
              <w:t>COD</w:t>
            </w:r>
          </w:p>
        </w:tc>
        <w:tc>
          <w:tcPr>
            <w:tcW w:w="1565" w:type="dxa"/>
            <w:shd w:val="clear" w:color="auto" w:fill="auto"/>
            <w:vAlign w:val="center"/>
          </w:tcPr>
          <w:p w14:paraId="7E13A496">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118" w:type="dxa"/>
            <w:shd w:val="clear" w:color="auto" w:fill="auto"/>
            <w:vAlign w:val="center"/>
          </w:tcPr>
          <w:p w14:paraId="529DFD63">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517" w:type="dxa"/>
            <w:shd w:val="clear" w:color="auto" w:fill="auto"/>
            <w:vAlign w:val="center"/>
          </w:tcPr>
          <w:p w14:paraId="120E923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671" w:type="dxa"/>
            <w:shd w:val="clear" w:color="auto" w:fill="auto"/>
            <w:vAlign w:val="center"/>
          </w:tcPr>
          <w:p w14:paraId="540BF3E3">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13.982/7.034</w:t>
            </w:r>
          </w:p>
        </w:tc>
        <w:tc>
          <w:tcPr>
            <w:tcW w:w="1383" w:type="dxa"/>
            <w:shd w:val="clear" w:color="auto" w:fill="auto"/>
            <w:vAlign w:val="center"/>
          </w:tcPr>
          <w:p w14:paraId="6998363C">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800" w:type="dxa"/>
            <w:shd w:val="clear" w:color="auto" w:fill="auto"/>
            <w:vAlign w:val="center"/>
          </w:tcPr>
          <w:p w14:paraId="0F6595C9">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13.982/7.034</w:t>
            </w:r>
          </w:p>
        </w:tc>
        <w:tc>
          <w:tcPr>
            <w:tcW w:w="1762" w:type="dxa"/>
            <w:shd w:val="clear" w:color="auto" w:fill="auto"/>
            <w:vAlign w:val="center"/>
          </w:tcPr>
          <w:p w14:paraId="472FE868">
            <w:pPr>
              <w:pStyle w:val="2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13.982/7.034</w:t>
            </w:r>
          </w:p>
        </w:tc>
      </w:tr>
      <w:tr w14:paraId="0C8E3E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gridSpan w:val="2"/>
            <w:vMerge w:val="continue"/>
            <w:vAlign w:val="center"/>
          </w:tcPr>
          <w:p w14:paraId="074B46C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6DE6D712">
            <w:pPr>
              <w:pStyle w:val="21"/>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SS</w:t>
            </w:r>
          </w:p>
        </w:tc>
        <w:tc>
          <w:tcPr>
            <w:tcW w:w="1565" w:type="dxa"/>
            <w:shd w:val="clear" w:color="auto" w:fill="auto"/>
            <w:vAlign w:val="center"/>
          </w:tcPr>
          <w:p w14:paraId="4BD5AFC5">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118" w:type="dxa"/>
            <w:shd w:val="clear" w:color="auto" w:fill="auto"/>
            <w:vAlign w:val="center"/>
          </w:tcPr>
          <w:p w14:paraId="5FC4F780">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517" w:type="dxa"/>
            <w:shd w:val="clear" w:color="auto" w:fill="auto"/>
            <w:vAlign w:val="center"/>
          </w:tcPr>
          <w:p w14:paraId="2257C8A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671" w:type="dxa"/>
            <w:shd w:val="clear" w:color="auto" w:fill="auto"/>
            <w:vAlign w:val="center"/>
          </w:tcPr>
          <w:p w14:paraId="1CB9C919">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5.069/1.407</w:t>
            </w:r>
          </w:p>
        </w:tc>
        <w:tc>
          <w:tcPr>
            <w:tcW w:w="1383" w:type="dxa"/>
            <w:shd w:val="clear" w:color="auto" w:fill="auto"/>
            <w:vAlign w:val="center"/>
          </w:tcPr>
          <w:p w14:paraId="1E64856C">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800" w:type="dxa"/>
            <w:shd w:val="clear" w:color="auto" w:fill="auto"/>
            <w:vAlign w:val="center"/>
          </w:tcPr>
          <w:p w14:paraId="115F42B3">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5.069/1.407</w:t>
            </w:r>
          </w:p>
        </w:tc>
        <w:tc>
          <w:tcPr>
            <w:tcW w:w="1762" w:type="dxa"/>
            <w:shd w:val="clear" w:color="auto" w:fill="auto"/>
            <w:vAlign w:val="center"/>
          </w:tcPr>
          <w:p w14:paraId="0E8E84ED">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5.069/1.407</w:t>
            </w:r>
          </w:p>
        </w:tc>
      </w:tr>
      <w:tr w14:paraId="6C5766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gridSpan w:val="2"/>
            <w:vMerge w:val="continue"/>
            <w:vAlign w:val="center"/>
          </w:tcPr>
          <w:p w14:paraId="481016B5">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2C440216">
            <w:pPr>
              <w:pStyle w:val="21"/>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氨氮</w:t>
            </w:r>
          </w:p>
        </w:tc>
        <w:tc>
          <w:tcPr>
            <w:tcW w:w="1565" w:type="dxa"/>
            <w:shd w:val="clear" w:color="auto" w:fill="auto"/>
            <w:vAlign w:val="center"/>
          </w:tcPr>
          <w:p w14:paraId="4810C1C9">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118" w:type="dxa"/>
            <w:shd w:val="clear" w:color="auto" w:fill="auto"/>
            <w:vAlign w:val="center"/>
          </w:tcPr>
          <w:p w14:paraId="45E713E9">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517" w:type="dxa"/>
            <w:shd w:val="clear" w:color="auto" w:fill="auto"/>
            <w:vAlign w:val="center"/>
          </w:tcPr>
          <w:p w14:paraId="4CF3ADF5">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671" w:type="dxa"/>
            <w:shd w:val="clear" w:color="auto" w:fill="auto"/>
            <w:vAlign w:val="center"/>
          </w:tcPr>
          <w:p w14:paraId="3B656174">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8.956/1.407</w:t>
            </w:r>
          </w:p>
        </w:tc>
        <w:tc>
          <w:tcPr>
            <w:tcW w:w="1383" w:type="dxa"/>
            <w:shd w:val="clear" w:color="auto" w:fill="auto"/>
            <w:vAlign w:val="center"/>
          </w:tcPr>
          <w:p w14:paraId="3B5863A0">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800" w:type="dxa"/>
            <w:shd w:val="clear" w:color="auto" w:fill="auto"/>
            <w:vAlign w:val="center"/>
          </w:tcPr>
          <w:p w14:paraId="48F2CBB7">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8.956/1.407</w:t>
            </w:r>
          </w:p>
        </w:tc>
        <w:tc>
          <w:tcPr>
            <w:tcW w:w="1762" w:type="dxa"/>
            <w:shd w:val="clear" w:color="auto" w:fill="auto"/>
            <w:vAlign w:val="center"/>
          </w:tcPr>
          <w:p w14:paraId="257DF61C">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8.956/1.407</w:t>
            </w:r>
          </w:p>
        </w:tc>
      </w:tr>
      <w:tr w14:paraId="1060F9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gridSpan w:val="2"/>
            <w:vMerge w:val="continue"/>
            <w:vAlign w:val="center"/>
          </w:tcPr>
          <w:p w14:paraId="700C4C73">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22DDCD31">
            <w:pPr>
              <w:pStyle w:val="21"/>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总氮</w:t>
            </w:r>
          </w:p>
        </w:tc>
        <w:tc>
          <w:tcPr>
            <w:tcW w:w="1565" w:type="dxa"/>
            <w:shd w:val="clear" w:color="auto" w:fill="auto"/>
            <w:vAlign w:val="center"/>
          </w:tcPr>
          <w:p w14:paraId="32159C8E">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118" w:type="dxa"/>
            <w:shd w:val="clear" w:color="auto" w:fill="auto"/>
            <w:vAlign w:val="center"/>
          </w:tcPr>
          <w:p w14:paraId="0223BF9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517" w:type="dxa"/>
            <w:shd w:val="clear" w:color="auto" w:fill="auto"/>
            <w:vAlign w:val="center"/>
          </w:tcPr>
          <w:p w14:paraId="3078D832">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671" w:type="dxa"/>
            <w:shd w:val="clear" w:color="auto" w:fill="auto"/>
            <w:vAlign w:val="center"/>
          </w:tcPr>
          <w:p w14:paraId="270ACAB0">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1.03/0.703</w:t>
            </w:r>
          </w:p>
        </w:tc>
        <w:tc>
          <w:tcPr>
            <w:tcW w:w="1383" w:type="dxa"/>
            <w:shd w:val="clear" w:color="auto" w:fill="auto"/>
            <w:vAlign w:val="center"/>
          </w:tcPr>
          <w:p w14:paraId="640E8838">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800" w:type="dxa"/>
            <w:shd w:val="clear" w:color="auto" w:fill="auto"/>
            <w:vAlign w:val="center"/>
          </w:tcPr>
          <w:p w14:paraId="1C8CB4B9">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1.03/0.703</w:t>
            </w:r>
          </w:p>
        </w:tc>
        <w:tc>
          <w:tcPr>
            <w:tcW w:w="1762" w:type="dxa"/>
            <w:shd w:val="clear" w:color="auto" w:fill="auto"/>
            <w:vAlign w:val="center"/>
          </w:tcPr>
          <w:p w14:paraId="5CFDD1A8">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1.03/0.703</w:t>
            </w:r>
          </w:p>
        </w:tc>
      </w:tr>
      <w:tr w14:paraId="18253D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gridSpan w:val="2"/>
            <w:vMerge w:val="continue"/>
            <w:vAlign w:val="center"/>
          </w:tcPr>
          <w:p w14:paraId="52FEFAF8">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1A2BFBED">
            <w:pPr>
              <w:pStyle w:val="21"/>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总磷</w:t>
            </w:r>
          </w:p>
        </w:tc>
        <w:tc>
          <w:tcPr>
            <w:tcW w:w="1565" w:type="dxa"/>
            <w:shd w:val="clear" w:color="auto" w:fill="auto"/>
            <w:vAlign w:val="center"/>
          </w:tcPr>
          <w:p w14:paraId="610E7B6A">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s="Times New Roman"/>
                <w:color w:val="auto"/>
                <w:sz w:val="21"/>
                <w:szCs w:val="24"/>
                <w:highlight w:val="none"/>
                <w:lang w:val="en-US" w:eastAsia="zh-CN" w:bidi="zh-CN"/>
              </w:rPr>
              <w:t>/</w:t>
            </w:r>
          </w:p>
        </w:tc>
        <w:tc>
          <w:tcPr>
            <w:tcW w:w="1118" w:type="dxa"/>
            <w:shd w:val="clear" w:color="auto" w:fill="auto"/>
            <w:vAlign w:val="center"/>
          </w:tcPr>
          <w:p w14:paraId="45B7B9DA">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s="Times New Roman"/>
                <w:color w:val="auto"/>
                <w:sz w:val="21"/>
                <w:szCs w:val="24"/>
                <w:highlight w:val="none"/>
                <w:lang w:val="en-US" w:eastAsia="zh-CN" w:bidi="zh-CN"/>
              </w:rPr>
              <w:t>/</w:t>
            </w:r>
          </w:p>
        </w:tc>
        <w:tc>
          <w:tcPr>
            <w:tcW w:w="1517" w:type="dxa"/>
            <w:shd w:val="clear" w:color="auto" w:fill="auto"/>
            <w:vAlign w:val="center"/>
          </w:tcPr>
          <w:p w14:paraId="6F7FA90E">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s="Times New Roman"/>
                <w:color w:val="auto"/>
                <w:sz w:val="21"/>
                <w:szCs w:val="24"/>
                <w:highlight w:val="none"/>
                <w:lang w:val="en-US" w:eastAsia="zh-CN" w:bidi="zh-CN"/>
              </w:rPr>
              <w:t>/</w:t>
            </w:r>
          </w:p>
        </w:tc>
        <w:tc>
          <w:tcPr>
            <w:tcW w:w="1671" w:type="dxa"/>
            <w:shd w:val="clear" w:color="auto" w:fill="auto"/>
            <w:vAlign w:val="center"/>
          </w:tcPr>
          <w:p w14:paraId="338FDD7A">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1.468/1.468</w:t>
            </w:r>
          </w:p>
        </w:tc>
        <w:tc>
          <w:tcPr>
            <w:tcW w:w="1383" w:type="dxa"/>
            <w:shd w:val="clear" w:color="auto" w:fill="auto"/>
            <w:vAlign w:val="center"/>
          </w:tcPr>
          <w:p w14:paraId="6B22FE6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s="Times New Roman"/>
                <w:color w:val="auto"/>
                <w:sz w:val="21"/>
                <w:szCs w:val="24"/>
                <w:highlight w:val="none"/>
                <w:lang w:val="en-US" w:eastAsia="zh-CN" w:bidi="zh-CN"/>
              </w:rPr>
              <w:t>/</w:t>
            </w:r>
          </w:p>
        </w:tc>
        <w:tc>
          <w:tcPr>
            <w:tcW w:w="1800" w:type="dxa"/>
            <w:shd w:val="clear" w:color="auto" w:fill="auto"/>
            <w:vAlign w:val="center"/>
          </w:tcPr>
          <w:p w14:paraId="5EA43765">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1.468/1.468</w:t>
            </w:r>
          </w:p>
        </w:tc>
        <w:tc>
          <w:tcPr>
            <w:tcW w:w="1762" w:type="dxa"/>
            <w:shd w:val="clear" w:color="auto" w:fill="auto"/>
            <w:vAlign w:val="center"/>
          </w:tcPr>
          <w:p w14:paraId="6043D8B3">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1.468/1.468</w:t>
            </w:r>
          </w:p>
        </w:tc>
      </w:tr>
      <w:tr w14:paraId="2DE081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gridSpan w:val="2"/>
            <w:vMerge w:val="continue"/>
            <w:vAlign w:val="center"/>
          </w:tcPr>
          <w:p w14:paraId="61D604E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514819A7">
            <w:pPr>
              <w:pStyle w:val="21"/>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动植物油</w:t>
            </w:r>
          </w:p>
        </w:tc>
        <w:tc>
          <w:tcPr>
            <w:tcW w:w="1565" w:type="dxa"/>
            <w:shd w:val="clear" w:color="auto" w:fill="auto"/>
            <w:vAlign w:val="center"/>
          </w:tcPr>
          <w:p w14:paraId="560D067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118" w:type="dxa"/>
            <w:shd w:val="clear" w:color="auto" w:fill="auto"/>
            <w:vAlign w:val="center"/>
          </w:tcPr>
          <w:p w14:paraId="4CBCF0AC">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517" w:type="dxa"/>
            <w:shd w:val="clear" w:color="auto" w:fill="auto"/>
            <w:vAlign w:val="center"/>
          </w:tcPr>
          <w:p w14:paraId="0769C53D">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671" w:type="dxa"/>
            <w:shd w:val="clear" w:color="auto" w:fill="auto"/>
            <w:vAlign w:val="center"/>
          </w:tcPr>
          <w:p w14:paraId="7FC064F6">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0.501/0.07</w:t>
            </w:r>
          </w:p>
        </w:tc>
        <w:tc>
          <w:tcPr>
            <w:tcW w:w="1383" w:type="dxa"/>
            <w:shd w:val="clear" w:color="auto" w:fill="auto"/>
            <w:vAlign w:val="center"/>
          </w:tcPr>
          <w:p w14:paraId="12EE2D3A">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800" w:type="dxa"/>
            <w:shd w:val="clear" w:color="auto" w:fill="auto"/>
            <w:vAlign w:val="center"/>
          </w:tcPr>
          <w:p w14:paraId="5649C749">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0.501/0.07</w:t>
            </w:r>
          </w:p>
        </w:tc>
        <w:tc>
          <w:tcPr>
            <w:tcW w:w="1762" w:type="dxa"/>
            <w:shd w:val="clear" w:color="auto" w:fill="auto"/>
            <w:vAlign w:val="center"/>
          </w:tcPr>
          <w:p w14:paraId="676F24B7">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0.501/0.07</w:t>
            </w:r>
          </w:p>
        </w:tc>
      </w:tr>
      <w:tr w14:paraId="572120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gridSpan w:val="2"/>
            <w:vMerge w:val="restart"/>
            <w:vAlign w:val="center"/>
          </w:tcPr>
          <w:p w14:paraId="18D809B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eastAsia" w:ascii="Times New Roman" w:hAnsi="Times New Roman" w:eastAsia="宋体"/>
                <w:color w:val="auto"/>
                <w:highlight w:val="none"/>
              </w:rPr>
              <w:t>一般工业</w:t>
            </w:r>
          </w:p>
          <w:p w14:paraId="32F8BFF7">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固体废物</w:t>
            </w:r>
          </w:p>
        </w:tc>
        <w:tc>
          <w:tcPr>
            <w:tcW w:w="1695" w:type="dxa"/>
            <w:vAlign w:val="center"/>
          </w:tcPr>
          <w:p w14:paraId="0BE9397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生活垃圾</w:t>
            </w:r>
          </w:p>
        </w:tc>
        <w:tc>
          <w:tcPr>
            <w:tcW w:w="1565" w:type="dxa"/>
            <w:shd w:val="clear" w:color="auto" w:fill="auto"/>
            <w:vAlign w:val="center"/>
          </w:tcPr>
          <w:p w14:paraId="0D4DDF00">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rPr>
              <w:t>/</w:t>
            </w:r>
          </w:p>
        </w:tc>
        <w:tc>
          <w:tcPr>
            <w:tcW w:w="1118" w:type="dxa"/>
            <w:shd w:val="clear" w:color="auto" w:fill="auto"/>
            <w:vAlign w:val="center"/>
          </w:tcPr>
          <w:p w14:paraId="7F70BDE4">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default" w:ascii="Times New Roman" w:hAnsi="Times New Roman" w:eastAsia="宋体"/>
                <w:color w:val="auto"/>
                <w:highlight w:val="none"/>
              </w:rPr>
              <w:t>/</w:t>
            </w:r>
          </w:p>
        </w:tc>
        <w:tc>
          <w:tcPr>
            <w:tcW w:w="1517" w:type="dxa"/>
            <w:shd w:val="clear" w:color="auto" w:fill="auto"/>
            <w:vAlign w:val="center"/>
          </w:tcPr>
          <w:p w14:paraId="2331CB3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rPr>
              <w:t>/</w:t>
            </w:r>
          </w:p>
        </w:tc>
        <w:tc>
          <w:tcPr>
            <w:tcW w:w="1671" w:type="dxa"/>
            <w:shd w:val="clear" w:color="auto" w:fill="auto"/>
            <w:vAlign w:val="center"/>
          </w:tcPr>
          <w:p w14:paraId="484CD7EA">
            <w:pPr>
              <w:pStyle w:val="21"/>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color w:val="auto"/>
                <w:sz w:val="21"/>
                <w:szCs w:val="24"/>
                <w:lang w:val="en-US" w:eastAsia="zh-CN" w:bidi="zh-CN"/>
              </w:rPr>
            </w:pPr>
            <w:r>
              <w:rPr>
                <w:rFonts w:hint="default"/>
                <w:color w:val="auto"/>
                <w:lang w:val="en-US" w:eastAsia="zh-CN"/>
              </w:rPr>
              <w:t>0.031/0.031</w:t>
            </w:r>
          </w:p>
        </w:tc>
        <w:tc>
          <w:tcPr>
            <w:tcW w:w="1383" w:type="dxa"/>
            <w:shd w:val="clear" w:color="auto" w:fill="auto"/>
            <w:vAlign w:val="center"/>
          </w:tcPr>
          <w:p w14:paraId="4703FFED">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rPr>
              <w:t>/</w:t>
            </w:r>
          </w:p>
        </w:tc>
        <w:tc>
          <w:tcPr>
            <w:tcW w:w="1800" w:type="dxa"/>
            <w:shd w:val="clear" w:color="auto" w:fill="auto"/>
            <w:vAlign w:val="center"/>
          </w:tcPr>
          <w:p w14:paraId="7F7E11B8">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0.031/0.031</w:t>
            </w:r>
          </w:p>
        </w:tc>
        <w:tc>
          <w:tcPr>
            <w:tcW w:w="1762" w:type="dxa"/>
            <w:shd w:val="clear" w:color="auto" w:fill="auto"/>
            <w:vAlign w:val="center"/>
          </w:tcPr>
          <w:p w14:paraId="227AABE4">
            <w:pPr>
              <w:pStyle w:val="21"/>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sz w:val="21"/>
                <w:szCs w:val="24"/>
                <w:lang w:val="en-US" w:eastAsia="zh-CN" w:bidi="zh-CN"/>
              </w:rPr>
            </w:pPr>
            <w:r>
              <w:rPr>
                <w:rFonts w:hint="default"/>
                <w:color w:val="auto"/>
                <w:lang w:val="en-US" w:eastAsia="zh-CN"/>
              </w:rPr>
              <w:t>0.031/0.031</w:t>
            </w:r>
          </w:p>
        </w:tc>
      </w:tr>
      <w:tr w14:paraId="767869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gridSpan w:val="2"/>
            <w:vMerge w:val="continue"/>
            <w:vAlign w:val="center"/>
          </w:tcPr>
          <w:p w14:paraId="4F0288F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1A6E480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食堂垃圾</w:t>
            </w:r>
          </w:p>
        </w:tc>
        <w:tc>
          <w:tcPr>
            <w:tcW w:w="1565" w:type="dxa"/>
            <w:shd w:val="clear" w:color="auto" w:fill="auto"/>
            <w:vAlign w:val="center"/>
          </w:tcPr>
          <w:p w14:paraId="70DD8489">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rPr>
              <w:t>/</w:t>
            </w:r>
          </w:p>
        </w:tc>
        <w:tc>
          <w:tcPr>
            <w:tcW w:w="1118" w:type="dxa"/>
            <w:shd w:val="clear" w:color="auto" w:fill="auto"/>
            <w:vAlign w:val="center"/>
          </w:tcPr>
          <w:p w14:paraId="751D7567">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default" w:ascii="Times New Roman" w:hAnsi="Times New Roman" w:eastAsia="宋体"/>
                <w:color w:val="auto"/>
                <w:highlight w:val="none"/>
              </w:rPr>
              <w:t>/</w:t>
            </w:r>
          </w:p>
        </w:tc>
        <w:tc>
          <w:tcPr>
            <w:tcW w:w="1517" w:type="dxa"/>
            <w:shd w:val="clear" w:color="auto" w:fill="auto"/>
            <w:vAlign w:val="center"/>
          </w:tcPr>
          <w:p w14:paraId="6504C553">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rPr>
              <w:t>/</w:t>
            </w:r>
          </w:p>
        </w:tc>
        <w:tc>
          <w:tcPr>
            <w:tcW w:w="1671" w:type="dxa"/>
            <w:shd w:val="clear" w:color="auto" w:fill="auto"/>
            <w:vAlign w:val="center"/>
          </w:tcPr>
          <w:p w14:paraId="44D44A58">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s="Times New Roman"/>
                <w:color w:val="auto"/>
                <w:sz w:val="21"/>
                <w:szCs w:val="24"/>
                <w:highlight w:val="none"/>
                <w:lang w:val="en-US" w:eastAsia="zh-CN" w:bidi="zh-CN"/>
              </w:rPr>
              <w:t>2.4</w:t>
            </w:r>
          </w:p>
        </w:tc>
        <w:tc>
          <w:tcPr>
            <w:tcW w:w="1383" w:type="dxa"/>
            <w:shd w:val="clear" w:color="auto" w:fill="auto"/>
            <w:vAlign w:val="center"/>
          </w:tcPr>
          <w:p w14:paraId="455DF088">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rPr>
              <w:t>/</w:t>
            </w:r>
          </w:p>
        </w:tc>
        <w:tc>
          <w:tcPr>
            <w:tcW w:w="1800" w:type="dxa"/>
            <w:shd w:val="clear" w:color="auto" w:fill="auto"/>
            <w:vAlign w:val="center"/>
          </w:tcPr>
          <w:p w14:paraId="7A22AF3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s="Times New Roman"/>
                <w:color w:val="auto"/>
                <w:sz w:val="21"/>
                <w:szCs w:val="24"/>
                <w:highlight w:val="none"/>
                <w:lang w:val="en-US" w:eastAsia="zh-CN" w:bidi="zh-CN"/>
              </w:rPr>
              <w:t>2.4</w:t>
            </w:r>
          </w:p>
        </w:tc>
        <w:tc>
          <w:tcPr>
            <w:tcW w:w="1762" w:type="dxa"/>
            <w:shd w:val="clear" w:color="auto" w:fill="auto"/>
            <w:vAlign w:val="center"/>
          </w:tcPr>
          <w:p w14:paraId="6C42A9C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s="Times New Roman"/>
                <w:color w:val="auto"/>
                <w:sz w:val="21"/>
                <w:szCs w:val="24"/>
                <w:highlight w:val="none"/>
                <w:lang w:val="en-US" w:eastAsia="zh-CN" w:bidi="zh-CN"/>
              </w:rPr>
              <w:t>2.4</w:t>
            </w:r>
          </w:p>
        </w:tc>
      </w:tr>
      <w:tr w14:paraId="02A767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gridSpan w:val="2"/>
            <w:vMerge w:val="continue"/>
            <w:vAlign w:val="center"/>
          </w:tcPr>
          <w:p w14:paraId="72D4276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27DCE913">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废活性炭（制纯水）</w:t>
            </w:r>
          </w:p>
        </w:tc>
        <w:tc>
          <w:tcPr>
            <w:tcW w:w="1565" w:type="dxa"/>
            <w:shd w:val="clear" w:color="auto" w:fill="auto"/>
            <w:vAlign w:val="center"/>
          </w:tcPr>
          <w:p w14:paraId="60E63EA4">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eastAsia" w:ascii="Times New Roman" w:hAnsi="Times New Roman" w:eastAsia="宋体"/>
                <w:color w:val="auto"/>
                <w:highlight w:val="none"/>
                <w:lang w:val="en-US"/>
              </w:rPr>
              <w:t>/</w:t>
            </w:r>
          </w:p>
        </w:tc>
        <w:tc>
          <w:tcPr>
            <w:tcW w:w="1118" w:type="dxa"/>
            <w:shd w:val="clear" w:color="auto" w:fill="auto"/>
            <w:vAlign w:val="center"/>
          </w:tcPr>
          <w:p w14:paraId="7BFDF104">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517" w:type="dxa"/>
            <w:shd w:val="clear" w:color="auto" w:fill="auto"/>
            <w:vAlign w:val="center"/>
          </w:tcPr>
          <w:p w14:paraId="581425AE">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671" w:type="dxa"/>
            <w:shd w:val="clear" w:color="auto" w:fill="auto"/>
            <w:vAlign w:val="center"/>
          </w:tcPr>
          <w:p w14:paraId="17F66E8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12</w:t>
            </w:r>
          </w:p>
        </w:tc>
        <w:tc>
          <w:tcPr>
            <w:tcW w:w="1383" w:type="dxa"/>
            <w:shd w:val="clear" w:color="auto" w:fill="auto"/>
            <w:vAlign w:val="center"/>
          </w:tcPr>
          <w:p w14:paraId="63FB4DF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800" w:type="dxa"/>
            <w:shd w:val="clear" w:color="auto" w:fill="auto"/>
            <w:vAlign w:val="center"/>
          </w:tcPr>
          <w:p w14:paraId="3AE9FE07">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12</w:t>
            </w:r>
          </w:p>
        </w:tc>
        <w:tc>
          <w:tcPr>
            <w:tcW w:w="1762" w:type="dxa"/>
            <w:shd w:val="clear" w:color="auto" w:fill="auto"/>
            <w:vAlign w:val="center"/>
          </w:tcPr>
          <w:p w14:paraId="3DC32677">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12</w:t>
            </w:r>
          </w:p>
        </w:tc>
      </w:tr>
      <w:tr w14:paraId="5C9FF3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gridSpan w:val="2"/>
            <w:vMerge w:val="continue"/>
            <w:vAlign w:val="center"/>
          </w:tcPr>
          <w:p w14:paraId="3F7F1810">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37FFC70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废反渗透膜</w:t>
            </w:r>
          </w:p>
        </w:tc>
        <w:tc>
          <w:tcPr>
            <w:tcW w:w="1565" w:type="dxa"/>
            <w:shd w:val="clear" w:color="auto" w:fill="auto"/>
            <w:vAlign w:val="center"/>
          </w:tcPr>
          <w:p w14:paraId="2E8C749D">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eastAsia" w:ascii="Times New Roman" w:hAnsi="Times New Roman" w:eastAsia="宋体"/>
                <w:color w:val="auto"/>
                <w:highlight w:val="none"/>
                <w:lang w:val="en-US"/>
              </w:rPr>
              <w:t>/</w:t>
            </w:r>
          </w:p>
        </w:tc>
        <w:tc>
          <w:tcPr>
            <w:tcW w:w="1118" w:type="dxa"/>
            <w:shd w:val="clear" w:color="auto" w:fill="auto"/>
            <w:vAlign w:val="center"/>
          </w:tcPr>
          <w:p w14:paraId="6D89A3A4">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517" w:type="dxa"/>
            <w:shd w:val="clear" w:color="auto" w:fill="auto"/>
            <w:vAlign w:val="center"/>
          </w:tcPr>
          <w:p w14:paraId="38CD55E6">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671" w:type="dxa"/>
            <w:shd w:val="clear" w:color="auto" w:fill="auto"/>
            <w:vAlign w:val="center"/>
          </w:tcPr>
          <w:p w14:paraId="5DB59DD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w:t>
            </w:r>
          </w:p>
        </w:tc>
        <w:tc>
          <w:tcPr>
            <w:tcW w:w="1383" w:type="dxa"/>
            <w:shd w:val="clear" w:color="auto" w:fill="auto"/>
            <w:vAlign w:val="center"/>
          </w:tcPr>
          <w:p w14:paraId="067F7692">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800" w:type="dxa"/>
            <w:shd w:val="clear" w:color="auto" w:fill="auto"/>
            <w:vAlign w:val="center"/>
          </w:tcPr>
          <w:p w14:paraId="6CECF6E6">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w:t>
            </w:r>
          </w:p>
        </w:tc>
        <w:tc>
          <w:tcPr>
            <w:tcW w:w="1762" w:type="dxa"/>
            <w:shd w:val="clear" w:color="auto" w:fill="auto"/>
            <w:vAlign w:val="center"/>
          </w:tcPr>
          <w:p w14:paraId="0DBBF2C0">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w:t>
            </w:r>
          </w:p>
        </w:tc>
      </w:tr>
      <w:tr w14:paraId="7B7208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gridSpan w:val="2"/>
            <w:vMerge w:val="continue"/>
            <w:vAlign w:val="center"/>
          </w:tcPr>
          <w:p w14:paraId="6B95529B">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55280DD8">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废滤芯</w:t>
            </w:r>
          </w:p>
        </w:tc>
        <w:tc>
          <w:tcPr>
            <w:tcW w:w="1565" w:type="dxa"/>
            <w:shd w:val="clear" w:color="auto" w:fill="auto"/>
            <w:vAlign w:val="center"/>
          </w:tcPr>
          <w:p w14:paraId="1425BA13">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118" w:type="dxa"/>
            <w:shd w:val="clear" w:color="auto" w:fill="auto"/>
            <w:vAlign w:val="center"/>
          </w:tcPr>
          <w:p w14:paraId="198821D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517" w:type="dxa"/>
            <w:shd w:val="clear" w:color="auto" w:fill="auto"/>
            <w:vAlign w:val="center"/>
          </w:tcPr>
          <w:p w14:paraId="44A245D0">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671" w:type="dxa"/>
            <w:shd w:val="clear" w:color="auto" w:fill="auto"/>
            <w:vAlign w:val="center"/>
          </w:tcPr>
          <w:p w14:paraId="6CF78E50">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w:t>
            </w:r>
          </w:p>
        </w:tc>
        <w:tc>
          <w:tcPr>
            <w:tcW w:w="1383" w:type="dxa"/>
            <w:shd w:val="clear" w:color="auto" w:fill="auto"/>
            <w:vAlign w:val="center"/>
          </w:tcPr>
          <w:p w14:paraId="7092A3A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800" w:type="dxa"/>
            <w:shd w:val="clear" w:color="auto" w:fill="auto"/>
            <w:vAlign w:val="center"/>
          </w:tcPr>
          <w:p w14:paraId="1D170D5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w:t>
            </w:r>
          </w:p>
        </w:tc>
        <w:tc>
          <w:tcPr>
            <w:tcW w:w="1762" w:type="dxa"/>
            <w:shd w:val="clear" w:color="auto" w:fill="auto"/>
            <w:vAlign w:val="center"/>
          </w:tcPr>
          <w:p w14:paraId="4D68361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w:t>
            </w:r>
          </w:p>
        </w:tc>
      </w:tr>
      <w:tr w14:paraId="47016F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gridSpan w:val="2"/>
            <w:vMerge w:val="continue"/>
            <w:vAlign w:val="center"/>
          </w:tcPr>
          <w:p w14:paraId="7F8F432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251A5FC8">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废分子筛</w:t>
            </w:r>
          </w:p>
        </w:tc>
        <w:tc>
          <w:tcPr>
            <w:tcW w:w="1565" w:type="dxa"/>
            <w:shd w:val="clear" w:color="auto" w:fill="auto"/>
            <w:vAlign w:val="center"/>
          </w:tcPr>
          <w:p w14:paraId="2E2396B0">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default" w:ascii="Times New Roman" w:hAnsi="Times New Roman" w:eastAsia="宋体"/>
                <w:color w:val="auto"/>
                <w:highlight w:val="none"/>
              </w:rPr>
              <w:t>/</w:t>
            </w:r>
          </w:p>
        </w:tc>
        <w:tc>
          <w:tcPr>
            <w:tcW w:w="1118" w:type="dxa"/>
            <w:shd w:val="clear" w:color="auto" w:fill="auto"/>
            <w:vAlign w:val="center"/>
          </w:tcPr>
          <w:p w14:paraId="7776821D">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rPr>
              <w:t>/</w:t>
            </w:r>
          </w:p>
        </w:tc>
        <w:tc>
          <w:tcPr>
            <w:tcW w:w="1517" w:type="dxa"/>
            <w:shd w:val="clear" w:color="auto" w:fill="auto"/>
            <w:vAlign w:val="center"/>
          </w:tcPr>
          <w:p w14:paraId="00FBF07E">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rPr>
              <w:t>/</w:t>
            </w:r>
          </w:p>
        </w:tc>
        <w:tc>
          <w:tcPr>
            <w:tcW w:w="1671" w:type="dxa"/>
            <w:shd w:val="clear" w:color="auto" w:fill="auto"/>
            <w:vAlign w:val="center"/>
          </w:tcPr>
          <w:p w14:paraId="2029B3BE">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0.5</w:t>
            </w:r>
          </w:p>
        </w:tc>
        <w:tc>
          <w:tcPr>
            <w:tcW w:w="1383" w:type="dxa"/>
            <w:shd w:val="clear" w:color="auto" w:fill="auto"/>
            <w:vAlign w:val="center"/>
          </w:tcPr>
          <w:p w14:paraId="7CA9E1E0">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default" w:ascii="Times New Roman" w:hAnsi="Times New Roman" w:eastAsia="宋体"/>
                <w:color w:val="auto"/>
                <w:highlight w:val="none"/>
              </w:rPr>
              <w:t>/</w:t>
            </w:r>
          </w:p>
        </w:tc>
        <w:tc>
          <w:tcPr>
            <w:tcW w:w="1800" w:type="dxa"/>
            <w:shd w:val="clear" w:color="auto" w:fill="auto"/>
            <w:vAlign w:val="center"/>
          </w:tcPr>
          <w:p w14:paraId="1AF0E7E5">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0.5</w:t>
            </w:r>
          </w:p>
        </w:tc>
        <w:tc>
          <w:tcPr>
            <w:tcW w:w="1762" w:type="dxa"/>
            <w:shd w:val="clear" w:color="auto" w:fill="auto"/>
            <w:vAlign w:val="center"/>
          </w:tcPr>
          <w:p w14:paraId="6006CC0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0.5</w:t>
            </w:r>
          </w:p>
        </w:tc>
      </w:tr>
      <w:tr w14:paraId="23AE57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gridSpan w:val="2"/>
            <w:vMerge w:val="continue"/>
            <w:vAlign w:val="center"/>
          </w:tcPr>
          <w:p w14:paraId="315BD57A">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7B0310F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废塑料</w:t>
            </w:r>
          </w:p>
        </w:tc>
        <w:tc>
          <w:tcPr>
            <w:tcW w:w="1565" w:type="dxa"/>
            <w:shd w:val="clear" w:color="auto" w:fill="auto"/>
            <w:vAlign w:val="center"/>
          </w:tcPr>
          <w:p w14:paraId="35D32478">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118" w:type="dxa"/>
            <w:shd w:val="clear" w:color="auto" w:fill="auto"/>
            <w:vAlign w:val="center"/>
          </w:tcPr>
          <w:p w14:paraId="76A53580">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517" w:type="dxa"/>
            <w:shd w:val="clear" w:color="auto" w:fill="auto"/>
            <w:vAlign w:val="center"/>
          </w:tcPr>
          <w:p w14:paraId="61E57BB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671" w:type="dxa"/>
            <w:shd w:val="clear" w:color="auto" w:fill="auto"/>
            <w:vAlign w:val="center"/>
          </w:tcPr>
          <w:p w14:paraId="2F8848A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45</w:t>
            </w:r>
          </w:p>
        </w:tc>
        <w:tc>
          <w:tcPr>
            <w:tcW w:w="1383" w:type="dxa"/>
            <w:shd w:val="clear" w:color="auto" w:fill="auto"/>
            <w:vAlign w:val="center"/>
          </w:tcPr>
          <w:p w14:paraId="7A4AF78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800" w:type="dxa"/>
            <w:shd w:val="clear" w:color="auto" w:fill="auto"/>
            <w:vAlign w:val="center"/>
          </w:tcPr>
          <w:p w14:paraId="698C2FDD">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45</w:t>
            </w:r>
          </w:p>
        </w:tc>
        <w:tc>
          <w:tcPr>
            <w:tcW w:w="1762" w:type="dxa"/>
            <w:shd w:val="clear" w:color="auto" w:fill="auto"/>
            <w:vAlign w:val="center"/>
          </w:tcPr>
          <w:p w14:paraId="2F43A40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45</w:t>
            </w:r>
          </w:p>
        </w:tc>
      </w:tr>
      <w:tr w14:paraId="034385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gridSpan w:val="2"/>
            <w:vMerge w:val="continue"/>
            <w:vAlign w:val="center"/>
          </w:tcPr>
          <w:p w14:paraId="572A18A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2C86A27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废纸箱</w:t>
            </w:r>
          </w:p>
        </w:tc>
        <w:tc>
          <w:tcPr>
            <w:tcW w:w="1565" w:type="dxa"/>
            <w:shd w:val="clear" w:color="auto" w:fill="auto"/>
            <w:vAlign w:val="center"/>
          </w:tcPr>
          <w:p w14:paraId="3757E318">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eastAsia" w:ascii="Times New Roman" w:hAnsi="Times New Roman" w:eastAsia="宋体"/>
                <w:color w:val="auto"/>
                <w:highlight w:val="none"/>
                <w:lang w:val="en-US"/>
              </w:rPr>
              <w:t>/</w:t>
            </w:r>
          </w:p>
        </w:tc>
        <w:tc>
          <w:tcPr>
            <w:tcW w:w="1118" w:type="dxa"/>
            <w:shd w:val="clear" w:color="auto" w:fill="auto"/>
            <w:vAlign w:val="center"/>
          </w:tcPr>
          <w:p w14:paraId="5960A51F">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517" w:type="dxa"/>
            <w:shd w:val="clear" w:color="auto" w:fill="auto"/>
            <w:vAlign w:val="center"/>
          </w:tcPr>
          <w:p w14:paraId="4ECF9906">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671" w:type="dxa"/>
            <w:shd w:val="clear" w:color="auto" w:fill="auto"/>
            <w:vAlign w:val="center"/>
          </w:tcPr>
          <w:p w14:paraId="4EF1CBB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73</w:t>
            </w:r>
          </w:p>
        </w:tc>
        <w:tc>
          <w:tcPr>
            <w:tcW w:w="1383" w:type="dxa"/>
            <w:shd w:val="clear" w:color="auto" w:fill="auto"/>
            <w:vAlign w:val="center"/>
          </w:tcPr>
          <w:p w14:paraId="1DC06D0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800" w:type="dxa"/>
            <w:shd w:val="clear" w:color="auto" w:fill="auto"/>
            <w:vAlign w:val="center"/>
          </w:tcPr>
          <w:p w14:paraId="42D70C85">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73</w:t>
            </w:r>
          </w:p>
        </w:tc>
        <w:tc>
          <w:tcPr>
            <w:tcW w:w="1762" w:type="dxa"/>
            <w:shd w:val="clear" w:color="auto" w:fill="auto"/>
            <w:vAlign w:val="center"/>
          </w:tcPr>
          <w:p w14:paraId="1B41476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73</w:t>
            </w:r>
          </w:p>
        </w:tc>
      </w:tr>
      <w:tr w14:paraId="28657A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gridSpan w:val="2"/>
            <w:vMerge w:val="continue"/>
            <w:vAlign w:val="center"/>
          </w:tcPr>
          <w:p w14:paraId="07E50F5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07F6119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废塑料膜</w:t>
            </w:r>
          </w:p>
        </w:tc>
        <w:tc>
          <w:tcPr>
            <w:tcW w:w="1565" w:type="dxa"/>
            <w:shd w:val="clear" w:color="auto" w:fill="auto"/>
            <w:vAlign w:val="center"/>
          </w:tcPr>
          <w:p w14:paraId="529C51A0">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zh-CN" w:eastAsia="zh-CN" w:bidi="zh-CN"/>
              </w:rPr>
            </w:pPr>
            <w:r>
              <w:rPr>
                <w:rFonts w:hint="eastAsia" w:ascii="Times New Roman" w:hAnsi="Times New Roman" w:eastAsia="宋体"/>
                <w:color w:val="auto"/>
                <w:highlight w:val="none"/>
                <w:lang w:val="en-US"/>
              </w:rPr>
              <w:t>/</w:t>
            </w:r>
          </w:p>
        </w:tc>
        <w:tc>
          <w:tcPr>
            <w:tcW w:w="1118" w:type="dxa"/>
            <w:shd w:val="clear" w:color="auto" w:fill="auto"/>
            <w:vAlign w:val="center"/>
          </w:tcPr>
          <w:p w14:paraId="79E3A874">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517" w:type="dxa"/>
            <w:shd w:val="clear" w:color="auto" w:fill="auto"/>
            <w:vAlign w:val="center"/>
          </w:tcPr>
          <w:p w14:paraId="6E4EBAF6">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671" w:type="dxa"/>
            <w:shd w:val="clear" w:color="auto" w:fill="auto"/>
            <w:vAlign w:val="center"/>
          </w:tcPr>
          <w:p w14:paraId="4B8A0FCC">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0.4</w:t>
            </w:r>
          </w:p>
        </w:tc>
        <w:tc>
          <w:tcPr>
            <w:tcW w:w="1383" w:type="dxa"/>
            <w:shd w:val="clear" w:color="auto" w:fill="auto"/>
            <w:vAlign w:val="center"/>
          </w:tcPr>
          <w:p w14:paraId="1C3ABF5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800" w:type="dxa"/>
            <w:shd w:val="clear" w:color="auto" w:fill="auto"/>
            <w:vAlign w:val="center"/>
          </w:tcPr>
          <w:p w14:paraId="68AB5A2E">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0.4</w:t>
            </w:r>
          </w:p>
        </w:tc>
        <w:tc>
          <w:tcPr>
            <w:tcW w:w="1762" w:type="dxa"/>
            <w:shd w:val="clear" w:color="auto" w:fill="auto"/>
            <w:vAlign w:val="center"/>
          </w:tcPr>
          <w:p w14:paraId="58E2EF9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0.4</w:t>
            </w:r>
          </w:p>
        </w:tc>
      </w:tr>
      <w:tr w14:paraId="7A95E8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gridSpan w:val="2"/>
            <w:vMerge w:val="continue"/>
            <w:vAlign w:val="center"/>
          </w:tcPr>
          <w:p w14:paraId="29896652">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299D8C9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废包装袋</w:t>
            </w:r>
          </w:p>
        </w:tc>
        <w:tc>
          <w:tcPr>
            <w:tcW w:w="1565" w:type="dxa"/>
            <w:shd w:val="clear" w:color="auto" w:fill="auto"/>
            <w:vAlign w:val="center"/>
          </w:tcPr>
          <w:p w14:paraId="6FAD11BF">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118" w:type="dxa"/>
            <w:shd w:val="clear" w:color="auto" w:fill="auto"/>
            <w:vAlign w:val="center"/>
          </w:tcPr>
          <w:p w14:paraId="64CAB43C">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517" w:type="dxa"/>
            <w:shd w:val="clear" w:color="auto" w:fill="auto"/>
            <w:vAlign w:val="center"/>
          </w:tcPr>
          <w:p w14:paraId="72583D7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671" w:type="dxa"/>
            <w:shd w:val="clear" w:color="auto" w:fill="auto"/>
            <w:vAlign w:val="center"/>
          </w:tcPr>
          <w:p w14:paraId="4A470A77">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0.5</w:t>
            </w:r>
          </w:p>
        </w:tc>
        <w:tc>
          <w:tcPr>
            <w:tcW w:w="1383" w:type="dxa"/>
            <w:shd w:val="clear" w:color="auto" w:fill="auto"/>
            <w:vAlign w:val="center"/>
          </w:tcPr>
          <w:p w14:paraId="15AE702A">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rPr>
              <w:t>/</w:t>
            </w:r>
          </w:p>
        </w:tc>
        <w:tc>
          <w:tcPr>
            <w:tcW w:w="1800" w:type="dxa"/>
            <w:shd w:val="clear" w:color="auto" w:fill="auto"/>
            <w:vAlign w:val="center"/>
          </w:tcPr>
          <w:p w14:paraId="143EE3D2">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0.5</w:t>
            </w:r>
          </w:p>
        </w:tc>
        <w:tc>
          <w:tcPr>
            <w:tcW w:w="1762" w:type="dxa"/>
            <w:shd w:val="clear" w:color="auto" w:fill="auto"/>
            <w:vAlign w:val="center"/>
          </w:tcPr>
          <w:p w14:paraId="5C5B0316">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0.5</w:t>
            </w:r>
          </w:p>
        </w:tc>
      </w:tr>
      <w:tr w14:paraId="627D95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gridSpan w:val="2"/>
            <w:vMerge w:val="continue"/>
            <w:vAlign w:val="center"/>
          </w:tcPr>
          <w:p w14:paraId="15EB9DB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68469EAD">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污泥</w:t>
            </w:r>
          </w:p>
        </w:tc>
        <w:tc>
          <w:tcPr>
            <w:tcW w:w="1565" w:type="dxa"/>
            <w:shd w:val="clear" w:color="auto" w:fill="auto"/>
            <w:vAlign w:val="center"/>
          </w:tcPr>
          <w:p w14:paraId="19819F0B">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w:t>
            </w:r>
          </w:p>
        </w:tc>
        <w:tc>
          <w:tcPr>
            <w:tcW w:w="1118" w:type="dxa"/>
            <w:shd w:val="clear" w:color="auto" w:fill="auto"/>
            <w:vAlign w:val="center"/>
          </w:tcPr>
          <w:p w14:paraId="1B8B8113">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w:t>
            </w:r>
          </w:p>
        </w:tc>
        <w:tc>
          <w:tcPr>
            <w:tcW w:w="1517" w:type="dxa"/>
            <w:shd w:val="clear" w:color="auto" w:fill="auto"/>
            <w:vAlign w:val="center"/>
          </w:tcPr>
          <w:p w14:paraId="65833312">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w:t>
            </w:r>
          </w:p>
        </w:tc>
        <w:tc>
          <w:tcPr>
            <w:tcW w:w="1671" w:type="dxa"/>
            <w:shd w:val="clear" w:color="auto" w:fill="auto"/>
            <w:vAlign w:val="center"/>
          </w:tcPr>
          <w:p w14:paraId="2EAD1418">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26</w:t>
            </w:r>
          </w:p>
        </w:tc>
        <w:tc>
          <w:tcPr>
            <w:tcW w:w="1383" w:type="dxa"/>
            <w:shd w:val="clear" w:color="auto" w:fill="auto"/>
            <w:vAlign w:val="center"/>
          </w:tcPr>
          <w:p w14:paraId="610AB45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w:t>
            </w:r>
          </w:p>
        </w:tc>
        <w:tc>
          <w:tcPr>
            <w:tcW w:w="1800" w:type="dxa"/>
            <w:shd w:val="clear" w:color="auto" w:fill="auto"/>
            <w:vAlign w:val="center"/>
          </w:tcPr>
          <w:p w14:paraId="683A954F">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26</w:t>
            </w:r>
          </w:p>
        </w:tc>
        <w:tc>
          <w:tcPr>
            <w:tcW w:w="1762" w:type="dxa"/>
            <w:shd w:val="clear" w:color="auto" w:fill="auto"/>
            <w:vAlign w:val="center"/>
          </w:tcPr>
          <w:p w14:paraId="4A128B2C">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26</w:t>
            </w:r>
          </w:p>
        </w:tc>
      </w:tr>
      <w:tr w14:paraId="4C4412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gridSpan w:val="2"/>
            <w:vMerge w:val="restart"/>
            <w:vAlign w:val="center"/>
          </w:tcPr>
          <w:p w14:paraId="2EF8B5F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r>
              <w:rPr>
                <w:rFonts w:hint="default" w:ascii="Times New Roman" w:hAnsi="Times New Roman" w:eastAsia="宋体"/>
                <w:color w:val="auto"/>
                <w:highlight w:val="none"/>
              </w:rPr>
              <w:t>危险废物</w:t>
            </w:r>
          </w:p>
        </w:tc>
        <w:tc>
          <w:tcPr>
            <w:tcW w:w="1695" w:type="dxa"/>
            <w:shd w:val="clear" w:color="auto" w:fill="auto"/>
            <w:vAlign w:val="center"/>
          </w:tcPr>
          <w:p w14:paraId="1669DC3D">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废紫外灯管</w:t>
            </w:r>
          </w:p>
        </w:tc>
        <w:tc>
          <w:tcPr>
            <w:tcW w:w="1565" w:type="dxa"/>
            <w:shd w:val="clear" w:color="auto" w:fill="auto"/>
            <w:vAlign w:val="center"/>
          </w:tcPr>
          <w:p w14:paraId="7632CE46">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zh-CN" w:eastAsia="zh-CN" w:bidi="zh-CN"/>
              </w:rPr>
            </w:pPr>
            <w:r>
              <w:rPr>
                <w:rFonts w:hint="eastAsia" w:ascii="Times New Roman" w:hAnsi="Times New Roman" w:eastAsia="宋体"/>
                <w:color w:val="auto"/>
                <w:highlight w:val="none"/>
                <w:lang w:val="en-US" w:eastAsia="zh-CN"/>
              </w:rPr>
              <w:t>/</w:t>
            </w:r>
          </w:p>
        </w:tc>
        <w:tc>
          <w:tcPr>
            <w:tcW w:w="1118" w:type="dxa"/>
            <w:shd w:val="clear" w:color="auto" w:fill="auto"/>
            <w:vAlign w:val="center"/>
          </w:tcPr>
          <w:p w14:paraId="16204386">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zh-CN" w:eastAsia="zh-CN" w:bidi="zh-CN"/>
              </w:rPr>
            </w:pPr>
            <w:r>
              <w:rPr>
                <w:rFonts w:hint="eastAsia" w:ascii="Times New Roman" w:hAnsi="Times New Roman" w:eastAsia="宋体"/>
                <w:color w:val="auto"/>
                <w:highlight w:val="none"/>
                <w:lang w:val="en-US" w:eastAsia="zh-CN"/>
              </w:rPr>
              <w:t>/</w:t>
            </w:r>
          </w:p>
        </w:tc>
        <w:tc>
          <w:tcPr>
            <w:tcW w:w="1517" w:type="dxa"/>
            <w:shd w:val="clear" w:color="auto" w:fill="auto"/>
            <w:vAlign w:val="center"/>
          </w:tcPr>
          <w:p w14:paraId="6ECB3B53">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zh-CN" w:eastAsia="zh-CN" w:bidi="zh-CN"/>
              </w:rPr>
            </w:pPr>
            <w:r>
              <w:rPr>
                <w:rFonts w:hint="eastAsia" w:ascii="Times New Roman" w:hAnsi="Times New Roman" w:eastAsia="宋体"/>
                <w:color w:val="auto"/>
                <w:highlight w:val="none"/>
                <w:lang w:val="en-US" w:eastAsia="zh-CN"/>
              </w:rPr>
              <w:t>/</w:t>
            </w:r>
          </w:p>
        </w:tc>
        <w:tc>
          <w:tcPr>
            <w:tcW w:w="1671" w:type="dxa"/>
            <w:shd w:val="clear" w:color="auto" w:fill="auto"/>
            <w:vAlign w:val="center"/>
          </w:tcPr>
          <w:p w14:paraId="05AFE295">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0.005</w:t>
            </w:r>
          </w:p>
        </w:tc>
        <w:tc>
          <w:tcPr>
            <w:tcW w:w="1383" w:type="dxa"/>
            <w:shd w:val="clear" w:color="auto" w:fill="auto"/>
            <w:vAlign w:val="center"/>
          </w:tcPr>
          <w:p w14:paraId="47941252">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w:t>
            </w:r>
          </w:p>
        </w:tc>
        <w:tc>
          <w:tcPr>
            <w:tcW w:w="1800" w:type="dxa"/>
            <w:shd w:val="clear" w:color="auto" w:fill="auto"/>
            <w:vAlign w:val="center"/>
          </w:tcPr>
          <w:p w14:paraId="168FA35E">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0.005</w:t>
            </w:r>
          </w:p>
        </w:tc>
        <w:tc>
          <w:tcPr>
            <w:tcW w:w="1762" w:type="dxa"/>
            <w:shd w:val="clear" w:color="auto" w:fill="auto"/>
            <w:vAlign w:val="center"/>
          </w:tcPr>
          <w:p w14:paraId="1F7AFCE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0.005</w:t>
            </w:r>
          </w:p>
        </w:tc>
      </w:tr>
      <w:tr w14:paraId="113990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gridSpan w:val="2"/>
            <w:vMerge w:val="continue"/>
            <w:vAlign w:val="center"/>
          </w:tcPr>
          <w:p w14:paraId="20531611">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6F643700">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废机油桶</w:t>
            </w:r>
          </w:p>
        </w:tc>
        <w:tc>
          <w:tcPr>
            <w:tcW w:w="1565" w:type="dxa"/>
            <w:shd w:val="clear" w:color="auto" w:fill="auto"/>
            <w:vAlign w:val="center"/>
          </w:tcPr>
          <w:p w14:paraId="738FC730">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zh-CN" w:eastAsia="zh-CN" w:bidi="zh-CN"/>
              </w:rPr>
            </w:pPr>
            <w:r>
              <w:rPr>
                <w:rFonts w:hint="eastAsia" w:ascii="Times New Roman" w:hAnsi="Times New Roman" w:eastAsia="宋体"/>
                <w:color w:val="auto"/>
                <w:highlight w:val="none"/>
                <w:lang w:val="en-US" w:eastAsia="zh-CN"/>
              </w:rPr>
              <w:t>/</w:t>
            </w:r>
          </w:p>
        </w:tc>
        <w:tc>
          <w:tcPr>
            <w:tcW w:w="1118" w:type="dxa"/>
            <w:shd w:val="clear" w:color="auto" w:fill="auto"/>
            <w:vAlign w:val="center"/>
          </w:tcPr>
          <w:p w14:paraId="6D13331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zh-CN" w:eastAsia="zh-CN" w:bidi="zh-CN"/>
              </w:rPr>
            </w:pPr>
            <w:r>
              <w:rPr>
                <w:rFonts w:hint="eastAsia" w:ascii="Times New Roman" w:hAnsi="Times New Roman" w:eastAsia="宋体"/>
                <w:color w:val="auto"/>
                <w:highlight w:val="none"/>
                <w:lang w:val="en-US" w:eastAsia="zh-CN"/>
              </w:rPr>
              <w:t>/</w:t>
            </w:r>
          </w:p>
        </w:tc>
        <w:tc>
          <w:tcPr>
            <w:tcW w:w="0" w:type="auto"/>
            <w:shd w:val="clear" w:color="auto" w:fill="auto"/>
            <w:vAlign w:val="center"/>
          </w:tcPr>
          <w:p w14:paraId="2908795A">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w:t>
            </w:r>
          </w:p>
        </w:tc>
        <w:tc>
          <w:tcPr>
            <w:tcW w:w="0" w:type="auto"/>
            <w:shd w:val="clear" w:color="auto" w:fill="auto"/>
            <w:vAlign w:val="center"/>
          </w:tcPr>
          <w:p w14:paraId="38C7982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0.3</w:t>
            </w:r>
          </w:p>
        </w:tc>
        <w:tc>
          <w:tcPr>
            <w:tcW w:w="0" w:type="auto"/>
            <w:shd w:val="clear" w:color="auto" w:fill="auto"/>
            <w:vAlign w:val="center"/>
          </w:tcPr>
          <w:p w14:paraId="471C478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w:t>
            </w:r>
          </w:p>
        </w:tc>
        <w:tc>
          <w:tcPr>
            <w:tcW w:w="0" w:type="auto"/>
            <w:shd w:val="clear" w:color="auto" w:fill="auto"/>
            <w:vAlign w:val="center"/>
          </w:tcPr>
          <w:p w14:paraId="62ECC7B0">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0.3</w:t>
            </w:r>
          </w:p>
        </w:tc>
        <w:tc>
          <w:tcPr>
            <w:tcW w:w="0" w:type="auto"/>
            <w:shd w:val="clear" w:color="auto" w:fill="auto"/>
            <w:vAlign w:val="center"/>
          </w:tcPr>
          <w:p w14:paraId="19133568">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0.3</w:t>
            </w:r>
          </w:p>
        </w:tc>
      </w:tr>
      <w:tr w14:paraId="00D572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gridSpan w:val="2"/>
            <w:vMerge w:val="continue"/>
            <w:vAlign w:val="center"/>
          </w:tcPr>
          <w:p w14:paraId="2895E70D">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630B9FFD">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废化学品包装桶</w:t>
            </w:r>
          </w:p>
        </w:tc>
        <w:tc>
          <w:tcPr>
            <w:tcW w:w="1565" w:type="dxa"/>
            <w:shd w:val="clear" w:color="auto" w:fill="auto"/>
            <w:vAlign w:val="center"/>
          </w:tcPr>
          <w:p w14:paraId="05F7197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w:t>
            </w:r>
          </w:p>
        </w:tc>
        <w:tc>
          <w:tcPr>
            <w:tcW w:w="1118" w:type="dxa"/>
            <w:shd w:val="clear" w:color="auto" w:fill="auto"/>
            <w:vAlign w:val="center"/>
          </w:tcPr>
          <w:p w14:paraId="4F2BD7D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zh-CN" w:eastAsia="zh-CN" w:bidi="zh-CN"/>
              </w:rPr>
            </w:pPr>
            <w:r>
              <w:rPr>
                <w:rFonts w:hint="eastAsia" w:ascii="Times New Roman" w:hAnsi="Times New Roman" w:eastAsia="宋体"/>
                <w:color w:val="auto"/>
                <w:highlight w:val="none"/>
                <w:lang w:val="en-US" w:eastAsia="zh-CN"/>
              </w:rPr>
              <w:t>/</w:t>
            </w:r>
          </w:p>
        </w:tc>
        <w:tc>
          <w:tcPr>
            <w:tcW w:w="0" w:type="auto"/>
            <w:shd w:val="clear" w:color="auto" w:fill="auto"/>
            <w:vAlign w:val="center"/>
          </w:tcPr>
          <w:p w14:paraId="55399C8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w:t>
            </w:r>
          </w:p>
        </w:tc>
        <w:tc>
          <w:tcPr>
            <w:tcW w:w="0" w:type="auto"/>
            <w:shd w:val="clear" w:color="auto" w:fill="auto"/>
            <w:vAlign w:val="center"/>
          </w:tcPr>
          <w:p w14:paraId="1F1CD7C4">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0.05</w:t>
            </w:r>
          </w:p>
        </w:tc>
        <w:tc>
          <w:tcPr>
            <w:tcW w:w="0" w:type="auto"/>
            <w:shd w:val="clear" w:color="auto" w:fill="auto"/>
            <w:vAlign w:val="center"/>
          </w:tcPr>
          <w:p w14:paraId="205D696A">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w:t>
            </w:r>
          </w:p>
        </w:tc>
        <w:tc>
          <w:tcPr>
            <w:tcW w:w="0" w:type="auto"/>
            <w:shd w:val="clear" w:color="auto" w:fill="auto"/>
            <w:vAlign w:val="center"/>
          </w:tcPr>
          <w:p w14:paraId="079E9CF8">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0.05</w:t>
            </w:r>
          </w:p>
        </w:tc>
        <w:tc>
          <w:tcPr>
            <w:tcW w:w="0" w:type="auto"/>
            <w:shd w:val="clear" w:color="auto" w:fill="auto"/>
            <w:vAlign w:val="center"/>
          </w:tcPr>
          <w:p w14:paraId="4BC7FBE8">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0.05</w:t>
            </w:r>
          </w:p>
        </w:tc>
      </w:tr>
      <w:tr w14:paraId="07A9A4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gridSpan w:val="2"/>
            <w:vMerge w:val="continue"/>
            <w:vAlign w:val="center"/>
          </w:tcPr>
          <w:p w14:paraId="4EC876B6">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555FD21F">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废机油</w:t>
            </w:r>
          </w:p>
        </w:tc>
        <w:tc>
          <w:tcPr>
            <w:tcW w:w="1565" w:type="dxa"/>
            <w:shd w:val="clear" w:color="auto" w:fill="auto"/>
            <w:vAlign w:val="center"/>
          </w:tcPr>
          <w:p w14:paraId="53A6B3DD">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w:t>
            </w:r>
          </w:p>
        </w:tc>
        <w:tc>
          <w:tcPr>
            <w:tcW w:w="1118" w:type="dxa"/>
            <w:shd w:val="clear" w:color="auto" w:fill="auto"/>
            <w:vAlign w:val="center"/>
          </w:tcPr>
          <w:p w14:paraId="23A3714E">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zh-CN" w:eastAsia="zh-CN" w:bidi="zh-CN"/>
              </w:rPr>
            </w:pPr>
            <w:r>
              <w:rPr>
                <w:rFonts w:hint="eastAsia" w:ascii="Times New Roman" w:hAnsi="Times New Roman" w:eastAsia="宋体"/>
                <w:color w:val="auto"/>
                <w:highlight w:val="none"/>
                <w:lang w:val="en-US" w:eastAsia="zh-CN"/>
              </w:rPr>
              <w:t>/</w:t>
            </w:r>
          </w:p>
        </w:tc>
        <w:tc>
          <w:tcPr>
            <w:tcW w:w="0" w:type="auto"/>
            <w:shd w:val="clear" w:color="auto" w:fill="auto"/>
            <w:vAlign w:val="center"/>
          </w:tcPr>
          <w:p w14:paraId="6EBCB5F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w:t>
            </w:r>
          </w:p>
        </w:tc>
        <w:tc>
          <w:tcPr>
            <w:tcW w:w="0" w:type="auto"/>
            <w:shd w:val="clear" w:color="auto" w:fill="auto"/>
            <w:vAlign w:val="center"/>
          </w:tcPr>
          <w:p w14:paraId="76C52591">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11.4</w:t>
            </w:r>
          </w:p>
        </w:tc>
        <w:tc>
          <w:tcPr>
            <w:tcW w:w="0" w:type="auto"/>
            <w:shd w:val="clear" w:color="auto" w:fill="auto"/>
            <w:vAlign w:val="center"/>
          </w:tcPr>
          <w:p w14:paraId="506D7BD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w:t>
            </w:r>
          </w:p>
        </w:tc>
        <w:tc>
          <w:tcPr>
            <w:tcW w:w="0" w:type="auto"/>
            <w:shd w:val="clear" w:color="auto" w:fill="auto"/>
            <w:vAlign w:val="center"/>
          </w:tcPr>
          <w:p w14:paraId="46B5AED5">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11.4</w:t>
            </w:r>
          </w:p>
        </w:tc>
        <w:tc>
          <w:tcPr>
            <w:tcW w:w="0" w:type="auto"/>
            <w:shd w:val="clear" w:color="auto" w:fill="auto"/>
            <w:vAlign w:val="center"/>
          </w:tcPr>
          <w:p w14:paraId="230F881E">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11.4</w:t>
            </w:r>
          </w:p>
        </w:tc>
      </w:tr>
      <w:tr w14:paraId="52C55A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gridSpan w:val="2"/>
            <w:vMerge w:val="continue"/>
            <w:vAlign w:val="center"/>
          </w:tcPr>
          <w:p w14:paraId="0C747F94">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7FF2AB98">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含油废液</w:t>
            </w:r>
          </w:p>
        </w:tc>
        <w:tc>
          <w:tcPr>
            <w:tcW w:w="1565" w:type="dxa"/>
            <w:shd w:val="clear" w:color="auto" w:fill="auto"/>
            <w:vAlign w:val="center"/>
          </w:tcPr>
          <w:p w14:paraId="1E533AF2">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w:t>
            </w:r>
          </w:p>
        </w:tc>
        <w:tc>
          <w:tcPr>
            <w:tcW w:w="1118" w:type="dxa"/>
            <w:shd w:val="clear" w:color="auto" w:fill="auto"/>
            <w:vAlign w:val="center"/>
          </w:tcPr>
          <w:p w14:paraId="3F655B5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w:t>
            </w:r>
          </w:p>
        </w:tc>
        <w:tc>
          <w:tcPr>
            <w:tcW w:w="0" w:type="auto"/>
            <w:shd w:val="clear" w:color="auto" w:fill="auto"/>
            <w:vAlign w:val="center"/>
          </w:tcPr>
          <w:p w14:paraId="2710378C">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w:t>
            </w:r>
          </w:p>
        </w:tc>
        <w:tc>
          <w:tcPr>
            <w:tcW w:w="0" w:type="auto"/>
            <w:shd w:val="clear" w:color="auto" w:fill="auto"/>
            <w:vAlign w:val="center"/>
          </w:tcPr>
          <w:p w14:paraId="161FAF29">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w:t>
            </w:r>
          </w:p>
        </w:tc>
        <w:tc>
          <w:tcPr>
            <w:tcW w:w="0" w:type="auto"/>
            <w:shd w:val="clear" w:color="auto" w:fill="auto"/>
            <w:vAlign w:val="center"/>
          </w:tcPr>
          <w:p w14:paraId="1528DF0D">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w:t>
            </w:r>
          </w:p>
        </w:tc>
        <w:tc>
          <w:tcPr>
            <w:tcW w:w="0" w:type="auto"/>
            <w:shd w:val="clear" w:color="auto" w:fill="auto"/>
            <w:vAlign w:val="center"/>
          </w:tcPr>
          <w:p w14:paraId="451A2C3E">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w:t>
            </w:r>
          </w:p>
        </w:tc>
        <w:tc>
          <w:tcPr>
            <w:tcW w:w="0" w:type="auto"/>
            <w:shd w:val="clear" w:color="auto" w:fill="auto"/>
            <w:vAlign w:val="center"/>
          </w:tcPr>
          <w:p w14:paraId="10CEF70B">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1</w:t>
            </w:r>
          </w:p>
        </w:tc>
      </w:tr>
      <w:tr w14:paraId="3B0FAB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dxa"/>
            <w:gridSpan w:val="2"/>
            <w:vMerge w:val="continue"/>
            <w:vAlign w:val="center"/>
          </w:tcPr>
          <w:p w14:paraId="15755C59">
            <w:pPr>
              <w:pStyle w:val="21"/>
              <w:keepNext w:val="0"/>
              <w:keepLines w:val="0"/>
              <w:suppressLineNumbers w:val="0"/>
              <w:spacing w:before="0" w:beforeAutospacing="0" w:after="0" w:afterAutospacing="0"/>
              <w:ind w:left="0" w:right="0"/>
              <w:rPr>
                <w:rFonts w:hint="default" w:ascii="Times New Roman" w:hAnsi="Times New Roman" w:eastAsia="宋体"/>
                <w:color w:val="auto"/>
                <w:highlight w:val="none"/>
              </w:rPr>
            </w:pPr>
          </w:p>
        </w:tc>
        <w:tc>
          <w:tcPr>
            <w:tcW w:w="1695" w:type="dxa"/>
            <w:shd w:val="clear" w:color="auto" w:fill="auto"/>
            <w:vAlign w:val="center"/>
          </w:tcPr>
          <w:p w14:paraId="5BE968FB">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废活性炭</w:t>
            </w:r>
          </w:p>
        </w:tc>
        <w:tc>
          <w:tcPr>
            <w:tcW w:w="1565" w:type="dxa"/>
            <w:shd w:val="clear" w:color="auto" w:fill="auto"/>
            <w:vAlign w:val="center"/>
          </w:tcPr>
          <w:p w14:paraId="475249B1">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w:t>
            </w:r>
          </w:p>
        </w:tc>
        <w:tc>
          <w:tcPr>
            <w:tcW w:w="1118" w:type="dxa"/>
            <w:shd w:val="clear" w:color="auto" w:fill="auto"/>
            <w:vAlign w:val="center"/>
          </w:tcPr>
          <w:p w14:paraId="3905CDC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zh-CN" w:eastAsia="zh-CN" w:bidi="zh-CN"/>
              </w:rPr>
            </w:pPr>
            <w:r>
              <w:rPr>
                <w:rFonts w:hint="eastAsia" w:ascii="Times New Roman" w:hAnsi="Times New Roman" w:eastAsia="宋体"/>
                <w:color w:val="auto"/>
                <w:highlight w:val="none"/>
                <w:lang w:val="en-US" w:eastAsia="zh-CN"/>
              </w:rPr>
              <w:t>/</w:t>
            </w:r>
          </w:p>
        </w:tc>
        <w:tc>
          <w:tcPr>
            <w:tcW w:w="0" w:type="auto"/>
            <w:shd w:val="clear" w:color="auto" w:fill="auto"/>
            <w:vAlign w:val="center"/>
          </w:tcPr>
          <w:p w14:paraId="69386733">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w:t>
            </w:r>
          </w:p>
        </w:tc>
        <w:tc>
          <w:tcPr>
            <w:tcW w:w="0" w:type="auto"/>
            <w:shd w:val="clear" w:color="auto" w:fill="auto"/>
            <w:vAlign w:val="center"/>
          </w:tcPr>
          <w:p w14:paraId="20C13657">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26.3</w:t>
            </w:r>
          </w:p>
        </w:tc>
        <w:tc>
          <w:tcPr>
            <w:tcW w:w="0" w:type="auto"/>
            <w:shd w:val="clear" w:color="auto" w:fill="auto"/>
            <w:vAlign w:val="center"/>
          </w:tcPr>
          <w:p w14:paraId="4F29FA8C">
            <w:pPr>
              <w:pStyle w:val="2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imes New Roman"/>
                <w:color w:val="auto"/>
                <w:sz w:val="21"/>
                <w:szCs w:val="24"/>
                <w:highlight w:val="none"/>
                <w:lang w:val="en-US" w:eastAsia="zh-CN" w:bidi="zh-CN"/>
              </w:rPr>
            </w:pPr>
            <w:r>
              <w:rPr>
                <w:rFonts w:hint="eastAsia" w:ascii="Times New Roman" w:hAnsi="Times New Roman" w:eastAsia="宋体"/>
                <w:color w:val="auto"/>
                <w:highlight w:val="none"/>
                <w:lang w:val="en-US" w:eastAsia="zh-CN"/>
              </w:rPr>
              <w:t>/</w:t>
            </w:r>
          </w:p>
        </w:tc>
        <w:tc>
          <w:tcPr>
            <w:tcW w:w="0" w:type="auto"/>
            <w:shd w:val="clear" w:color="auto" w:fill="auto"/>
            <w:vAlign w:val="center"/>
          </w:tcPr>
          <w:p w14:paraId="1ECD5140">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26.3</w:t>
            </w:r>
          </w:p>
        </w:tc>
        <w:tc>
          <w:tcPr>
            <w:tcW w:w="0" w:type="auto"/>
            <w:shd w:val="clear" w:color="auto" w:fill="auto"/>
            <w:vAlign w:val="center"/>
          </w:tcPr>
          <w:p w14:paraId="4EEB1F59">
            <w:pPr>
              <w:pStyle w:val="2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4"/>
                <w:highlight w:val="none"/>
                <w:lang w:val="en-US" w:eastAsia="zh-CN" w:bidi="zh-CN"/>
              </w:rPr>
            </w:pPr>
            <w:r>
              <w:rPr>
                <w:rFonts w:hint="eastAsia"/>
                <w:color w:val="auto"/>
                <w:highlight w:val="none"/>
                <w:lang w:val="en-US" w:eastAsia="zh-CN"/>
              </w:rPr>
              <w:t>26.3</w:t>
            </w:r>
          </w:p>
        </w:tc>
      </w:tr>
    </w:tbl>
    <w:p w14:paraId="188FD3BB">
      <w:pPr>
        <w:ind w:firstLine="480"/>
        <w:rPr>
          <w:rFonts w:hint="eastAsia" w:ascii="Times New Roman" w:hAnsi="Times New Roman" w:eastAsia="宋体"/>
          <w:color w:val="auto"/>
          <w:highlight w:val="none"/>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p>
    <w:p w14:paraId="04DCE464">
      <w:pPr>
        <w:keepNext w:val="0"/>
        <w:keepLines w:val="0"/>
        <w:pageBreakBefore w:val="0"/>
        <w:widowControl w:val="0"/>
        <w:kinsoku/>
        <w:wordWrap/>
        <w:overflowPunct/>
        <w:topLinePunct w:val="0"/>
        <w:autoSpaceDE w:val="0"/>
        <w:autoSpaceDN w:val="0"/>
        <w:bidi w:val="0"/>
        <w:adjustRightInd w:val="0"/>
        <w:snapToGrid w:val="0"/>
        <w:spacing w:line="336" w:lineRule="auto"/>
        <w:ind w:firstLine="562"/>
        <w:textAlignment w:val="auto"/>
        <w:rPr>
          <w:rFonts w:ascii="Times New Roman" w:hAnsi="Times New Roman" w:eastAsia="宋体"/>
          <w:color w:val="auto"/>
          <w:highlight w:val="none"/>
        </w:rPr>
      </w:pPr>
      <w:r>
        <w:rPr>
          <w:rFonts w:hint="eastAsia" w:ascii="Times New Roman" w:hAnsi="Times New Roman" w:eastAsia="宋体"/>
          <w:b/>
          <w:bCs/>
          <w:color w:val="auto"/>
          <w:sz w:val="28"/>
          <w:szCs w:val="28"/>
          <w:highlight w:val="none"/>
        </w:rPr>
        <w:t>附图</w:t>
      </w:r>
    </w:p>
    <w:p w14:paraId="29327D10">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ascii="Times New Roman" w:hAnsi="Times New Roman" w:eastAsia="宋体"/>
          <w:color w:val="auto"/>
          <w:highlight w:val="none"/>
          <w:lang w:val="en-US"/>
        </w:rPr>
      </w:pPr>
      <w:r>
        <w:rPr>
          <w:rFonts w:hint="eastAsia" w:ascii="Times New Roman" w:hAnsi="Times New Roman" w:eastAsia="宋体"/>
          <w:color w:val="auto"/>
          <w:highlight w:val="none"/>
          <w:lang w:val="en-US"/>
        </w:rPr>
        <w:t>附图1</w:t>
      </w:r>
      <w:r>
        <w:rPr>
          <w:rFonts w:hint="eastAsia"/>
          <w:color w:val="auto"/>
          <w:highlight w:val="none"/>
          <w:lang w:val="en-US" w:eastAsia="zh-CN"/>
        </w:rPr>
        <w:t>建设</w:t>
      </w:r>
      <w:r>
        <w:rPr>
          <w:rFonts w:hint="eastAsia" w:ascii="Times New Roman" w:hAnsi="Times New Roman" w:eastAsia="宋体"/>
          <w:color w:val="auto"/>
          <w:highlight w:val="none"/>
          <w:lang w:val="en-US"/>
        </w:rPr>
        <w:t>项目地理位置图</w:t>
      </w:r>
    </w:p>
    <w:p w14:paraId="10F49326">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ascii="Times New Roman" w:hAnsi="Times New Roman" w:eastAsia="宋体"/>
          <w:color w:val="auto"/>
          <w:highlight w:val="none"/>
          <w:lang w:val="en-US"/>
        </w:rPr>
      </w:pPr>
      <w:r>
        <w:rPr>
          <w:rFonts w:hint="eastAsia" w:ascii="Times New Roman" w:hAnsi="Times New Roman" w:eastAsia="宋体"/>
          <w:color w:val="auto"/>
          <w:highlight w:val="none"/>
          <w:lang w:val="en-US"/>
        </w:rPr>
        <w:t>附图2</w:t>
      </w:r>
      <w:r>
        <w:rPr>
          <w:rFonts w:hint="eastAsia"/>
          <w:color w:val="auto"/>
          <w:highlight w:val="none"/>
          <w:lang w:val="en-US" w:eastAsia="zh-CN"/>
        </w:rPr>
        <w:t>建设</w:t>
      </w:r>
      <w:r>
        <w:rPr>
          <w:rFonts w:hint="eastAsia" w:ascii="Times New Roman" w:hAnsi="Times New Roman" w:eastAsia="宋体"/>
          <w:color w:val="auto"/>
          <w:highlight w:val="none"/>
          <w:lang w:val="en-US"/>
        </w:rPr>
        <w:t>项目周边概况图</w:t>
      </w:r>
    </w:p>
    <w:p w14:paraId="11BDE576">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hint="eastAsia" w:ascii="Times New Roman" w:hAnsi="Times New Roman" w:eastAsia="宋体"/>
          <w:color w:val="auto"/>
          <w:highlight w:val="none"/>
          <w:lang w:val="en-US"/>
        </w:rPr>
      </w:pPr>
      <w:r>
        <w:rPr>
          <w:rFonts w:hint="eastAsia" w:ascii="Times New Roman" w:hAnsi="Times New Roman" w:eastAsia="宋体"/>
          <w:color w:val="auto"/>
          <w:highlight w:val="none"/>
          <w:lang w:val="en-US"/>
        </w:rPr>
        <w:t>附图3</w:t>
      </w:r>
      <w:r>
        <w:rPr>
          <w:rFonts w:hint="eastAsia"/>
          <w:color w:val="auto"/>
          <w:highlight w:val="none"/>
          <w:lang w:val="en-US" w:eastAsia="zh-CN"/>
        </w:rPr>
        <w:t>建设项目所在</w:t>
      </w:r>
      <w:r>
        <w:rPr>
          <w:rFonts w:hint="eastAsia" w:ascii="Times New Roman" w:hAnsi="Times New Roman" w:eastAsia="宋体"/>
          <w:color w:val="auto"/>
          <w:highlight w:val="none"/>
          <w:lang w:val="en-US" w:eastAsia="zh-CN"/>
        </w:rPr>
        <w:t>厂区</w:t>
      </w:r>
      <w:r>
        <w:rPr>
          <w:rFonts w:hint="eastAsia" w:ascii="Times New Roman" w:hAnsi="Times New Roman" w:eastAsia="宋体"/>
          <w:color w:val="auto"/>
          <w:highlight w:val="none"/>
          <w:lang w:val="en-US"/>
        </w:rPr>
        <w:t>平面布置图</w:t>
      </w:r>
    </w:p>
    <w:p w14:paraId="057572DB">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附图4</w:t>
      </w:r>
      <w:r>
        <w:rPr>
          <w:rFonts w:hint="eastAsia"/>
          <w:color w:val="auto"/>
          <w:highlight w:val="none"/>
          <w:lang w:val="en-US" w:eastAsia="zh-CN"/>
        </w:rPr>
        <w:t>建设项目</w:t>
      </w:r>
      <w:r>
        <w:rPr>
          <w:rFonts w:hint="eastAsia" w:ascii="Times New Roman" w:hAnsi="Times New Roman" w:eastAsia="宋体"/>
          <w:color w:val="auto"/>
          <w:highlight w:val="none"/>
          <w:lang w:val="en-US" w:eastAsia="zh-CN"/>
        </w:rPr>
        <w:t>车间平面布置图</w:t>
      </w:r>
    </w:p>
    <w:p w14:paraId="3D188C60">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ascii="Times New Roman" w:hAnsi="Times New Roman" w:eastAsia="宋体"/>
          <w:color w:val="auto"/>
          <w:highlight w:val="none"/>
          <w:lang w:val="en-US"/>
        </w:rPr>
      </w:pPr>
      <w:r>
        <w:rPr>
          <w:rFonts w:hint="eastAsia" w:ascii="Times New Roman" w:hAnsi="Times New Roman" w:eastAsia="宋体"/>
          <w:color w:val="auto"/>
          <w:highlight w:val="none"/>
          <w:lang w:val="en-US"/>
        </w:rPr>
        <w:t>附图</w:t>
      </w:r>
      <w:r>
        <w:rPr>
          <w:rFonts w:hint="eastAsia" w:ascii="Times New Roman" w:hAnsi="Times New Roman" w:eastAsia="宋体"/>
          <w:color w:val="auto"/>
          <w:highlight w:val="none"/>
          <w:lang w:val="en-US" w:eastAsia="zh-CN"/>
        </w:rPr>
        <w:t>5</w:t>
      </w:r>
      <w:r>
        <w:rPr>
          <w:rFonts w:hint="eastAsia"/>
          <w:color w:val="auto"/>
          <w:highlight w:val="none"/>
          <w:lang w:val="en-US" w:eastAsia="zh-CN"/>
        </w:rPr>
        <w:t>纯水间</w:t>
      </w:r>
      <w:r>
        <w:rPr>
          <w:rFonts w:hint="eastAsia" w:ascii="Times New Roman" w:hAnsi="Times New Roman" w:eastAsia="宋体"/>
          <w:color w:val="auto"/>
          <w:highlight w:val="none"/>
          <w:lang w:val="en-US" w:eastAsia="zh-CN"/>
        </w:rPr>
        <w:t>车间平面布置图</w:t>
      </w:r>
    </w:p>
    <w:p w14:paraId="71CE14AA">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ascii="Times New Roman" w:hAnsi="Times New Roman" w:eastAsia="宋体"/>
          <w:color w:val="auto"/>
          <w:highlight w:val="none"/>
          <w:lang w:val="en-US"/>
        </w:rPr>
      </w:pPr>
      <w:r>
        <w:rPr>
          <w:rFonts w:hint="eastAsia" w:ascii="Times New Roman" w:hAnsi="Times New Roman" w:eastAsia="宋体"/>
          <w:color w:val="auto"/>
          <w:highlight w:val="none"/>
          <w:lang w:val="en-US"/>
        </w:rPr>
        <w:t>附图</w:t>
      </w:r>
      <w:r>
        <w:rPr>
          <w:rFonts w:hint="eastAsia" w:ascii="Times New Roman" w:hAnsi="Times New Roman" w:eastAsia="宋体"/>
          <w:color w:val="auto"/>
          <w:highlight w:val="none"/>
          <w:lang w:val="en-US" w:eastAsia="zh-CN"/>
        </w:rPr>
        <w:t>6</w:t>
      </w:r>
      <w:r>
        <w:rPr>
          <w:rFonts w:hint="eastAsia" w:ascii="Times New Roman" w:hAnsi="Times New Roman" w:eastAsia="宋体"/>
          <w:color w:val="auto"/>
          <w:highlight w:val="none"/>
          <w:lang w:val="en-US"/>
        </w:rPr>
        <w:t>江宁经济技术开发区近期土地利用规划图——2025年</w:t>
      </w:r>
    </w:p>
    <w:p w14:paraId="09FBBD24">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ascii="Times New Roman" w:hAnsi="Times New Roman" w:eastAsia="宋体"/>
          <w:color w:val="auto"/>
          <w:highlight w:val="none"/>
          <w:lang w:val="en-US"/>
        </w:rPr>
      </w:pPr>
      <w:r>
        <w:rPr>
          <w:rFonts w:hint="eastAsia" w:ascii="Times New Roman" w:hAnsi="Times New Roman" w:eastAsia="宋体"/>
          <w:color w:val="auto"/>
          <w:highlight w:val="none"/>
          <w:lang w:val="en-US"/>
        </w:rPr>
        <w:t>附图</w:t>
      </w:r>
      <w:r>
        <w:rPr>
          <w:rFonts w:hint="eastAsia" w:ascii="Times New Roman" w:hAnsi="Times New Roman" w:eastAsia="宋体"/>
          <w:color w:val="auto"/>
          <w:highlight w:val="none"/>
          <w:lang w:val="en-US" w:eastAsia="zh-CN"/>
        </w:rPr>
        <w:t>7</w:t>
      </w:r>
      <w:r>
        <w:rPr>
          <w:rFonts w:hint="eastAsia" w:ascii="Times New Roman" w:hAnsi="Times New Roman" w:eastAsia="宋体"/>
          <w:color w:val="auto"/>
          <w:highlight w:val="none"/>
          <w:lang w:val="en-US"/>
        </w:rPr>
        <w:t>江宁经济技术开发区远期土地利用规划图——2035年</w:t>
      </w:r>
    </w:p>
    <w:p w14:paraId="1993B977">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ascii="Times New Roman" w:hAnsi="Times New Roman" w:eastAsia="宋体"/>
          <w:color w:val="auto"/>
          <w:highlight w:val="none"/>
          <w:lang w:val="en-US"/>
        </w:rPr>
      </w:pPr>
      <w:r>
        <w:rPr>
          <w:rFonts w:hint="eastAsia" w:ascii="Times New Roman" w:hAnsi="Times New Roman" w:eastAsia="宋体"/>
          <w:color w:val="auto"/>
          <w:highlight w:val="none"/>
          <w:lang w:val="en-US"/>
        </w:rPr>
        <w:t>附图</w:t>
      </w:r>
      <w:r>
        <w:rPr>
          <w:rFonts w:hint="eastAsia" w:ascii="Times New Roman" w:hAnsi="Times New Roman" w:eastAsia="宋体"/>
          <w:color w:val="auto"/>
          <w:highlight w:val="none"/>
          <w:lang w:val="en-US" w:eastAsia="zh-CN"/>
        </w:rPr>
        <w:t>8</w:t>
      </w:r>
      <w:r>
        <w:rPr>
          <w:rFonts w:hint="eastAsia" w:ascii="Times New Roman" w:hAnsi="Times New Roman" w:eastAsia="宋体"/>
          <w:color w:val="auto"/>
          <w:highlight w:val="none"/>
          <w:lang w:val="en-US"/>
        </w:rPr>
        <w:t>江宁区生态保护红线分布图（2023年）</w:t>
      </w:r>
    </w:p>
    <w:p w14:paraId="533EC439">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ascii="Times New Roman" w:hAnsi="Times New Roman" w:eastAsia="宋体"/>
          <w:color w:val="auto"/>
          <w:highlight w:val="none"/>
          <w:lang w:val="en-US"/>
        </w:rPr>
      </w:pPr>
      <w:r>
        <w:rPr>
          <w:rFonts w:hint="eastAsia" w:ascii="Times New Roman" w:hAnsi="Times New Roman" w:eastAsia="宋体"/>
          <w:color w:val="auto"/>
          <w:highlight w:val="none"/>
          <w:lang w:val="en-US"/>
        </w:rPr>
        <w:t>附图</w:t>
      </w:r>
      <w:r>
        <w:rPr>
          <w:rFonts w:hint="eastAsia" w:ascii="Times New Roman" w:hAnsi="Times New Roman" w:eastAsia="宋体"/>
          <w:color w:val="auto"/>
          <w:highlight w:val="none"/>
          <w:lang w:val="en-US" w:eastAsia="zh-CN"/>
        </w:rPr>
        <w:t>9</w:t>
      </w:r>
      <w:r>
        <w:rPr>
          <w:rFonts w:hint="eastAsia" w:ascii="Times New Roman" w:hAnsi="Times New Roman" w:eastAsia="宋体"/>
          <w:color w:val="auto"/>
          <w:highlight w:val="none"/>
          <w:lang w:val="en-US"/>
        </w:rPr>
        <w:t>江宁区生态空间管控区域分布图（2023年）</w:t>
      </w:r>
    </w:p>
    <w:p w14:paraId="29FAAF2D">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ascii="Times New Roman" w:hAnsi="Times New Roman" w:eastAsia="宋体"/>
          <w:color w:val="auto"/>
          <w:highlight w:val="none"/>
          <w:lang w:val="en-US"/>
        </w:rPr>
      </w:pPr>
      <w:r>
        <w:rPr>
          <w:rFonts w:hint="eastAsia" w:ascii="Times New Roman" w:hAnsi="Times New Roman" w:eastAsia="宋体"/>
          <w:color w:val="auto"/>
          <w:highlight w:val="none"/>
          <w:lang w:val="en-US"/>
        </w:rPr>
        <w:t>附图</w:t>
      </w:r>
      <w:r>
        <w:rPr>
          <w:rFonts w:hint="eastAsia" w:ascii="Times New Roman" w:hAnsi="Times New Roman" w:eastAsia="宋体"/>
          <w:color w:val="auto"/>
          <w:highlight w:val="none"/>
          <w:lang w:val="en-US" w:eastAsia="zh-CN"/>
        </w:rPr>
        <w:t>10</w:t>
      </w:r>
      <w:r>
        <w:rPr>
          <w:rFonts w:hint="eastAsia" w:ascii="Times New Roman" w:hAnsi="Times New Roman" w:eastAsia="宋体"/>
          <w:color w:val="auto"/>
          <w:highlight w:val="none"/>
          <w:lang w:val="en-US"/>
        </w:rPr>
        <w:t>江苏省生态环境管控单元图</w:t>
      </w:r>
    </w:p>
    <w:p w14:paraId="111F1D7A">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ascii="Times New Roman" w:hAnsi="Times New Roman" w:eastAsia="宋体"/>
          <w:color w:val="auto"/>
          <w:highlight w:val="none"/>
          <w:lang w:val="en-US"/>
        </w:rPr>
      </w:pPr>
      <w:r>
        <w:rPr>
          <w:rFonts w:hint="eastAsia" w:ascii="Times New Roman" w:hAnsi="Times New Roman" w:eastAsia="宋体"/>
          <w:color w:val="auto"/>
          <w:highlight w:val="none"/>
          <w:lang w:val="en-US"/>
        </w:rPr>
        <w:t>附图1</w:t>
      </w:r>
      <w:r>
        <w:rPr>
          <w:rFonts w:hint="eastAsia" w:ascii="Times New Roman" w:hAnsi="Times New Roman" w:eastAsia="宋体"/>
          <w:color w:val="auto"/>
          <w:highlight w:val="none"/>
          <w:lang w:val="en-US" w:eastAsia="zh-CN"/>
        </w:rPr>
        <w:t>1</w:t>
      </w:r>
      <w:r>
        <w:rPr>
          <w:rFonts w:hint="eastAsia" w:ascii="Times New Roman" w:hAnsi="Times New Roman" w:eastAsia="宋体"/>
          <w:color w:val="auto"/>
          <w:highlight w:val="none"/>
          <w:lang w:val="en-US"/>
        </w:rPr>
        <w:t>江宁经济技术开发区声环境功能区划图</w:t>
      </w:r>
    </w:p>
    <w:p w14:paraId="1EAA3393">
      <w:pPr>
        <w:keepNext w:val="0"/>
        <w:keepLines w:val="0"/>
        <w:pageBreakBefore w:val="0"/>
        <w:widowControl w:val="0"/>
        <w:kinsoku/>
        <w:wordWrap/>
        <w:overflowPunct/>
        <w:topLinePunct w:val="0"/>
        <w:autoSpaceDE w:val="0"/>
        <w:autoSpaceDN w:val="0"/>
        <w:bidi w:val="0"/>
        <w:adjustRightInd w:val="0"/>
        <w:snapToGrid w:val="0"/>
        <w:spacing w:line="336" w:lineRule="auto"/>
        <w:ind w:firstLine="562"/>
        <w:textAlignment w:val="auto"/>
        <w:rPr>
          <w:rFonts w:ascii="Times New Roman" w:hAnsi="Times New Roman" w:eastAsia="宋体"/>
          <w:color w:val="auto"/>
          <w:highlight w:val="none"/>
        </w:rPr>
      </w:pPr>
      <w:r>
        <w:rPr>
          <w:rFonts w:hint="eastAsia" w:ascii="Times New Roman" w:hAnsi="Times New Roman" w:eastAsia="宋体"/>
          <w:b/>
          <w:bCs/>
          <w:color w:val="auto"/>
          <w:sz w:val="28"/>
          <w:szCs w:val="28"/>
          <w:highlight w:val="none"/>
        </w:rPr>
        <w:t>附</w:t>
      </w:r>
      <w:r>
        <w:rPr>
          <w:rFonts w:hint="eastAsia" w:ascii="Times New Roman" w:hAnsi="Times New Roman" w:eastAsia="宋体"/>
          <w:b/>
          <w:bCs/>
          <w:color w:val="auto"/>
          <w:sz w:val="28"/>
          <w:szCs w:val="28"/>
          <w:highlight w:val="none"/>
          <w:lang w:val="en-US"/>
        </w:rPr>
        <w:t>件</w:t>
      </w:r>
    </w:p>
    <w:p w14:paraId="02893E96">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ascii="Times New Roman" w:hAnsi="Times New Roman" w:eastAsia="宋体"/>
          <w:color w:val="auto"/>
          <w:highlight w:val="none"/>
          <w:lang w:val="en-US"/>
        </w:rPr>
      </w:pPr>
      <w:r>
        <w:rPr>
          <w:rFonts w:hint="eastAsia" w:ascii="Times New Roman" w:hAnsi="Times New Roman" w:eastAsia="宋体"/>
          <w:color w:val="auto"/>
          <w:highlight w:val="none"/>
          <w:lang w:val="en-US"/>
        </w:rPr>
        <w:t>附件1委托书</w:t>
      </w:r>
    </w:p>
    <w:p w14:paraId="41013059">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ascii="Times New Roman" w:hAnsi="Times New Roman" w:eastAsia="宋体"/>
          <w:color w:val="auto"/>
          <w:highlight w:val="none"/>
          <w:lang w:val="en-US"/>
        </w:rPr>
      </w:pPr>
      <w:r>
        <w:rPr>
          <w:rFonts w:hint="eastAsia" w:ascii="Times New Roman" w:hAnsi="Times New Roman" w:eastAsia="宋体"/>
          <w:color w:val="auto"/>
          <w:highlight w:val="none"/>
          <w:lang w:val="en-US"/>
        </w:rPr>
        <w:t>附件</w:t>
      </w:r>
      <w:r>
        <w:rPr>
          <w:rFonts w:hint="eastAsia"/>
          <w:color w:val="auto"/>
          <w:highlight w:val="none"/>
          <w:lang w:val="en-US" w:eastAsia="zh-CN"/>
        </w:rPr>
        <w:t>2</w:t>
      </w:r>
      <w:r>
        <w:rPr>
          <w:rFonts w:hint="eastAsia" w:ascii="Times New Roman" w:hAnsi="Times New Roman" w:eastAsia="宋体"/>
          <w:color w:val="auto"/>
          <w:highlight w:val="none"/>
          <w:lang w:val="en-US"/>
        </w:rPr>
        <w:t>备案证</w:t>
      </w:r>
    </w:p>
    <w:p w14:paraId="65A89B13">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ascii="Times New Roman" w:hAnsi="Times New Roman" w:eastAsia="宋体"/>
          <w:color w:val="auto"/>
          <w:highlight w:val="none"/>
          <w:lang w:val="en-US"/>
        </w:rPr>
      </w:pPr>
      <w:r>
        <w:rPr>
          <w:rFonts w:hint="eastAsia" w:ascii="Times New Roman" w:hAnsi="Times New Roman" w:eastAsia="宋体"/>
          <w:color w:val="auto"/>
          <w:highlight w:val="none"/>
          <w:lang w:val="en-US"/>
        </w:rPr>
        <w:t>附件</w:t>
      </w:r>
      <w:r>
        <w:rPr>
          <w:rFonts w:hint="eastAsia"/>
          <w:color w:val="auto"/>
          <w:highlight w:val="none"/>
          <w:lang w:val="en-US" w:eastAsia="zh-CN"/>
        </w:rPr>
        <w:t>3</w:t>
      </w:r>
      <w:r>
        <w:rPr>
          <w:rFonts w:hint="eastAsia" w:ascii="Times New Roman" w:hAnsi="Times New Roman" w:eastAsia="宋体"/>
          <w:color w:val="auto"/>
          <w:highlight w:val="none"/>
          <w:lang w:val="en-US"/>
        </w:rPr>
        <w:t>建设单位营业执照</w:t>
      </w:r>
    </w:p>
    <w:p w14:paraId="10521274">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rPr>
        <w:t>附件</w:t>
      </w:r>
      <w:r>
        <w:rPr>
          <w:rFonts w:hint="eastAsia"/>
          <w:color w:val="auto"/>
          <w:highlight w:val="none"/>
          <w:lang w:val="en-US" w:eastAsia="zh-CN"/>
        </w:rPr>
        <w:t>4</w:t>
      </w:r>
      <w:r>
        <w:rPr>
          <w:rFonts w:hint="eastAsia" w:ascii="Times New Roman" w:hAnsi="Times New Roman" w:eastAsia="宋体"/>
          <w:color w:val="auto"/>
          <w:highlight w:val="none"/>
          <w:lang w:val="en-US" w:eastAsia="zh-CN"/>
        </w:rPr>
        <w:t>土地证</w:t>
      </w:r>
    </w:p>
    <w:p w14:paraId="379AAADB">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rPr>
        <w:t>附件</w:t>
      </w:r>
      <w:r>
        <w:rPr>
          <w:rFonts w:hint="eastAsia"/>
          <w:color w:val="auto"/>
          <w:highlight w:val="none"/>
          <w:lang w:val="en-US" w:eastAsia="zh-CN"/>
        </w:rPr>
        <w:t>5危废承诺书</w:t>
      </w:r>
    </w:p>
    <w:p w14:paraId="43996EAC">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rPr>
        <w:t>附件</w:t>
      </w:r>
      <w:r>
        <w:rPr>
          <w:rFonts w:hint="eastAsia"/>
          <w:color w:val="auto"/>
          <w:highlight w:val="none"/>
          <w:lang w:val="en-US" w:eastAsia="zh-CN"/>
        </w:rPr>
        <w:t>6油墨MSDS及VOC检测报告</w:t>
      </w:r>
    </w:p>
    <w:p w14:paraId="06EE2041">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hint="eastAsia"/>
          <w:color w:val="auto"/>
          <w:highlight w:val="none"/>
          <w:lang w:val="en-US" w:eastAsia="zh-CN"/>
        </w:rPr>
      </w:pPr>
      <w:r>
        <w:rPr>
          <w:rFonts w:hint="eastAsia" w:ascii="Times New Roman" w:hAnsi="Times New Roman" w:eastAsia="宋体"/>
          <w:color w:val="auto"/>
          <w:highlight w:val="none"/>
          <w:lang w:val="en-US" w:eastAsia="zh-CN"/>
        </w:rPr>
        <w:t>附件</w:t>
      </w:r>
      <w:r>
        <w:rPr>
          <w:rFonts w:hint="eastAsia"/>
          <w:color w:val="auto"/>
          <w:highlight w:val="none"/>
          <w:lang w:val="en-US" w:eastAsia="zh-CN"/>
        </w:rPr>
        <w:t>7</w:t>
      </w:r>
      <w:r>
        <w:rPr>
          <w:rFonts w:hint="eastAsia" w:ascii="Times New Roman" w:hAnsi="Times New Roman" w:eastAsia="宋体"/>
          <w:color w:val="auto"/>
          <w:highlight w:val="none"/>
          <w:lang w:val="en-US"/>
        </w:rPr>
        <w:t>环评报告表符合性声明</w:t>
      </w:r>
    </w:p>
    <w:p w14:paraId="38F9448F">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附件</w:t>
      </w:r>
      <w:r>
        <w:rPr>
          <w:rFonts w:hint="eastAsia"/>
          <w:color w:val="auto"/>
          <w:highlight w:val="none"/>
          <w:lang w:val="en-US" w:eastAsia="zh-CN"/>
        </w:rPr>
        <w:t>8</w:t>
      </w:r>
      <w:r>
        <w:rPr>
          <w:rFonts w:hint="eastAsia" w:ascii="Times New Roman" w:hAnsi="Times New Roman" w:eastAsia="宋体"/>
          <w:color w:val="auto"/>
          <w:highlight w:val="none"/>
          <w:lang w:val="en-US" w:eastAsia="zh-CN"/>
        </w:rPr>
        <w:t>环境质量现状引用数据监测报告</w:t>
      </w:r>
    </w:p>
    <w:p w14:paraId="10B67BE0">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rPr>
        <w:t>附件</w:t>
      </w:r>
      <w:r>
        <w:rPr>
          <w:rFonts w:hint="eastAsia"/>
          <w:color w:val="auto"/>
          <w:highlight w:val="none"/>
          <w:lang w:val="en-US" w:eastAsia="zh-CN"/>
        </w:rPr>
        <w:t>9</w:t>
      </w:r>
      <w:r>
        <w:rPr>
          <w:rFonts w:hint="eastAsia" w:ascii="Times New Roman" w:hAnsi="Times New Roman" w:eastAsia="宋体"/>
          <w:color w:val="auto"/>
          <w:highlight w:val="none"/>
          <w:lang w:val="en-US" w:eastAsia="zh-CN"/>
        </w:rPr>
        <w:t>关于引用区域评估的承诺</w:t>
      </w:r>
    </w:p>
    <w:p w14:paraId="1ED6C81A">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ascii="Times New Roman" w:hAnsi="Times New Roman" w:eastAsia="宋体"/>
          <w:color w:val="auto"/>
          <w:highlight w:val="none"/>
          <w:lang w:val="en-US"/>
        </w:rPr>
      </w:pPr>
      <w:r>
        <w:rPr>
          <w:rFonts w:hint="eastAsia" w:ascii="Times New Roman" w:hAnsi="Times New Roman" w:eastAsia="宋体"/>
          <w:color w:val="auto"/>
          <w:highlight w:val="none"/>
          <w:lang w:val="en-US"/>
        </w:rPr>
        <w:t>附件</w:t>
      </w:r>
      <w:r>
        <w:rPr>
          <w:rFonts w:hint="eastAsia"/>
          <w:color w:val="auto"/>
          <w:highlight w:val="none"/>
          <w:lang w:val="en-US" w:eastAsia="zh-CN"/>
        </w:rPr>
        <w:t>10</w:t>
      </w:r>
      <w:r>
        <w:rPr>
          <w:rFonts w:hint="eastAsia" w:ascii="Times New Roman" w:hAnsi="Times New Roman" w:eastAsia="宋体"/>
          <w:color w:val="auto"/>
          <w:highlight w:val="none"/>
          <w:lang w:val="en-US"/>
        </w:rPr>
        <w:t>公示截图</w:t>
      </w:r>
    </w:p>
    <w:p w14:paraId="30C76231">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ascii="Times New Roman" w:hAnsi="Times New Roman" w:eastAsia="宋体"/>
          <w:color w:val="auto"/>
          <w:highlight w:val="none"/>
          <w:lang w:val="en-US"/>
        </w:rPr>
      </w:pPr>
      <w:r>
        <w:rPr>
          <w:rFonts w:hint="eastAsia" w:ascii="Times New Roman" w:hAnsi="Times New Roman" w:eastAsia="宋体"/>
          <w:color w:val="auto"/>
          <w:highlight w:val="none"/>
          <w:lang w:val="en-US"/>
        </w:rPr>
        <w:t>附件1</w:t>
      </w:r>
      <w:r>
        <w:rPr>
          <w:rFonts w:hint="eastAsia"/>
          <w:color w:val="auto"/>
          <w:highlight w:val="none"/>
          <w:lang w:val="en-US" w:eastAsia="zh-CN"/>
        </w:rPr>
        <w:t>1</w:t>
      </w:r>
      <w:r>
        <w:rPr>
          <w:rFonts w:hint="eastAsia" w:ascii="Times New Roman" w:hAnsi="Times New Roman" w:eastAsia="宋体"/>
          <w:color w:val="auto"/>
          <w:highlight w:val="none"/>
          <w:lang w:val="en-US"/>
        </w:rPr>
        <w:t>环评文件删除不宜公开信息的说明</w:t>
      </w:r>
    </w:p>
    <w:p w14:paraId="6C0EB5FC">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ascii="Times New Roman" w:hAnsi="Times New Roman" w:eastAsia="宋体"/>
          <w:color w:val="auto"/>
          <w:highlight w:val="none"/>
          <w:lang w:val="en-US"/>
        </w:rPr>
      </w:pPr>
      <w:r>
        <w:rPr>
          <w:rFonts w:hint="eastAsia" w:ascii="Times New Roman" w:hAnsi="Times New Roman" w:eastAsia="宋体"/>
          <w:color w:val="auto"/>
          <w:highlight w:val="none"/>
          <w:lang w:val="en-US"/>
        </w:rPr>
        <w:t>附件1</w:t>
      </w:r>
      <w:r>
        <w:rPr>
          <w:rFonts w:hint="eastAsia"/>
          <w:color w:val="auto"/>
          <w:highlight w:val="none"/>
          <w:lang w:val="en-US" w:eastAsia="zh-CN"/>
        </w:rPr>
        <w:t>2</w:t>
      </w:r>
      <w:r>
        <w:rPr>
          <w:rFonts w:hint="eastAsia" w:ascii="Times New Roman" w:hAnsi="Times New Roman" w:eastAsia="宋体"/>
          <w:color w:val="auto"/>
          <w:highlight w:val="none"/>
          <w:lang w:val="en-US"/>
        </w:rPr>
        <w:t>总量指标申请表</w:t>
      </w:r>
    </w:p>
    <w:p w14:paraId="14F41A81">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hint="default"/>
          <w:color w:val="auto"/>
          <w:highlight w:val="none"/>
          <w:lang w:val="en-US" w:eastAsia="zh-CN"/>
        </w:rPr>
      </w:pPr>
      <w:r>
        <w:rPr>
          <w:rFonts w:hint="eastAsia" w:ascii="Times New Roman" w:hAnsi="Times New Roman" w:eastAsia="宋体"/>
          <w:color w:val="auto"/>
          <w:highlight w:val="none"/>
          <w:lang w:val="en-US"/>
        </w:rPr>
        <w:t>附件1</w:t>
      </w:r>
      <w:r>
        <w:rPr>
          <w:rFonts w:hint="eastAsia"/>
          <w:color w:val="auto"/>
          <w:highlight w:val="none"/>
          <w:lang w:val="en-US" w:eastAsia="zh-CN"/>
        </w:rPr>
        <w:t>3报批申请表</w:t>
      </w:r>
    </w:p>
    <w:p w14:paraId="3FA8FA50">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ascii="Times New Roman" w:hAnsi="Times New Roman" w:eastAsia="宋体"/>
          <w:color w:val="auto"/>
          <w:highlight w:val="none"/>
          <w:lang w:val="en-US"/>
        </w:rPr>
      </w:pPr>
      <w:r>
        <w:rPr>
          <w:rFonts w:hint="eastAsia" w:ascii="Times New Roman" w:hAnsi="Times New Roman" w:eastAsia="宋体"/>
          <w:color w:val="auto"/>
          <w:highlight w:val="none"/>
          <w:lang w:val="en-US"/>
        </w:rPr>
        <w:t>附件1</w:t>
      </w:r>
      <w:r>
        <w:rPr>
          <w:rFonts w:hint="eastAsia"/>
          <w:color w:val="auto"/>
          <w:highlight w:val="none"/>
          <w:lang w:val="en-US" w:eastAsia="zh-CN"/>
        </w:rPr>
        <w:t>4</w:t>
      </w:r>
      <w:r>
        <w:rPr>
          <w:rFonts w:hint="eastAsia" w:ascii="Times New Roman" w:hAnsi="Times New Roman" w:eastAsia="宋体"/>
          <w:color w:val="auto"/>
          <w:highlight w:val="none"/>
          <w:lang w:val="en-US"/>
        </w:rPr>
        <w:t>现场踏勘照片</w:t>
      </w:r>
    </w:p>
    <w:p w14:paraId="5097AB13">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ascii="Times New Roman" w:hAnsi="Times New Roman" w:eastAsia="宋体"/>
          <w:color w:val="auto"/>
          <w:highlight w:val="none"/>
          <w:lang w:val="en-US"/>
        </w:rPr>
      </w:pPr>
      <w:r>
        <w:rPr>
          <w:rFonts w:hint="eastAsia" w:ascii="Times New Roman" w:hAnsi="Times New Roman" w:eastAsia="宋体"/>
          <w:color w:val="auto"/>
          <w:highlight w:val="none"/>
          <w:lang w:val="en-US"/>
        </w:rPr>
        <w:t>附件1</w:t>
      </w:r>
      <w:r>
        <w:rPr>
          <w:rFonts w:hint="eastAsia"/>
          <w:color w:val="auto"/>
          <w:highlight w:val="none"/>
          <w:lang w:val="en-US" w:eastAsia="zh-CN"/>
        </w:rPr>
        <w:t>5</w:t>
      </w:r>
      <w:r>
        <w:rPr>
          <w:rFonts w:hint="eastAsia" w:ascii="Times New Roman" w:hAnsi="Times New Roman" w:eastAsia="宋体"/>
          <w:color w:val="auto"/>
          <w:highlight w:val="none"/>
          <w:lang w:val="en-US"/>
        </w:rPr>
        <w:t>现场踏勘记录表</w:t>
      </w:r>
    </w:p>
    <w:p w14:paraId="658AD3D6">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ascii="Times New Roman" w:hAnsi="Times New Roman" w:eastAsia="宋体"/>
          <w:color w:val="auto"/>
          <w:highlight w:val="none"/>
          <w:lang w:val="en-US"/>
        </w:rPr>
      </w:pPr>
      <w:r>
        <w:rPr>
          <w:rFonts w:hint="eastAsia"/>
          <w:color w:val="auto"/>
          <w:highlight w:val="none"/>
          <w:lang w:val="en-US" w:eastAsia="zh-CN"/>
        </w:rPr>
        <w:t>附件16</w:t>
      </w:r>
      <w:r>
        <w:rPr>
          <w:rFonts w:hint="eastAsia" w:ascii="Times New Roman" w:hAnsi="Times New Roman" w:eastAsia="宋体"/>
          <w:color w:val="auto"/>
          <w:highlight w:val="none"/>
          <w:lang w:val="en-US"/>
        </w:rPr>
        <w:t>环评项目质量控制审核单</w:t>
      </w:r>
    </w:p>
    <w:p w14:paraId="0A5F5AAA">
      <w:pPr>
        <w:keepNext w:val="0"/>
        <w:keepLines w:val="0"/>
        <w:pageBreakBefore w:val="0"/>
        <w:widowControl w:val="0"/>
        <w:kinsoku/>
        <w:wordWrap/>
        <w:overflowPunct/>
        <w:topLinePunct w:val="0"/>
        <w:autoSpaceDE w:val="0"/>
        <w:autoSpaceDN w:val="0"/>
        <w:bidi w:val="0"/>
        <w:adjustRightInd w:val="0"/>
        <w:snapToGrid w:val="0"/>
        <w:spacing w:line="336" w:lineRule="auto"/>
        <w:ind w:firstLine="480"/>
        <w:textAlignment w:val="auto"/>
        <w:rPr>
          <w:rFonts w:ascii="Times New Roman" w:hAnsi="Times New Roman" w:eastAsia="宋体"/>
          <w:color w:val="auto"/>
          <w:highlight w:val="none"/>
          <w:lang w:val="en-US"/>
        </w:rPr>
      </w:pPr>
      <w:r>
        <w:rPr>
          <w:rFonts w:hint="eastAsia"/>
          <w:color w:val="auto"/>
          <w:highlight w:val="none"/>
          <w:lang w:val="en-US" w:eastAsia="zh-CN"/>
        </w:rPr>
        <w:t>附件17</w:t>
      </w:r>
      <w:r>
        <w:rPr>
          <w:rFonts w:hint="eastAsia" w:ascii="Times New Roman" w:hAnsi="Times New Roman" w:eastAsia="宋体"/>
          <w:color w:val="auto"/>
          <w:highlight w:val="none"/>
          <w:lang w:val="en-US"/>
        </w:rPr>
        <w:t>校核承诺书</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2000000000000000000"/>
    <w:charset w:val="86"/>
    <w:family w:val="auto"/>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Cambria Math">
    <w:panose1 w:val="02040503050406030204"/>
    <w:charset w:val="00"/>
    <w:family w:val="roman"/>
    <w:pitch w:val="default"/>
    <w:sig w:usb0="E00006FF" w:usb1="420024FF" w:usb2="02000000" w:usb3="00000000" w:csb0="200001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7EE655">
    <w:pPr>
      <w:tabs>
        <w:tab w:val="center" w:pos="4153"/>
        <w:tab w:val="right" w:pos="8306"/>
      </w:tabs>
      <w:ind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B20D6D">
    <w:pPr>
      <w:tabs>
        <w:tab w:val="center" w:pos="4153"/>
        <w:tab w:val="right" w:pos="8306"/>
      </w:tabs>
      <w:ind w:firstLine="48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325F01">
    <w:pPr>
      <w:tabs>
        <w:tab w:val="center" w:pos="4153"/>
        <w:tab w:val="right" w:pos="8306"/>
      </w:tabs>
      <w:ind w:firstLine="48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B631A9">
    <w:pPr>
      <w:tabs>
        <w:tab w:val="center" w:pos="4153"/>
        <w:tab w:val="right" w:pos="8306"/>
      </w:tabs>
      <w:ind w:firstLine="48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8FDE83">
                          <w:pPr>
                            <w:tabs>
                              <w:tab w:val="center" w:pos="4153"/>
                              <w:tab w:val="right" w:pos="8306"/>
                            </w:tabs>
                            <w:ind w:firstLine="48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3F8FDE83">
                    <w:pPr>
                      <w:tabs>
                        <w:tab w:val="center" w:pos="4153"/>
                        <w:tab w:val="right" w:pos="8306"/>
                      </w:tabs>
                      <w:ind w:firstLine="48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5FB233">
    <w:pPr>
      <w:tabs>
        <w:tab w:val="center" w:pos="4153"/>
        <w:tab w:val="right" w:pos="8306"/>
      </w:tabs>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1B8CC">
    <w:pPr>
      <w:tabs>
        <w:tab w:val="center" w:pos="4153"/>
        <w:tab w:val="right" w:pos="8306"/>
      </w:tabs>
      <w:ind w:firstLine="4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C3FA12">
    <w:pPr>
      <w:tabs>
        <w:tab w:val="center" w:pos="4153"/>
        <w:tab w:val="right" w:pos="8306"/>
      </w:tabs>
      <w:ind w:firstLine="48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5FE6BA">
    <w:pPr>
      <w:tabs>
        <w:tab w:val="center" w:pos="4153"/>
        <w:tab w:val="right" w:pos="8306"/>
      </w:tabs>
      <w:ind w:firstLine="4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F5BB20"/>
    <w:multiLevelType w:val="multilevel"/>
    <w:tmpl w:val="FDF5BB20"/>
    <w:lvl w:ilvl="0" w:tentative="0">
      <w:start w:val="1"/>
      <w:numFmt w:val="decimal"/>
      <w:suff w:val="space"/>
      <w:lvlText w:val="%1."/>
      <w:lvlJc w:val="left"/>
      <w:pPr>
        <w:tabs>
          <w:tab w:val="left" w:pos="0"/>
        </w:tabs>
        <w:ind w:left="0" w:firstLine="0"/>
      </w:pPr>
      <w:rPr>
        <w:rFonts w:hint="default"/>
        <w:b/>
        <w:sz w:val="30"/>
      </w:rPr>
    </w:lvl>
    <w:lvl w:ilvl="1" w:tentative="0">
      <w:start w:val="1"/>
      <w:numFmt w:val="decimal"/>
      <w:suff w:val="space"/>
      <w:lvlText w:val="%1.%2."/>
      <w:lvlJc w:val="left"/>
      <w:pPr>
        <w:tabs>
          <w:tab w:val="left" w:pos="420"/>
        </w:tabs>
        <w:ind w:left="0" w:firstLine="0"/>
      </w:pPr>
      <w:rPr>
        <w:rFonts w:hint="default" w:ascii="Times New Roman" w:hAnsi="Times New Roman" w:eastAsia="宋体" w:cs="Times New Roman"/>
      </w:rPr>
    </w:lvl>
    <w:lvl w:ilvl="2" w:tentative="0">
      <w:start w:val="1"/>
      <w:numFmt w:val="decimal"/>
      <w:suff w:val="space"/>
      <w:lvlText w:val="%1.%2.%3."/>
      <w:lvlJc w:val="left"/>
      <w:pPr>
        <w:tabs>
          <w:tab w:val="left" w:pos="0"/>
        </w:tabs>
        <w:ind w:left="0" w:firstLine="0"/>
      </w:pPr>
      <w:rPr>
        <w:rFonts w:hint="default" w:ascii="Times New Roman" w:hAnsi="Times New Roman" w:eastAsia="宋体" w:cs="Times New Roman"/>
      </w:rPr>
    </w:lvl>
    <w:lvl w:ilvl="3" w:tentative="0">
      <w:start w:val="1"/>
      <w:numFmt w:val="decimal"/>
      <w:suff w:val="space"/>
      <w:lvlText w:val="%1.%2.%3.%4."/>
      <w:lvlJc w:val="left"/>
      <w:pPr>
        <w:tabs>
          <w:tab w:val="left" w:pos="420"/>
        </w:tabs>
        <w:ind w:left="0" w:firstLine="0"/>
      </w:pPr>
      <w:rPr>
        <w:rFonts w:hint="default" w:ascii="Times New Roman" w:hAnsi="Times New Roman" w:eastAsia="宋体" w:cs="Times New Roman"/>
      </w:rPr>
    </w:lvl>
    <w:lvl w:ilvl="4" w:tentative="0">
      <w:start w:val="1"/>
      <w:numFmt w:val="decimal"/>
      <w:lvlRestart w:val="2"/>
      <w:suff w:val="space"/>
      <w:lvlText w:val="表%1.%2-%5"/>
      <w:lvlJc w:val="left"/>
      <w:pPr>
        <w:tabs>
          <w:tab w:val="left" w:pos="2693"/>
        </w:tabs>
        <w:ind w:left="2693" w:firstLine="0"/>
      </w:pPr>
      <w:rPr>
        <w:rFonts w:hint="default" w:ascii="Times New Roman" w:hAnsi="Times New Roman" w:eastAsia="宋体" w:cs="宋体"/>
        <w:sz w:val="21"/>
        <w:szCs w:val="21"/>
      </w:rPr>
    </w:lvl>
    <w:lvl w:ilvl="5" w:tentative="0">
      <w:start w:val="1"/>
      <w:numFmt w:val="decimal"/>
      <w:pStyle w:val="7"/>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1">
    <w:nsid w:val="0E4FE599"/>
    <w:multiLevelType w:val="multilevel"/>
    <w:tmpl w:val="0E4FE599"/>
    <w:lvl w:ilvl="0" w:tentative="0">
      <w:start w:val="1"/>
      <w:numFmt w:val="decimal"/>
      <w:suff w:val="space"/>
      <w:lvlText w:val="%1."/>
      <w:lvlJc w:val="left"/>
      <w:pPr>
        <w:tabs>
          <w:tab w:val="left" w:pos="0"/>
        </w:tabs>
        <w:ind w:left="425" w:hanging="425"/>
      </w:pPr>
      <w:rPr>
        <w:rFonts w:hint="default" w:ascii="Times New Roman" w:hAnsi="Times New Roman" w:eastAsia="宋体" w:cs="宋体"/>
        <w:b/>
        <w:sz w:val="32"/>
      </w:rPr>
    </w:lvl>
    <w:lvl w:ilvl="1" w:tentative="0">
      <w:start w:val="1"/>
      <w:numFmt w:val="decimal"/>
      <w:pStyle w:val="3"/>
      <w:suff w:val="space"/>
      <w:lvlText w:val="%1.%2."/>
      <w:lvlJc w:val="left"/>
      <w:pPr>
        <w:tabs>
          <w:tab w:val="left" w:pos="0"/>
        </w:tabs>
        <w:ind w:left="425" w:hanging="425"/>
      </w:pPr>
      <w:rPr>
        <w:rFonts w:hint="default" w:ascii="Times New Roman" w:hAnsi="Times New Roman" w:eastAsia="宋体" w:cs="宋体"/>
        <w:b/>
        <w:sz w:val="30"/>
      </w:rPr>
    </w:lvl>
    <w:lvl w:ilvl="2" w:tentative="0">
      <w:start w:val="1"/>
      <w:numFmt w:val="decimal"/>
      <w:pStyle w:val="4"/>
      <w:suff w:val="space"/>
      <w:lvlText w:val="%1.%2.%3."/>
      <w:lvlJc w:val="left"/>
      <w:pPr>
        <w:tabs>
          <w:tab w:val="left" w:pos="0"/>
        </w:tabs>
        <w:ind w:left="425" w:hanging="425"/>
      </w:pPr>
      <w:rPr>
        <w:rFonts w:hint="default" w:ascii="Times New Roman" w:hAnsi="Times New Roman" w:eastAsia="宋体" w:cs="宋体"/>
        <w:b/>
        <w:sz w:val="28"/>
      </w:rPr>
    </w:lvl>
    <w:lvl w:ilvl="3" w:tentative="0">
      <w:start w:val="1"/>
      <w:numFmt w:val="decimal"/>
      <w:pStyle w:val="5"/>
      <w:suff w:val="space"/>
      <w:lvlText w:val="%1.%2.%3.%4."/>
      <w:lvlJc w:val="left"/>
      <w:pPr>
        <w:tabs>
          <w:tab w:val="left" w:pos="420"/>
        </w:tabs>
        <w:ind w:left="1145" w:hanging="425"/>
      </w:pPr>
      <w:rPr>
        <w:rFonts w:hint="default" w:ascii="Times New Roman" w:hAnsi="Times New Roman" w:eastAsia="宋体" w:cs="Times New Roman"/>
        <w:b/>
        <w:sz w:val="24"/>
      </w:rPr>
    </w:lvl>
    <w:lvl w:ilvl="4" w:tentative="0">
      <w:start w:val="1"/>
      <w:numFmt w:val="decimal"/>
      <w:lvlRestart w:val="2"/>
      <w:suff w:val="space"/>
      <w:lvlText w:val="表%1.%2-%5."/>
      <w:lvlJc w:val="left"/>
      <w:pPr>
        <w:tabs>
          <w:tab w:val="left" w:pos="1843"/>
        </w:tabs>
        <w:ind w:left="2268" w:hanging="425"/>
      </w:pPr>
      <w:rPr>
        <w:rFonts w:hint="default" w:ascii="Times New Roman" w:hAnsi="Times New Roman" w:eastAsia="宋体" w:cs="Times New Roman"/>
        <w:b/>
        <w:color w:val="auto"/>
        <w:sz w:val="21"/>
      </w:rPr>
    </w:lvl>
    <w:lvl w:ilvl="5" w:tentative="0">
      <w:start w:val="1"/>
      <w:numFmt w:val="decimal"/>
      <w:lvlRestart w:val="2"/>
      <w:suff w:val="space"/>
      <w:lvlText w:val="图%1.%2-%6"/>
      <w:lvlJc w:val="left"/>
      <w:pPr>
        <w:tabs>
          <w:tab w:val="left" w:pos="0"/>
        </w:tabs>
        <w:ind w:left="425" w:hanging="425"/>
      </w:pPr>
      <w:rPr>
        <w:rFonts w:hint="default" w:ascii="Times New Roman" w:hAnsi="Times New Roman" w:eastAsia="仿宋" w:cs="Times New Roman"/>
        <w:b/>
        <w:sz w:val="21"/>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3" w:hanging="1583"/>
      </w:pPr>
      <w:rPr>
        <w:rFonts w:hint="default"/>
      </w:rPr>
    </w:lvl>
  </w:abstractNum>
  <w:abstractNum w:abstractNumId="2">
    <w:nsid w:val="31F6198C"/>
    <w:multiLevelType w:val="multilevel"/>
    <w:tmpl w:val="31F6198C"/>
    <w:lvl w:ilvl="0" w:tentative="0">
      <w:start w:val="1"/>
      <w:numFmt w:val="decimal"/>
      <w:pStyle w:val="15"/>
      <w:suff w:val="space"/>
      <w:lvlText w:val="第%1章"/>
      <w:lvlJc w:val="left"/>
      <w:pPr>
        <w:ind w:left="3969" w:firstLine="0"/>
      </w:pPr>
      <w:rPr>
        <w:rFonts w:hint="eastAsia"/>
      </w:rPr>
    </w:lvl>
    <w:lvl w:ilvl="1" w:tentative="0">
      <w:start w:val="1"/>
      <w:numFmt w:val="decimal"/>
      <w:suff w:val="space"/>
      <w:lvlText w:val="%1.%2"/>
      <w:lvlJc w:val="left"/>
      <w:pPr>
        <w:ind w:left="0" w:firstLine="0"/>
      </w:pPr>
      <w:rPr>
        <w:rFonts w:hint="default"/>
        <w:sz w:val="30"/>
        <w:szCs w:val="30"/>
      </w:rPr>
    </w:lvl>
    <w:lvl w:ilvl="2" w:tentative="0">
      <w:start w:val="1"/>
      <w:numFmt w:val="decimal"/>
      <w:suff w:val="space"/>
      <w:lvlText w:val="%1.%2.%3"/>
      <w:lvlJc w:val="left"/>
      <w:pPr>
        <w:ind w:left="0" w:firstLine="0"/>
      </w:pPr>
      <w:rPr>
        <w:rFonts w:hint="eastAsia"/>
      </w:rPr>
    </w:lvl>
    <w:lvl w:ilvl="3" w:tentative="0">
      <w:start w:val="1"/>
      <w:numFmt w:val="decimal"/>
      <w:suff w:val="space"/>
      <w:lvlText w:val="%1.%2.%3.%4"/>
      <w:lvlJc w:val="left"/>
      <w:pPr>
        <w:ind w:left="710" w:firstLine="0"/>
      </w:pPr>
      <w:rPr>
        <w:rFonts w:hint="eastAsia"/>
      </w:rPr>
    </w:lvl>
    <w:lvl w:ilvl="4" w:tentative="0">
      <w:start w:val="1"/>
      <w:numFmt w:val="decimal"/>
      <w:lvlText w:val="%1.%2.%3.%4.%5"/>
      <w:lvlJc w:val="left"/>
      <w:pPr>
        <w:tabs>
          <w:tab w:val="left" w:pos="3501"/>
        </w:tabs>
        <w:ind w:left="2551" w:hanging="850"/>
      </w:pPr>
      <w:rPr>
        <w:rFonts w:hint="eastAsia"/>
      </w:rPr>
    </w:lvl>
    <w:lvl w:ilvl="5" w:tentative="0">
      <w:start w:val="1"/>
      <w:numFmt w:val="decimal"/>
      <w:lvlText w:val="%1.%2.%3.%4.%5.%6"/>
      <w:lvlJc w:val="left"/>
      <w:pPr>
        <w:tabs>
          <w:tab w:val="left" w:pos="4646"/>
        </w:tabs>
        <w:ind w:left="3260" w:hanging="1134"/>
      </w:pPr>
      <w:rPr>
        <w:rFonts w:hint="eastAsia"/>
      </w:rPr>
    </w:lvl>
    <w:lvl w:ilvl="6" w:tentative="0">
      <w:start w:val="1"/>
      <w:numFmt w:val="decimal"/>
      <w:lvlText w:val="%1.%2.%3.%4.%5.%6.%7"/>
      <w:lvlJc w:val="left"/>
      <w:pPr>
        <w:tabs>
          <w:tab w:val="left" w:pos="5431"/>
        </w:tabs>
        <w:ind w:left="3827" w:hanging="1276"/>
      </w:pPr>
      <w:rPr>
        <w:rFonts w:hint="eastAsia"/>
      </w:rPr>
    </w:lvl>
    <w:lvl w:ilvl="7" w:tentative="0">
      <w:start w:val="1"/>
      <w:numFmt w:val="decimal"/>
      <w:lvlText w:val="%1.%2.%3.%4.%5.%6.%7.%8"/>
      <w:lvlJc w:val="left"/>
      <w:pPr>
        <w:tabs>
          <w:tab w:val="left" w:pos="6216"/>
        </w:tabs>
        <w:ind w:left="4394" w:hanging="1418"/>
      </w:pPr>
      <w:rPr>
        <w:rFonts w:hint="eastAsia"/>
      </w:rPr>
    </w:lvl>
    <w:lvl w:ilvl="8" w:tentative="0">
      <w:start w:val="1"/>
      <w:numFmt w:val="decimal"/>
      <w:lvlText w:val="%1.%2.%3.%4.%5.%6.%7.%8.%9"/>
      <w:lvlJc w:val="left"/>
      <w:pPr>
        <w:tabs>
          <w:tab w:val="left" w:pos="7002"/>
        </w:tabs>
        <w:ind w:left="5102" w:hanging="1700"/>
      </w:pPr>
      <w:rPr>
        <w:rFonts w:hint="eastAsia"/>
      </w:rPr>
    </w:lvl>
  </w:abstractNum>
  <w:abstractNum w:abstractNumId="3">
    <w:nsid w:val="38D71C65"/>
    <w:multiLevelType w:val="singleLevel"/>
    <w:tmpl w:val="38D71C65"/>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1ZGUwNWU1YjZmMDZiNmFhZmZiMjBjYThhODk3YjkifQ=="/>
  </w:docVars>
  <w:rsids>
    <w:rsidRoot w:val="00172A27"/>
    <w:rsid w:val="000477F7"/>
    <w:rsid w:val="000C1FF9"/>
    <w:rsid w:val="000C7E3A"/>
    <w:rsid w:val="00217FCB"/>
    <w:rsid w:val="003B66AC"/>
    <w:rsid w:val="004C7B27"/>
    <w:rsid w:val="00642CFB"/>
    <w:rsid w:val="0067722F"/>
    <w:rsid w:val="006D12FE"/>
    <w:rsid w:val="006F6D1E"/>
    <w:rsid w:val="0076431C"/>
    <w:rsid w:val="00785154"/>
    <w:rsid w:val="007E5726"/>
    <w:rsid w:val="009D0ABC"/>
    <w:rsid w:val="009D263F"/>
    <w:rsid w:val="009D3CB1"/>
    <w:rsid w:val="00AE5816"/>
    <w:rsid w:val="00B5443F"/>
    <w:rsid w:val="00BA7CA7"/>
    <w:rsid w:val="00C14C98"/>
    <w:rsid w:val="00C22D6E"/>
    <w:rsid w:val="00F54A6A"/>
    <w:rsid w:val="00F563F4"/>
    <w:rsid w:val="00F71BA7"/>
    <w:rsid w:val="00FA00A3"/>
    <w:rsid w:val="012027AC"/>
    <w:rsid w:val="01270197"/>
    <w:rsid w:val="012D66CB"/>
    <w:rsid w:val="01875DDB"/>
    <w:rsid w:val="018F4C90"/>
    <w:rsid w:val="01AC3A93"/>
    <w:rsid w:val="01E2379D"/>
    <w:rsid w:val="01EC611C"/>
    <w:rsid w:val="01F561BC"/>
    <w:rsid w:val="02162CED"/>
    <w:rsid w:val="022D5DC5"/>
    <w:rsid w:val="02337D11"/>
    <w:rsid w:val="024A69D2"/>
    <w:rsid w:val="02557C87"/>
    <w:rsid w:val="0264298B"/>
    <w:rsid w:val="02667537"/>
    <w:rsid w:val="02756840"/>
    <w:rsid w:val="027B6720"/>
    <w:rsid w:val="027C3466"/>
    <w:rsid w:val="02820350"/>
    <w:rsid w:val="029455DE"/>
    <w:rsid w:val="02980C11"/>
    <w:rsid w:val="02C25ED6"/>
    <w:rsid w:val="02C80459"/>
    <w:rsid w:val="02E31CFB"/>
    <w:rsid w:val="02E34537"/>
    <w:rsid w:val="02E80AFB"/>
    <w:rsid w:val="02EF2307"/>
    <w:rsid w:val="02F86483"/>
    <w:rsid w:val="02F92D08"/>
    <w:rsid w:val="03004097"/>
    <w:rsid w:val="030F10B7"/>
    <w:rsid w:val="031A6249"/>
    <w:rsid w:val="0329503C"/>
    <w:rsid w:val="032F46D3"/>
    <w:rsid w:val="03321D76"/>
    <w:rsid w:val="03404493"/>
    <w:rsid w:val="03454868"/>
    <w:rsid w:val="034A70C0"/>
    <w:rsid w:val="03757E97"/>
    <w:rsid w:val="038C3C47"/>
    <w:rsid w:val="03960557"/>
    <w:rsid w:val="03E7258D"/>
    <w:rsid w:val="03F51722"/>
    <w:rsid w:val="03FF434E"/>
    <w:rsid w:val="041D47D5"/>
    <w:rsid w:val="041F054D"/>
    <w:rsid w:val="04344CFA"/>
    <w:rsid w:val="043D6C25"/>
    <w:rsid w:val="04451C17"/>
    <w:rsid w:val="04891E6A"/>
    <w:rsid w:val="048E7480"/>
    <w:rsid w:val="04AA17EB"/>
    <w:rsid w:val="04B0389B"/>
    <w:rsid w:val="04C462FB"/>
    <w:rsid w:val="04CC1AAA"/>
    <w:rsid w:val="04E23328"/>
    <w:rsid w:val="04E97B1E"/>
    <w:rsid w:val="04F35535"/>
    <w:rsid w:val="04FF6080"/>
    <w:rsid w:val="05045994"/>
    <w:rsid w:val="054162A1"/>
    <w:rsid w:val="054A10ED"/>
    <w:rsid w:val="0553766A"/>
    <w:rsid w:val="055661F0"/>
    <w:rsid w:val="055B3806"/>
    <w:rsid w:val="05775F05"/>
    <w:rsid w:val="058F34B0"/>
    <w:rsid w:val="059C5BCD"/>
    <w:rsid w:val="05A724FA"/>
    <w:rsid w:val="05BE1FE7"/>
    <w:rsid w:val="05E01FBE"/>
    <w:rsid w:val="05F81055"/>
    <w:rsid w:val="0625215F"/>
    <w:rsid w:val="0627463A"/>
    <w:rsid w:val="06436049"/>
    <w:rsid w:val="065F3305"/>
    <w:rsid w:val="066B679D"/>
    <w:rsid w:val="06710572"/>
    <w:rsid w:val="06723038"/>
    <w:rsid w:val="0680104B"/>
    <w:rsid w:val="068E3768"/>
    <w:rsid w:val="06E13FC1"/>
    <w:rsid w:val="07006EEE"/>
    <w:rsid w:val="07201E36"/>
    <w:rsid w:val="07247C28"/>
    <w:rsid w:val="07351E35"/>
    <w:rsid w:val="074B228B"/>
    <w:rsid w:val="074F739B"/>
    <w:rsid w:val="077A1F3E"/>
    <w:rsid w:val="07880A79"/>
    <w:rsid w:val="079318A5"/>
    <w:rsid w:val="079D6A3A"/>
    <w:rsid w:val="07B76CEE"/>
    <w:rsid w:val="07CF228A"/>
    <w:rsid w:val="07D04F12"/>
    <w:rsid w:val="07E86EA8"/>
    <w:rsid w:val="07ED25AB"/>
    <w:rsid w:val="08204893"/>
    <w:rsid w:val="083F44CE"/>
    <w:rsid w:val="085B3B1D"/>
    <w:rsid w:val="086504F8"/>
    <w:rsid w:val="0878647D"/>
    <w:rsid w:val="087B5F6E"/>
    <w:rsid w:val="08A60005"/>
    <w:rsid w:val="08A74FB5"/>
    <w:rsid w:val="08AA0601"/>
    <w:rsid w:val="08D6436C"/>
    <w:rsid w:val="092D3D00"/>
    <w:rsid w:val="093D5A62"/>
    <w:rsid w:val="094D16B8"/>
    <w:rsid w:val="097C4A9B"/>
    <w:rsid w:val="097F728F"/>
    <w:rsid w:val="09811362"/>
    <w:rsid w:val="098A7CA9"/>
    <w:rsid w:val="099C619C"/>
    <w:rsid w:val="099F68B5"/>
    <w:rsid w:val="09AB63DF"/>
    <w:rsid w:val="09E84DC7"/>
    <w:rsid w:val="09EC2210"/>
    <w:rsid w:val="0A1B56BD"/>
    <w:rsid w:val="0A2148F3"/>
    <w:rsid w:val="0A377654"/>
    <w:rsid w:val="0A635A81"/>
    <w:rsid w:val="0A900C82"/>
    <w:rsid w:val="0AA479FE"/>
    <w:rsid w:val="0AB628C0"/>
    <w:rsid w:val="0AC41E4E"/>
    <w:rsid w:val="0AD434AF"/>
    <w:rsid w:val="0AE778EA"/>
    <w:rsid w:val="0AEB5587"/>
    <w:rsid w:val="0B2B3C7B"/>
    <w:rsid w:val="0B552AA6"/>
    <w:rsid w:val="0B626F71"/>
    <w:rsid w:val="0B6E3B68"/>
    <w:rsid w:val="0B9510F4"/>
    <w:rsid w:val="0BB35A1E"/>
    <w:rsid w:val="0BBC2B25"/>
    <w:rsid w:val="0BC639A4"/>
    <w:rsid w:val="0BF12D0A"/>
    <w:rsid w:val="0BFC6504"/>
    <w:rsid w:val="0C0232B7"/>
    <w:rsid w:val="0C085D6A"/>
    <w:rsid w:val="0C1B3CF0"/>
    <w:rsid w:val="0C351540"/>
    <w:rsid w:val="0C542D5E"/>
    <w:rsid w:val="0C6805B7"/>
    <w:rsid w:val="0C7451AE"/>
    <w:rsid w:val="0C8278CB"/>
    <w:rsid w:val="0C837ABF"/>
    <w:rsid w:val="0C995743"/>
    <w:rsid w:val="0C9C64B3"/>
    <w:rsid w:val="0CDA7707"/>
    <w:rsid w:val="0CE02843"/>
    <w:rsid w:val="0CF602B9"/>
    <w:rsid w:val="0D205087"/>
    <w:rsid w:val="0D3A0A5C"/>
    <w:rsid w:val="0D3C2711"/>
    <w:rsid w:val="0D3E00C5"/>
    <w:rsid w:val="0D4234FE"/>
    <w:rsid w:val="0D5E0578"/>
    <w:rsid w:val="0D647E70"/>
    <w:rsid w:val="0D722720"/>
    <w:rsid w:val="0D837D9E"/>
    <w:rsid w:val="0D870F11"/>
    <w:rsid w:val="0D96694A"/>
    <w:rsid w:val="0D985311"/>
    <w:rsid w:val="0DB10079"/>
    <w:rsid w:val="0DD71E98"/>
    <w:rsid w:val="0DD759F4"/>
    <w:rsid w:val="0DE34399"/>
    <w:rsid w:val="0DFA394C"/>
    <w:rsid w:val="0DFC6ECD"/>
    <w:rsid w:val="0DFD5E26"/>
    <w:rsid w:val="0E1409F6"/>
    <w:rsid w:val="0E3C7F4D"/>
    <w:rsid w:val="0E54415D"/>
    <w:rsid w:val="0E6F401F"/>
    <w:rsid w:val="0EAE63CE"/>
    <w:rsid w:val="0EB65F51"/>
    <w:rsid w:val="0EC8358F"/>
    <w:rsid w:val="0ED62150"/>
    <w:rsid w:val="0F000D97"/>
    <w:rsid w:val="0F074CB3"/>
    <w:rsid w:val="0F26604F"/>
    <w:rsid w:val="0F2F5D33"/>
    <w:rsid w:val="0F457312"/>
    <w:rsid w:val="0F4D186A"/>
    <w:rsid w:val="0F692FC4"/>
    <w:rsid w:val="0F81786D"/>
    <w:rsid w:val="0F87573C"/>
    <w:rsid w:val="0F8A0ED0"/>
    <w:rsid w:val="0F9978A9"/>
    <w:rsid w:val="0F9D2C6D"/>
    <w:rsid w:val="0FA1275E"/>
    <w:rsid w:val="0FC03B56"/>
    <w:rsid w:val="0FD06C62"/>
    <w:rsid w:val="10141182"/>
    <w:rsid w:val="10775C30"/>
    <w:rsid w:val="108D3635"/>
    <w:rsid w:val="109E0A4B"/>
    <w:rsid w:val="10A047C3"/>
    <w:rsid w:val="10A2678D"/>
    <w:rsid w:val="10A36C40"/>
    <w:rsid w:val="10A87B1C"/>
    <w:rsid w:val="10AE3823"/>
    <w:rsid w:val="10B67062"/>
    <w:rsid w:val="10DB1C9F"/>
    <w:rsid w:val="10E527AD"/>
    <w:rsid w:val="10EC5C5A"/>
    <w:rsid w:val="10ED6649"/>
    <w:rsid w:val="11000A34"/>
    <w:rsid w:val="11164730"/>
    <w:rsid w:val="112076B2"/>
    <w:rsid w:val="11254CC9"/>
    <w:rsid w:val="11302D63"/>
    <w:rsid w:val="114566DB"/>
    <w:rsid w:val="115D0906"/>
    <w:rsid w:val="11734097"/>
    <w:rsid w:val="118440E5"/>
    <w:rsid w:val="118539B9"/>
    <w:rsid w:val="11895257"/>
    <w:rsid w:val="1191235E"/>
    <w:rsid w:val="119F0F1F"/>
    <w:rsid w:val="11EE01BB"/>
    <w:rsid w:val="11F07E01"/>
    <w:rsid w:val="11F36B75"/>
    <w:rsid w:val="12077DCD"/>
    <w:rsid w:val="12135469"/>
    <w:rsid w:val="12192A7F"/>
    <w:rsid w:val="12684CE3"/>
    <w:rsid w:val="126C34E2"/>
    <w:rsid w:val="126D2DCB"/>
    <w:rsid w:val="12A54D4B"/>
    <w:rsid w:val="12F1618D"/>
    <w:rsid w:val="1303728B"/>
    <w:rsid w:val="13040410"/>
    <w:rsid w:val="1319085D"/>
    <w:rsid w:val="13271BB1"/>
    <w:rsid w:val="13421B62"/>
    <w:rsid w:val="135A1732"/>
    <w:rsid w:val="136B0DD2"/>
    <w:rsid w:val="139B02E1"/>
    <w:rsid w:val="13A22600"/>
    <w:rsid w:val="13AA7707"/>
    <w:rsid w:val="13AD455F"/>
    <w:rsid w:val="13FA68C0"/>
    <w:rsid w:val="13FB0FFE"/>
    <w:rsid w:val="14000A5D"/>
    <w:rsid w:val="141523D7"/>
    <w:rsid w:val="141A2ADF"/>
    <w:rsid w:val="14392DF0"/>
    <w:rsid w:val="14720305"/>
    <w:rsid w:val="14726477"/>
    <w:rsid w:val="147E4E1C"/>
    <w:rsid w:val="148106A0"/>
    <w:rsid w:val="148C1A1F"/>
    <w:rsid w:val="14E3386C"/>
    <w:rsid w:val="14E530ED"/>
    <w:rsid w:val="14E629C1"/>
    <w:rsid w:val="15231C6B"/>
    <w:rsid w:val="152A6D51"/>
    <w:rsid w:val="15325C06"/>
    <w:rsid w:val="15581B10"/>
    <w:rsid w:val="1577604D"/>
    <w:rsid w:val="1589441B"/>
    <w:rsid w:val="15C80A44"/>
    <w:rsid w:val="15D849FF"/>
    <w:rsid w:val="15E2587E"/>
    <w:rsid w:val="1609105D"/>
    <w:rsid w:val="16117F11"/>
    <w:rsid w:val="1612237B"/>
    <w:rsid w:val="16387EDB"/>
    <w:rsid w:val="16465E0D"/>
    <w:rsid w:val="16663DB9"/>
    <w:rsid w:val="16723B5D"/>
    <w:rsid w:val="16832BBD"/>
    <w:rsid w:val="16903E40"/>
    <w:rsid w:val="16920812"/>
    <w:rsid w:val="169F72CB"/>
    <w:rsid w:val="16B94831"/>
    <w:rsid w:val="16BD39C5"/>
    <w:rsid w:val="16CF11D5"/>
    <w:rsid w:val="16DA250D"/>
    <w:rsid w:val="17012B0F"/>
    <w:rsid w:val="17066928"/>
    <w:rsid w:val="170A6E3A"/>
    <w:rsid w:val="1726179A"/>
    <w:rsid w:val="17300940"/>
    <w:rsid w:val="173B61E5"/>
    <w:rsid w:val="173F682D"/>
    <w:rsid w:val="17606A5A"/>
    <w:rsid w:val="179875D4"/>
    <w:rsid w:val="17C261B5"/>
    <w:rsid w:val="17CF5C2D"/>
    <w:rsid w:val="17E01616"/>
    <w:rsid w:val="17EA27C8"/>
    <w:rsid w:val="17F3167D"/>
    <w:rsid w:val="17F90C5D"/>
    <w:rsid w:val="180E64B6"/>
    <w:rsid w:val="18185F24"/>
    <w:rsid w:val="18194E5B"/>
    <w:rsid w:val="181E6800"/>
    <w:rsid w:val="18297794"/>
    <w:rsid w:val="18333BE2"/>
    <w:rsid w:val="1840514B"/>
    <w:rsid w:val="18597B12"/>
    <w:rsid w:val="185F4F64"/>
    <w:rsid w:val="186040DA"/>
    <w:rsid w:val="187814BB"/>
    <w:rsid w:val="18B837CD"/>
    <w:rsid w:val="18F41B50"/>
    <w:rsid w:val="19336F15"/>
    <w:rsid w:val="19502AFF"/>
    <w:rsid w:val="19947BE9"/>
    <w:rsid w:val="1998697F"/>
    <w:rsid w:val="19A370D2"/>
    <w:rsid w:val="19E20B4E"/>
    <w:rsid w:val="19E219A9"/>
    <w:rsid w:val="19EA1D8E"/>
    <w:rsid w:val="19F224B6"/>
    <w:rsid w:val="19F64085"/>
    <w:rsid w:val="1A3D12D5"/>
    <w:rsid w:val="1A5B5BFF"/>
    <w:rsid w:val="1A5D3725"/>
    <w:rsid w:val="1A6D6992"/>
    <w:rsid w:val="1AB33345"/>
    <w:rsid w:val="1AB33F5A"/>
    <w:rsid w:val="1AC268F5"/>
    <w:rsid w:val="1AC85EEC"/>
    <w:rsid w:val="1AD25EC1"/>
    <w:rsid w:val="1AD559B1"/>
    <w:rsid w:val="1ADA2FC8"/>
    <w:rsid w:val="1B124510"/>
    <w:rsid w:val="1B1F4E7E"/>
    <w:rsid w:val="1B23684A"/>
    <w:rsid w:val="1B393319"/>
    <w:rsid w:val="1B610ED2"/>
    <w:rsid w:val="1B744BA6"/>
    <w:rsid w:val="1B852F33"/>
    <w:rsid w:val="1B966EEF"/>
    <w:rsid w:val="1BA06FF1"/>
    <w:rsid w:val="1BA710FC"/>
    <w:rsid w:val="1BEA5226"/>
    <w:rsid w:val="1BFB67FB"/>
    <w:rsid w:val="1C0405DB"/>
    <w:rsid w:val="1C0B1DD9"/>
    <w:rsid w:val="1C0B5304"/>
    <w:rsid w:val="1C192273"/>
    <w:rsid w:val="1C220782"/>
    <w:rsid w:val="1C513BF3"/>
    <w:rsid w:val="1C685EFD"/>
    <w:rsid w:val="1C6F7740"/>
    <w:rsid w:val="1C71170A"/>
    <w:rsid w:val="1C7F7B3D"/>
    <w:rsid w:val="1C844F99"/>
    <w:rsid w:val="1CA121A9"/>
    <w:rsid w:val="1CA4603D"/>
    <w:rsid w:val="1CAC2742"/>
    <w:rsid w:val="1CB17D58"/>
    <w:rsid w:val="1CCA7B6C"/>
    <w:rsid w:val="1CD81789"/>
    <w:rsid w:val="1CDA2E0B"/>
    <w:rsid w:val="1CF80D99"/>
    <w:rsid w:val="1D0460DA"/>
    <w:rsid w:val="1D0B1216"/>
    <w:rsid w:val="1D104A7F"/>
    <w:rsid w:val="1D29155D"/>
    <w:rsid w:val="1D56725D"/>
    <w:rsid w:val="1D715850"/>
    <w:rsid w:val="1D8F1E47"/>
    <w:rsid w:val="1D9E39AF"/>
    <w:rsid w:val="1DCF0496"/>
    <w:rsid w:val="1DE101C9"/>
    <w:rsid w:val="1DFD78A7"/>
    <w:rsid w:val="1E036392"/>
    <w:rsid w:val="1E215788"/>
    <w:rsid w:val="1E2C58E8"/>
    <w:rsid w:val="1E326C77"/>
    <w:rsid w:val="1E6A04DF"/>
    <w:rsid w:val="1E766B63"/>
    <w:rsid w:val="1E7A2AF8"/>
    <w:rsid w:val="1E9B481C"/>
    <w:rsid w:val="1EA2204E"/>
    <w:rsid w:val="1EA90CE7"/>
    <w:rsid w:val="1EB458DE"/>
    <w:rsid w:val="1EB54915"/>
    <w:rsid w:val="1EBB0A1A"/>
    <w:rsid w:val="1ED15256"/>
    <w:rsid w:val="1EE737B5"/>
    <w:rsid w:val="1EE95587"/>
    <w:rsid w:val="1EF04B68"/>
    <w:rsid w:val="1EFF124F"/>
    <w:rsid w:val="1F1220B1"/>
    <w:rsid w:val="1F190A0F"/>
    <w:rsid w:val="1F1A3993"/>
    <w:rsid w:val="1F3915A1"/>
    <w:rsid w:val="1F457E33"/>
    <w:rsid w:val="1F4B1632"/>
    <w:rsid w:val="1F6410B2"/>
    <w:rsid w:val="1F9B42EE"/>
    <w:rsid w:val="1FB23172"/>
    <w:rsid w:val="1FD75D28"/>
    <w:rsid w:val="1FDC3878"/>
    <w:rsid w:val="1FEA7809"/>
    <w:rsid w:val="200D34F7"/>
    <w:rsid w:val="200F7270"/>
    <w:rsid w:val="20146634"/>
    <w:rsid w:val="202C3D0E"/>
    <w:rsid w:val="202D2CEA"/>
    <w:rsid w:val="203521F9"/>
    <w:rsid w:val="203B5E14"/>
    <w:rsid w:val="204518FD"/>
    <w:rsid w:val="204C2272"/>
    <w:rsid w:val="20831BA0"/>
    <w:rsid w:val="209D2ACD"/>
    <w:rsid w:val="20A25B7C"/>
    <w:rsid w:val="20B00A53"/>
    <w:rsid w:val="20B572EE"/>
    <w:rsid w:val="20B74594"/>
    <w:rsid w:val="20D64231"/>
    <w:rsid w:val="20EF09AB"/>
    <w:rsid w:val="20F471C3"/>
    <w:rsid w:val="20F87D04"/>
    <w:rsid w:val="212C4273"/>
    <w:rsid w:val="2136082C"/>
    <w:rsid w:val="213C1752"/>
    <w:rsid w:val="2140044F"/>
    <w:rsid w:val="215306CC"/>
    <w:rsid w:val="2164183D"/>
    <w:rsid w:val="21645399"/>
    <w:rsid w:val="217905F9"/>
    <w:rsid w:val="218B501C"/>
    <w:rsid w:val="218E7F84"/>
    <w:rsid w:val="21D342CD"/>
    <w:rsid w:val="21F93D33"/>
    <w:rsid w:val="2212736A"/>
    <w:rsid w:val="22230F15"/>
    <w:rsid w:val="22C709EE"/>
    <w:rsid w:val="22DF4CEF"/>
    <w:rsid w:val="22EA18E2"/>
    <w:rsid w:val="22EC3898"/>
    <w:rsid w:val="22FD7853"/>
    <w:rsid w:val="233A2E2B"/>
    <w:rsid w:val="233D2346"/>
    <w:rsid w:val="23460DA5"/>
    <w:rsid w:val="23503E27"/>
    <w:rsid w:val="23704E91"/>
    <w:rsid w:val="23715136"/>
    <w:rsid w:val="23CE11F0"/>
    <w:rsid w:val="23E9602A"/>
    <w:rsid w:val="23EC412D"/>
    <w:rsid w:val="24044C11"/>
    <w:rsid w:val="2408639B"/>
    <w:rsid w:val="24127B08"/>
    <w:rsid w:val="241C01AD"/>
    <w:rsid w:val="243C25FD"/>
    <w:rsid w:val="245C4A4D"/>
    <w:rsid w:val="245C61AD"/>
    <w:rsid w:val="245E2574"/>
    <w:rsid w:val="246A63CE"/>
    <w:rsid w:val="24741D97"/>
    <w:rsid w:val="247E3B4F"/>
    <w:rsid w:val="24B86128"/>
    <w:rsid w:val="24C42CDC"/>
    <w:rsid w:val="24C83E91"/>
    <w:rsid w:val="24EF58C2"/>
    <w:rsid w:val="25006BE0"/>
    <w:rsid w:val="25010B70"/>
    <w:rsid w:val="250273A3"/>
    <w:rsid w:val="25206D5C"/>
    <w:rsid w:val="252653E4"/>
    <w:rsid w:val="252F1AE8"/>
    <w:rsid w:val="2530657B"/>
    <w:rsid w:val="254554E2"/>
    <w:rsid w:val="255D6CCF"/>
    <w:rsid w:val="256E7AF5"/>
    <w:rsid w:val="256F64AA"/>
    <w:rsid w:val="25710085"/>
    <w:rsid w:val="25913CB5"/>
    <w:rsid w:val="25B508B9"/>
    <w:rsid w:val="25C40AFC"/>
    <w:rsid w:val="25EC3BAF"/>
    <w:rsid w:val="261B741D"/>
    <w:rsid w:val="2632015F"/>
    <w:rsid w:val="263E08AF"/>
    <w:rsid w:val="264048FF"/>
    <w:rsid w:val="2674607E"/>
    <w:rsid w:val="26A45888"/>
    <w:rsid w:val="26B21FC7"/>
    <w:rsid w:val="26B61130"/>
    <w:rsid w:val="26B97F35"/>
    <w:rsid w:val="26BA372B"/>
    <w:rsid w:val="26D23E92"/>
    <w:rsid w:val="26EA27E4"/>
    <w:rsid w:val="26F1147D"/>
    <w:rsid w:val="271E423C"/>
    <w:rsid w:val="27226E42"/>
    <w:rsid w:val="272B3C40"/>
    <w:rsid w:val="27390EE2"/>
    <w:rsid w:val="275163C0"/>
    <w:rsid w:val="276E51C4"/>
    <w:rsid w:val="27737C28"/>
    <w:rsid w:val="27741BE7"/>
    <w:rsid w:val="27826579"/>
    <w:rsid w:val="27921D1A"/>
    <w:rsid w:val="279369D8"/>
    <w:rsid w:val="27CC3C98"/>
    <w:rsid w:val="27E6053F"/>
    <w:rsid w:val="27ED463A"/>
    <w:rsid w:val="281B7617"/>
    <w:rsid w:val="282442EB"/>
    <w:rsid w:val="282910EA"/>
    <w:rsid w:val="283261F1"/>
    <w:rsid w:val="284B2E0F"/>
    <w:rsid w:val="285C6DCA"/>
    <w:rsid w:val="285E6FE6"/>
    <w:rsid w:val="286B34B1"/>
    <w:rsid w:val="287E4F92"/>
    <w:rsid w:val="2895052E"/>
    <w:rsid w:val="28A25715"/>
    <w:rsid w:val="28AD5F45"/>
    <w:rsid w:val="28BE7E3F"/>
    <w:rsid w:val="28C97D13"/>
    <w:rsid w:val="28CB466F"/>
    <w:rsid w:val="28DB23E5"/>
    <w:rsid w:val="28E240EE"/>
    <w:rsid w:val="28FC6193"/>
    <w:rsid w:val="29150512"/>
    <w:rsid w:val="29162B53"/>
    <w:rsid w:val="293715E5"/>
    <w:rsid w:val="293935AF"/>
    <w:rsid w:val="294A30C6"/>
    <w:rsid w:val="294D01D8"/>
    <w:rsid w:val="29562B0D"/>
    <w:rsid w:val="29600B3C"/>
    <w:rsid w:val="29780591"/>
    <w:rsid w:val="29C63095"/>
    <w:rsid w:val="29CC61D1"/>
    <w:rsid w:val="29CF7236"/>
    <w:rsid w:val="29E42FD7"/>
    <w:rsid w:val="29E4351B"/>
    <w:rsid w:val="2A1F09F7"/>
    <w:rsid w:val="2A500BB0"/>
    <w:rsid w:val="2A720B27"/>
    <w:rsid w:val="2A7A5C2D"/>
    <w:rsid w:val="2A7E3970"/>
    <w:rsid w:val="2A9767DF"/>
    <w:rsid w:val="2AB949A8"/>
    <w:rsid w:val="2AD25A69"/>
    <w:rsid w:val="2AE211B2"/>
    <w:rsid w:val="2AFE060C"/>
    <w:rsid w:val="2B08553F"/>
    <w:rsid w:val="2B234D57"/>
    <w:rsid w:val="2B2D4A4E"/>
    <w:rsid w:val="2B3C2EE3"/>
    <w:rsid w:val="2B547157"/>
    <w:rsid w:val="2B6C361B"/>
    <w:rsid w:val="2B797C93"/>
    <w:rsid w:val="2B9E5DFB"/>
    <w:rsid w:val="2BAF1907"/>
    <w:rsid w:val="2BB1567F"/>
    <w:rsid w:val="2BBF1CC8"/>
    <w:rsid w:val="2BC8594C"/>
    <w:rsid w:val="2BFA7026"/>
    <w:rsid w:val="2C1B0D4A"/>
    <w:rsid w:val="2C3E381E"/>
    <w:rsid w:val="2C505A98"/>
    <w:rsid w:val="2C5524AE"/>
    <w:rsid w:val="2C5E22AD"/>
    <w:rsid w:val="2C773665"/>
    <w:rsid w:val="2C786D4B"/>
    <w:rsid w:val="2C8E4AC0"/>
    <w:rsid w:val="2CA12E45"/>
    <w:rsid w:val="2CAE7E10"/>
    <w:rsid w:val="2CCB6EE8"/>
    <w:rsid w:val="2CCC0573"/>
    <w:rsid w:val="2D0970FF"/>
    <w:rsid w:val="2D230A1F"/>
    <w:rsid w:val="2D393B7E"/>
    <w:rsid w:val="2D51508F"/>
    <w:rsid w:val="2D630BFB"/>
    <w:rsid w:val="2D6E2C02"/>
    <w:rsid w:val="2D7828F8"/>
    <w:rsid w:val="2D796365"/>
    <w:rsid w:val="2D9B0395"/>
    <w:rsid w:val="2DAF7F24"/>
    <w:rsid w:val="2DD02CED"/>
    <w:rsid w:val="2DDD6BFF"/>
    <w:rsid w:val="2DDF5A78"/>
    <w:rsid w:val="2DE16FF1"/>
    <w:rsid w:val="2E8B0D06"/>
    <w:rsid w:val="2E9644B6"/>
    <w:rsid w:val="2EAD4823"/>
    <w:rsid w:val="2EBA6EE4"/>
    <w:rsid w:val="2ECC1F08"/>
    <w:rsid w:val="2ED072A1"/>
    <w:rsid w:val="2EE1627B"/>
    <w:rsid w:val="2EE171F3"/>
    <w:rsid w:val="2F1228D8"/>
    <w:rsid w:val="2F2F55AF"/>
    <w:rsid w:val="2F625B19"/>
    <w:rsid w:val="2F666780"/>
    <w:rsid w:val="2F6A6270"/>
    <w:rsid w:val="2F81123C"/>
    <w:rsid w:val="2F89718F"/>
    <w:rsid w:val="2F8F3300"/>
    <w:rsid w:val="2FA03AA3"/>
    <w:rsid w:val="2FA379D4"/>
    <w:rsid w:val="2FC11EBF"/>
    <w:rsid w:val="2FC511AE"/>
    <w:rsid w:val="2FF81704"/>
    <w:rsid w:val="30055F99"/>
    <w:rsid w:val="300D4E4E"/>
    <w:rsid w:val="30231E4B"/>
    <w:rsid w:val="304C1E1A"/>
    <w:rsid w:val="307001AC"/>
    <w:rsid w:val="30B5084B"/>
    <w:rsid w:val="30C776F3"/>
    <w:rsid w:val="30C84C73"/>
    <w:rsid w:val="30E94F90"/>
    <w:rsid w:val="30EB1AA8"/>
    <w:rsid w:val="31085D41"/>
    <w:rsid w:val="311839B2"/>
    <w:rsid w:val="311C359A"/>
    <w:rsid w:val="31244B45"/>
    <w:rsid w:val="31256864"/>
    <w:rsid w:val="31532902"/>
    <w:rsid w:val="317A4765"/>
    <w:rsid w:val="31814B3F"/>
    <w:rsid w:val="31876ED9"/>
    <w:rsid w:val="318B0141"/>
    <w:rsid w:val="318E3ACA"/>
    <w:rsid w:val="319B575E"/>
    <w:rsid w:val="31A46759"/>
    <w:rsid w:val="31AC56EC"/>
    <w:rsid w:val="31D04385"/>
    <w:rsid w:val="31D55000"/>
    <w:rsid w:val="31E83DC4"/>
    <w:rsid w:val="320132D2"/>
    <w:rsid w:val="32186458"/>
    <w:rsid w:val="321E0CBD"/>
    <w:rsid w:val="322340A0"/>
    <w:rsid w:val="325E7BE3"/>
    <w:rsid w:val="327C2DF9"/>
    <w:rsid w:val="32807B59"/>
    <w:rsid w:val="328529C5"/>
    <w:rsid w:val="32C43EEA"/>
    <w:rsid w:val="32DD3477"/>
    <w:rsid w:val="33151D73"/>
    <w:rsid w:val="334212B2"/>
    <w:rsid w:val="335415F3"/>
    <w:rsid w:val="33576B0C"/>
    <w:rsid w:val="3358526F"/>
    <w:rsid w:val="335A484E"/>
    <w:rsid w:val="335C2374"/>
    <w:rsid w:val="3394151E"/>
    <w:rsid w:val="339D7865"/>
    <w:rsid w:val="33A23991"/>
    <w:rsid w:val="33B6494D"/>
    <w:rsid w:val="33B95A18"/>
    <w:rsid w:val="33C52115"/>
    <w:rsid w:val="33FE342B"/>
    <w:rsid w:val="340636D0"/>
    <w:rsid w:val="343E5F1E"/>
    <w:rsid w:val="344A47F3"/>
    <w:rsid w:val="34687E1F"/>
    <w:rsid w:val="346F5862"/>
    <w:rsid w:val="34713BFD"/>
    <w:rsid w:val="34727975"/>
    <w:rsid w:val="34763909"/>
    <w:rsid w:val="347A0EF4"/>
    <w:rsid w:val="348E47AF"/>
    <w:rsid w:val="34BA1682"/>
    <w:rsid w:val="34D128EE"/>
    <w:rsid w:val="34FA3BF3"/>
    <w:rsid w:val="34FC3E0F"/>
    <w:rsid w:val="350B5E00"/>
    <w:rsid w:val="35170C48"/>
    <w:rsid w:val="35615D61"/>
    <w:rsid w:val="35663BF3"/>
    <w:rsid w:val="356B4AF0"/>
    <w:rsid w:val="357A2C41"/>
    <w:rsid w:val="357A2FAC"/>
    <w:rsid w:val="35951B6D"/>
    <w:rsid w:val="35B244CD"/>
    <w:rsid w:val="35C10BB4"/>
    <w:rsid w:val="36186C7D"/>
    <w:rsid w:val="36463828"/>
    <w:rsid w:val="366C4FC4"/>
    <w:rsid w:val="366D1EBE"/>
    <w:rsid w:val="368645BD"/>
    <w:rsid w:val="369E4A52"/>
    <w:rsid w:val="36C06A28"/>
    <w:rsid w:val="36C17682"/>
    <w:rsid w:val="36D13079"/>
    <w:rsid w:val="36DD37CC"/>
    <w:rsid w:val="36E763F9"/>
    <w:rsid w:val="36F079A3"/>
    <w:rsid w:val="37024FE0"/>
    <w:rsid w:val="37104E51"/>
    <w:rsid w:val="37377380"/>
    <w:rsid w:val="3751103F"/>
    <w:rsid w:val="37517D16"/>
    <w:rsid w:val="37710FF7"/>
    <w:rsid w:val="377F4883"/>
    <w:rsid w:val="37A8202C"/>
    <w:rsid w:val="37AB5678"/>
    <w:rsid w:val="37B006FF"/>
    <w:rsid w:val="37B73A83"/>
    <w:rsid w:val="37C7684F"/>
    <w:rsid w:val="37CB5D1A"/>
    <w:rsid w:val="37FE7E9E"/>
    <w:rsid w:val="38033706"/>
    <w:rsid w:val="380A4A95"/>
    <w:rsid w:val="381274A5"/>
    <w:rsid w:val="38143BC6"/>
    <w:rsid w:val="38284F1B"/>
    <w:rsid w:val="384F4255"/>
    <w:rsid w:val="38514471"/>
    <w:rsid w:val="385E2E31"/>
    <w:rsid w:val="3861453E"/>
    <w:rsid w:val="38B247E4"/>
    <w:rsid w:val="38C42E95"/>
    <w:rsid w:val="38C430B9"/>
    <w:rsid w:val="38E17EBE"/>
    <w:rsid w:val="390F4678"/>
    <w:rsid w:val="391C5DFD"/>
    <w:rsid w:val="391D25A6"/>
    <w:rsid w:val="392263C1"/>
    <w:rsid w:val="392C12C7"/>
    <w:rsid w:val="39620324"/>
    <w:rsid w:val="39627FB8"/>
    <w:rsid w:val="39CF34AC"/>
    <w:rsid w:val="39DA1F3E"/>
    <w:rsid w:val="39EA1715"/>
    <w:rsid w:val="39F6244C"/>
    <w:rsid w:val="3A0A0D7C"/>
    <w:rsid w:val="3A0B68A2"/>
    <w:rsid w:val="3A0D7D81"/>
    <w:rsid w:val="3A173CF6"/>
    <w:rsid w:val="3A1B6B6A"/>
    <w:rsid w:val="3A1F1FC2"/>
    <w:rsid w:val="3A3C2EFF"/>
    <w:rsid w:val="3A4678DA"/>
    <w:rsid w:val="3A850B77"/>
    <w:rsid w:val="3A891563"/>
    <w:rsid w:val="3A8D72B7"/>
    <w:rsid w:val="3A9F57C7"/>
    <w:rsid w:val="3AA0348E"/>
    <w:rsid w:val="3AD153F6"/>
    <w:rsid w:val="3AF410E4"/>
    <w:rsid w:val="3B091033"/>
    <w:rsid w:val="3B471B5C"/>
    <w:rsid w:val="3B5E2A01"/>
    <w:rsid w:val="3B6C15C2"/>
    <w:rsid w:val="3B800CEA"/>
    <w:rsid w:val="3B866501"/>
    <w:rsid w:val="3B876833"/>
    <w:rsid w:val="3B9876ED"/>
    <w:rsid w:val="3B9B657D"/>
    <w:rsid w:val="3BA2146D"/>
    <w:rsid w:val="3BC511F5"/>
    <w:rsid w:val="3BDD7DCA"/>
    <w:rsid w:val="3BE52761"/>
    <w:rsid w:val="3BF33A92"/>
    <w:rsid w:val="3BF5780A"/>
    <w:rsid w:val="3C095063"/>
    <w:rsid w:val="3C1771A5"/>
    <w:rsid w:val="3C187054"/>
    <w:rsid w:val="3C2D2B00"/>
    <w:rsid w:val="3C5A766D"/>
    <w:rsid w:val="3C616C4D"/>
    <w:rsid w:val="3C83359F"/>
    <w:rsid w:val="3C905550"/>
    <w:rsid w:val="3C9546D4"/>
    <w:rsid w:val="3CB274A9"/>
    <w:rsid w:val="3CB66A4B"/>
    <w:rsid w:val="3CF8135F"/>
    <w:rsid w:val="3D232155"/>
    <w:rsid w:val="3D2C1009"/>
    <w:rsid w:val="3D31466F"/>
    <w:rsid w:val="3D3305EA"/>
    <w:rsid w:val="3D346110"/>
    <w:rsid w:val="3D386C14"/>
    <w:rsid w:val="3D3D324E"/>
    <w:rsid w:val="3D496151"/>
    <w:rsid w:val="3D7D3B8B"/>
    <w:rsid w:val="3D891FB8"/>
    <w:rsid w:val="3D934BE4"/>
    <w:rsid w:val="3D9F0E00"/>
    <w:rsid w:val="3DBA0E43"/>
    <w:rsid w:val="3DBD6105"/>
    <w:rsid w:val="3DC254CA"/>
    <w:rsid w:val="3DFA159F"/>
    <w:rsid w:val="3E1321C9"/>
    <w:rsid w:val="3E2B0235"/>
    <w:rsid w:val="3E3F1DCB"/>
    <w:rsid w:val="3E4D7F53"/>
    <w:rsid w:val="3E4F6CB0"/>
    <w:rsid w:val="3E5661DC"/>
    <w:rsid w:val="3E7F1095"/>
    <w:rsid w:val="3E8135D7"/>
    <w:rsid w:val="3E8804C1"/>
    <w:rsid w:val="3EC040FF"/>
    <w:rsid w:val="3EED6576"/>
    <w:rsid w:val="3EF1250A"/>
    <w:rsid w:val="3EF913BF"/>
    <w:rsid w:val="3F01705D"/>
    <w:rsid w:val="3F454604"/>
    <w:rsid w:val="3F760C61"/>
    <w:rsid w:val="3F9B4224"/>
    <w:rsid w:val="3FC30892"/>
    <w:rsid w:val="3FF027C2"/>
    <w:rsid w:val="3FFC3119"/>
    <w:rsid w:val="40073668"/>
    <w:rsid w:val="40186F82"/>
    <w:rsid w:val="40251013"/>
    <w:rsid w:val="40354679"/>
    <w:rsid w:val="404926E7"/>
    <w:rsid w:val="40520D87"/>
    <w:rsid w:val="406D3E12"/>
    <w:rsid w:val="40736F4F"/>
    <w:rsid w:val="407C5E04"/>
    <w:rsid w:val="40837F8E"/>
    <w:rsid w:val="40AF442B"/>
    <w:rsid w:val="40B03CFF"/>
    <w:rsid w:val="40C63523"/>
    <w:rsid w:val="40CC6EA9"/>
    <w:rsid w:val="40E57E4D"/>
    <w:rsid w:val="40FC0095"/>
    <w:rsid w:val="41001A84"/>
    <w:rsid w:val="41237C55"/>
    <w:rsid w:val="41392EB5"/>
    <w:rsid w:val="41432DC5"/>
    <w:rsid w:val="414A54C6"/>
    <w:rsid w:val="415D3E87"/>
    <w:rsid w:val="416B7C26"/>
    <w:rsid w:val="41A35612"/>
    <w:rsid w:val="41C51A2C"/>
    <w:rsid w:val="41D57EC1"/>
    <w:rsid w:val="41DF2AEE"/>
    <w:rsid w:val="41E81277"/>
    <w:rsid w:val="41F06ACC"/>
    <w:rsid w:val="41F61BE6"/>
    <w:rsid w:val="420355D7"/>
    <w:rsid w:val="420C6BD5"/>
    <w:rsid w:val="42317370"/>
    <w:rsid w:val="42383FAC"/>
    <w:rsid w:val="42417305"/>
    <w:rsid w:val="42584ECD"/>
    <w:rsid w:val="42752978"/>
    <w:rsid w:val="42B60EF1"/>
    <w:rsid w:val="42E142C5"/>
    <w:rsid w:val="42E14644"/>
    <w:rsid w:val="42F223AD"/>
    <w:rsid w:val="430976F7"/>
    <w:rsid w:val="430E67C6"/>
    <w:rsid w:val="434774ED"/>
    <w:rsid w:val="438E6243"/>
    <w:rsid w:val="43E67FB8"/>
    <w:rsid w:val="440D7917"/>
    <w:rsid w:val="441D16AC"/>
    <w:rsid w:val="44366F3F"/>
    <w:rsid w:val="443773EC"/>
    <w:rsid w:val="445C6678"/>
    <w:rsid w:val="44623562"/>
    <w:rsid w:val="446A4140"/>
    <w:rsid w:val="44724D62"/>
    <w:rsid w:val="44780FD8"/>
    <w:rsid w:val="447D214A"/>
    <w:rsid w:val="44962692"/>
    <w:rsid w:val="44E64193"/>
    <w:rsid w:val="44EB3558"/>
    <w:rsid w:val="4504461A"/>
    <w:rsid w:val="45076368"/>
    <w:rsid w:val="451C2002"/>
    <w:rsid w:val="45310096"/>
    <w:rsid w:val="453C2005"/>
    <w:rsid w:val="45442C68"/>
    <w:rsid w:val="454B049A"/>
    <w:rsid w:val="45561319"/>
    <w:rsid w:val="456A7A73"/>
    <w:rsid w:val="45726E6D"/>
    <w:rsid w:val="45A04FBE"/>
    <w:rsid w:val="45A746A1"/>
    <w:rsid w:val="45CF5BA4"/>
    <w:rsid w:val="45D60A2D"/>
    <w:rsid w:val="45E82A98"/>
    <w:rsid w:val="46205483"/>
    <w:rsid w:val="46206B1E"/>
    <w:rsid w:val="463B22BD"/>
    <w:rsid w:val="46422049"/>
    <w:rsid w:val="46805690"/>
    <w:rsid w:val="468735CF"/>
    <w:rsid w:val="469320F9"/>
    <w:rsid w:val="46B13902"/>
    <w:rsid w:val="46B75DE7"/>
    <w:rsid w:val="46CE72BE"/>
    <w:rsid w:val="46D36999"/>
    <w:rsid w:val="46EE65E1"/>
    <w:rsid w:val="46EF62C9"/>
    <w:rsid w:val="46F801AE"/>
    <w:rsid w:val="473C6B52"/>
    <w:rsid w:val="474D1906"/>
    <w:rsid w:val="476475F1"/>
    <w:rsid w:val="478A52AA"/>
    <w:rsid w:val="479954ED"/>
    <w:rsid w:val="479A3013"/>
    <w:rsid w:val="479B1BCB"/>
    <w:rsid w:val="47A345BE"/>
    <w:rsid w:val="47D06A35"/>
    <w:rsid w:val="47E21344"/>
    <w:rsid w:val="47E73A73"/>
    <w:rsid w:val="47ED5797"/>
    <w:rsid w:val="482252DB"/>
    <w:rsid w:val="482374AD"/>
    <w:rsid w:val="48435459"/>
    <w:rsid w:val="487321E2"/>
    <w:rsid w:val="488251BB"/>
    <w:rsid w:val="48934632"/>
    <w:rsid w:val="48B06F92"/>
    <w:rsid w:val="48BB76E5"/>
    <w:rsid w:val="48C52312"/>
    <w:rsid w:val="48D11FAA"/>
    <w:rsid w:val="48EF7956"/>
    <w:rsid w:val="48F75C9D"/>
    <w:rsid w:val="48F76E74"/>
    <w:rsid w:val="48FB7FC1"/>
    <w:rsid w:val="48FD385A"/>
    <w:rsid w:val="49003852"/>
    <w:rsid w:val="491E5F13"/>
    <w:rsid w:val="49301E81"/>
    <w:rsid w:val="4950607F"/>
    <w:rsid w:val="496F0BFB"/>
    <w:rsid w:val="49804BB7"/>
    <w:rsid w:val="49887640"/>
    <w:rsid w:val="49A95790"/>
    <w:rsid w:val="49C600F0"/>
    <w:rsid w:val="49D1656A"/>
    <w:rsid w:val="49D96075"/>
    <w:rsid w:val="49EB5DA8"/>
    <w:rsid w:val="4A0E2C84"/>
    <w:rsid w:val="4A346E6B"/>
    <w:rsid w:val="4A362FC4"/>
    <w:rsid w:val="4A617E1F"/>
    <w:rsid w:val="4A7F4284"/>
    <w:rsid w:val="4A842484"/>
    <w:rsid w:val="4A8A736F"/>
    <w:rsid w:val="4AA2290B"/>
    <w:rsid w:val="4AC60D1E"/>
    <w:rsid w:val="4AD169F7"/>
    <w:rsid w:val="4B0C61BF"/>
    <w:rsid w:val="4B170A42"/>
    <w:rsid w:val="4B307F16"/>
    <w:rsid w:val="4B3F0128"/>
    <w:rsid w:val="4B533C05"/>
    <w:rsid w:val="4B624B77"/>
    <w:rsid w:val="4B6422B6"/>
    <w:rsid w:val="4B690828"/>
    <w:rsid w:val="4BA321F9"/>
    <w:rsid w:val="4BD25472"/>
    <w:rsid w:val="4BEC277D"/>
    <w:rsid w:val="4BF278C2"/>
    <w:rsid w:val="4BF41002"/>
    <w:rsid w:val="4BF54CBC"/>
    <w:rsid w:val="4BFC604B"/>
    <w:rsid w:val="4BFC7130"/>
    <w:rsid w:val="4C0B3619"/>
    <w:rsid w:val="4C0F2222"/>
    <w:rsid w:val="4C2F01CE"/>
    <w:rsid w:val="4C2F4672"/>
    <w:rsid w:val="4C337802"/>
    <w:rsid w:val="4C392DFB"/>
    <w:rsid w:val="4C4A14AC"/>
    <w:rsid w:val="4C4B035F"/>
    <w:rsid w:val="4C667968"/>
    <w:rsid w:val="4C6D0CF6"/>
    <w:rsid w:val="4C6E4996"/>
    <w:rsid w:val="4C7B53E2"/>
    <w:rsid w:val="4C813F34"/>
    <w:rsid w:val="4C8F5111"/>
    <w:rsid w:val="4CAC5CC3"/>
    <w:rsid w:val="4CC11193"/>
    <w:rsid w:val="4CC53937"/>
    <w:rsid w:val="4CE865CF"/>
    <w:rsid w:val="4D17147D"/>
    <w:rsid w:val="4D1A2C2C"/>
    <w:rsid w:val="4D1D0B56"/>
    <w:rsid w:val="4D387556"/>
    <w:rsid w:val="4D3C3F24"/>
    <w:rsid w:val="4D502AF2"/>
    <w:rsid w:val="4D693BB4"/>
    <w:rsid w:val="4D7865E5"/>
    <w:rsid w:val="4D821820"/>
    <w:rsid w:val="4DA809E0"/>
    <w:rsid w:val="4DBD2832"/>
    <w:rsid w:val="4DC4528E"/>
    <w:rsid w:val="4DDA23BB"/>
    <w:rsid w:val="4DE374C2"/>
    <w:rsid w:val="4E1A6DCB"/>
    <w:rsid w:val="4E2B2C17"/>
    <w:rsid w:val="4E306CE9"/>
    <w:rsid w:val="4E375A60"/>
    <w:rsid w:val="4E44497B"/>
    <w:rsid w:val="4E555EE6"/>
    <w:rsid w:val="4E56172D"/>
    <w:rsid w:val="4EA03605"/>
    <w:rsid w:val="4EB23B13"/>
    <w:rsid w:val="4ED908C5"/>
    <w:rsid w:val="4EDE7238"/>
    <w:rsid w:val="4EE375AA"/>
    <w:rsid w:val="4EF703CD"/>
    <w:rsid w:val="4F197954"/>
    <w:rsid w:val="4F1C79D3"/>
    <w:rsid w:val="4F2159BA"/>
    <w:rsid w:val="4F3E7FC5"/>
    <w:rsid w:val="4F3F2E1E"/>
    <w:rsid w:val="4F4D69E7"/>
    <w:rsid w:val="4F6D1902"/>
    <w:rsid w:val="4F861561"/>
    <w:rsid w:val="4F9A0054"/>
    <w:rsid w:val="4FA47125"/>
    <w:rsid w:val="4FB76E58"/>
    <w:rsid w:val="4FBA06F6"/>
    <w:rsid w:val="4FC84DAC"/>
    <w:rsid w:val="4FCC21D8"/>
    <w:rsid w:val="4FE65048"/>
    <w:rsid w:val="5004465E"/>
    <w:rsid w:val="501439CE"/>
    <w:rsid w:val="502C325A"/>
    <w:rsid w:val="505428F9"/>
    <w:rsid w:val="506B19F1"/>
    <w:rsid w:val="50974594"/>
    <w:rsid w:val="50B047BD"/>
    <w:rsid w:val="50CC5E28"/>
    <w:rsid w:val="50D945BC"/>
    <w:rsid w:val="50E848F4"/>
    <w:rsid w:val="50EB451E"/>
    <w:rsid w:val="50FE2865"/>
    <w:rsid w:val="510E3710"/>
    <w:rsid w:val="5113044C"/>
    <w:rsid w:val="514C35D0"/>
    <w:rsid w:val="51583D23"/>
    <w:rsid w:val="515D3978"/>
    <w:rsid w:val="517B5C63"/>
    <w:rsid w:val="51B11685"/>
    <w:rsid w:val="51BC18D5"/>
    <w:rsid w:val="51BE40D2"/>
    <w:rsid w:val="51C8534D"/>
    <w:rsid w:val="51CA3B38"/>
    <w:rsid w:val="51DF2696"/>
    <w:rsid w:val="51ED6B61"/>
    <w:rsid w:val="52224331"/>
    <w:rsid w:val="52285DEB"/>
    <w:rsid w:val="523A167B"/>
    <w:rsid w:val="524904CB"/>
    <w:rsid w:val="524F15CA"/>
    <w:rsid w:val="52900D39"/>
    <w:rsid w:val="52A01B73"/>
    <w:rsid w:val="52B458D1"/>
    <w:rsid w:val="52B96A43"/>
    <w:rsid w:val="52CE1164"/>
    <w:rsid w:val="52D47D21"/>
    <w:rsid w:val="52EA4E4F"/>
    <w:rsid w:val="52F6543D"/>
    <w:rsid w:val="53043E75"/>
    <w:rsid w:val="5309315F"/>
    <w:rsid w:val="536C7F5A"/>
    <w:rsid w:val="53755060"/>
    <w:rsid w:val="53CD616B"/>
    <w:rsid w:val="53E73A84"/>
    <w:rsid w:val="53EB5322"/>
    <w:rsid w:val="53FB308C"/>
    <w:rsid w:val="53FF2B7C"/>
    <w:rsid w:val="540B1521"/>
    <w:rsid w:val="540E52BD"/>
    <w:rsid w:val="54136A80"/>
    <w:rsid w:val="54335B48"/>
    <w:rsid w:val="543E29C0"/>
    <w:rsid w:val="54420CBA"/>
    <w:rsid w:val="54446715"/>
    <w:rsid w:val="545F36D5"/>
    <w:rsid w:val="547A7A25"/>
    <w:rsid w:val="54857525"/>
    <w:rsid w:val="54874B3C"/>
    <w:rsid w:val="54B43966"/>
    <w:rsid w:val="54B43AF1"/>
    <w:rsid w:val="54C16083"/>
    <w:rsid w:val="54C91C49"/>
    <w:rsid w:val="54CC63AB"/>
    <w:rsid w:val="54ED0C26"/>
    <w:rsid w:val="54EF18BD"/>
    <w:rsid w:val="55137FA3"/>
    <w:rsid w:val="553E3D8D"/>
    <w:rsid w:val="554051FA"/>
    <w:rsid w:val="55627866"/>
    <w:rsid w:val="55654C60"/>
    <w:rsid w:val="558275C0"/>
    <w:rsid w:val="559328F9"/>
    <w:rsid w:val="55C673C3"/>
    <w:rsid w:val="55D14D0F"/>
    <w:rsid w:val="55D87B28"/>
    <w:rsid w:val="55D93ED6"/>
    <w:rsid w:val="560721BC"/>
    <w:rsid w:val="561072C2"/>
    <w:rsid w:val="5613290E"/>
    <w:rsid w:val="56361982"/>
    <w:rsid w:val="563665FD"/>
    <w:rsid w:val="56372FC1"/>
    <w:rsid w:val="56384123"/>
    <w:rsid w:val="56411322"/>
    <w:rsid w:val="56665134"/>
    <w:rsid w:val="56666EE2"/>
    <w:rsid w:val="56717635"/>
    <w:rsid w:val="567C6706"/>
    <w:rsid w:val="568B3962"/>
    <w:rsid w:val="569E667C"/>
    <w:rsid w:val="57031024"/>
    <w:rsid w:val="571662A5"/>
    <w:rsid w:val="572D281B"/>
    <w:rsid w:val="57482A8C"/>
    <w:rsid w:val="575431DF"/>
    <w:rsid w:val="575B253A"/>
    <w:rsid w:val="57614EE2"/>
    <w:rsid w:val="57724E26"/>
    <w:rsid w:val="57883530"/>
    <w:rsid w:val="579E765B"/>
    <w:rsid w:val="57AC301B"/>
    <w:rsid w:val="57B51D71"/>
    <w:rsid w:val="57B56BC1"/>
    <w:rsid w:val="57BC2B32"/>
    <w:rsid w:val="57C00B06"/>
    <w:rsid w:val="57DC1A6B"/>
    <w:rsid w:val="57E75CAA"/>
    <w:rsid w:val="582F7ABC"/>
    <w:rsid w:val="58456149"/>
    <w:rsid w:val="587D4B4C"/>
    <w:rsid w:val="587F428B"/>
    <w:rsid w:val="588548A0"/>
    <w:rsid w:val="588F1630"/>
    <w:rsid w:val="58955939"/>
    <w:rsid w:val="589715D5"/>
    <w:rsid w:val="58BA7D95"/>
    <w:rsid w:val="58C35579"/>
    <w:rsid w:val="58C425E6"/>
    <w:rsid w:val="58C70C0A"/>
    <w:rsid w:val="58DD0763"/>
    <w:rsid w:val="58E42340"/>
    <w:rsid w:val="58E96E09"/>
    <w:rsid w:val="590B5B1F"/>
    <w:rsid w:val="590D7AE9"/>
    <w:rsid w:val="59615DB7"/>
    <w:rsid w:val="5963617B"/>
    <w:rsid w:val="596F2552"/>
    <w:rsid w:val="596F54E6"/>
    <w:rsid w:val="598227F3"/>
    <w:rsid w:val="59945B14"/>
    <w:rsid w:val="59A71210"/>
    <w:rsid w:val="59B14918"/>
    <w:rsid w:val="59D70FAC"/>
    <w:rsid w:val="59E636A5"/>
    <w:rsid w:val="5A7D47FA"/>
    <w:rsid w:val="5AAC50E0"/>
    <w:rsid w:val="5AB346C0"/>
    <w:rsid w:val="5AD3266C"/>
    <w:rsid w:val="5B182775"/>
    <w:rsid w:val="5B50505C"/>
    <w:rsid w:val="5B834092"/>
    <w:rsid w:val="5BAE5416"/>
    <w:rsid w:val="5BCD4BCD"/>
    <w:rsid w:val="5BD42FBA"/>
    <w:rsid w:val="5BDE4793"/>
    <w:rsid w:val="5BE32D83"/>
    <w:rsid w:val="5BEE49FC"/>
    <w:rsid w:val="5BEF797A"/>
    <w:rsid w:val="5BF469A4"/>
    <w:rsid w:val="5BF64715"/>
    <w:rsid w:val="5BF83C0B"/>
    <w:rsid w:val="5C313AEE"/>
    <w:rsid w:val="5C45759A"/>
    <w:rsid w:val="5C5767C2"/>
    <w:rsid w:val="5C5D0D87"/>
    <w:rsid w:val="5C6042B1"/>
    <w:rsid w:val="5C79253A"/>
    <w:rsid w:val="5C89373D"/>
    <w:rsid w:val="5C987F71"/>
    <w:rsid w:val="5C9F6CAA"/>
    <w:rsid w:val="5CCF6E00"/>
    <w:rsid w:val="5CD54DC2"/>
    <w:rsid w:val="5CE648D9"/>
    <w:rsid w:val="5D1A6C78"/>
    <w:rsid w:val="5D3F7EDF"/>
    <w:rsid w:val="5D86588A"/>
    <w:rsid w:val="5D8C2DD2"/>
    <w:rsid w:val="5D902A97"/>
    <w:rsid w:val="5DB42389"/>
    <w:rsid w:val="5DBE389C"/>
    <w:rsid w:val="5E054B47"/>
    <w:rsid w:val="5E0744EC"/>
    <w:rsid w:val="5E14191A"/>
    <w:rsid w:val="5E224037"/>
    <w:rsid w:val="5E3656A1"/>
    <w:rsid w:val="5E3B6EA6"/>
    <w:rsid w:val="5E9268B6"/>
    <w:rsid w:val="5EB91925"/>
    <w:rsid w:val="5ED2555F"/>
    <w:rsid w:val="5F21088D"/>
    <w:rsid w:val="5F243DE2"/>
    <w:rsid w:val="5F4F0E5B"/>
    <w:rsid w:val="5F5A2904"/>
    <w:rsid w:val="5F6366B5"/>
    <w:rsid w:val="5F6E6207"/>
    <w:rsid w:val="5F930E29"/>
    <w:rsid w:val="5F942D12"/>
    <w:rsid w:val="5F96076A"/>
    <w:rsid w:val="5FB92779"/>
    <w:rsid w:val="5FE67F72"/>
    <w:rsid w:val="5FF24416"/>
    <w:rsid w:val="5FF437B1"/>
    <w:rsid w:val="6008725C"/>
    <w:rsid w:val="603D0108"/>
    <w:rsid w:val="605D5DF1"/>
    <w:rsid w:val="606326E4"/>
    <w:rsid w:val="606C4E57"/>
    <w:rsid w:val="606E3563"/>
    <w:rsid w:val="606F4BE5"/>
    <w:rsid w:val="60772462"/>
    <w:rsid w:val="6085265B"/>
    <w:rsid w:val="608707C1"/>
    <w:rsid w:val="60920108"/>
    <w:rsid w:val="60AE6299"/>
    <w:rsid w:val="60AF592A"/>
    <w:rsid w:val="60CC028A"/>
    <w:rsid w:val="60DC5CFA"/>
    <w:rsid w:val="60E5134B"/>
    <w:rsid w:val="60EC6236"/>
    <w:rsid w:val="6102706E"/>
    <w:rsid w:val="61103ECC"/>
    <w:rsid w:val="61265143"/>
    <w:rsid w:val="61357BDD"/>
    <w:rsid w:val="61404326"/>
    <w:rsid w:val="61483DB4"/>
    <w:rsid w:val="61761DA3"/>
    <w:rsid w:val="61810566"/>
    <w:rsid w:val="61846571"/>
    <w:rsid w:val="61B72CE8"/>
    <w:rsid w:val="61DE2C95"/>
    <w:rsid w:val="61E37639"/>
    <w:rsid w:val="61FC2FD6"/>
    <w:rsid w:val="621974FF"/>
    <w:rsid w:val="6228716A"/>
    <w:rsid w:val="624F6256"/>
    <w:rsid w:val="625D7E45"/>
    <w:rsid w:val="625E40E7"/>
    <w:rsid w:val="626E396E"/>
    <w:rsid w:val="62774225"/>
    <w:rsid w:val="6299284E"/>
    <w:rsid w:val="62C0797A"/>
    <w:rsid w:val="62CA6D56"/>
    <w:rsid w:val="62CE2B6D"/>
    <w:rsid w:val="62F835B8"/>
    <w:rsid w:val="632573ED"/>
    <w:rsid w:val="633640E0"/>
    <w:rsid w:val="638C5486"/>
    <w:rsid w:val="6397692D"/>
    <w:rsid w:val="63BB2580"/>
    <w:rsid w:val="63F35B2D"/>
    <w:rsid w:val="63F55C10"/>
    <w:rsid w:val="6425095E"/>
    <w:rsid w:val="644665A5"/>
    <w:rsid w:val="64504D2E"/>
    <w:rsid w:val="649B2209"/>
    <w:rsid w:val="64A6179A"/>
    <w:rsid w:val="64A700BA"/>
    <w:rsid w:val="64C925FE"/>
    <w:rsid w:val="64EC2CA8"/>
    <w:rsid w:val="64EF2799"/>
    <w:rsid w:val="650A312E"/>
    <w:rsid w:val="651B17E0"/>
    <w:rsid w:val="6522072E"/>
    <w:rsid w:val="652470FF"/>
    <w:rsid w:val="65271F32"/>
    <w:rsid w:val="652D44D2"/>
    <w:rsid w:val="65387C9C"/>
    <w:rsid w:val="65424FBE"/>
    <w:rsid w:val="65650173"/>
    <w:rsid w:val="657038D9"/>
    <w:rsid w:val="65757142"/>
    <w:rsid w:val="65881026"/>
    <w:rsid w:val="658871B8"/>
    <w:rsid w:val="65962C14"/>
    <w:rsid w:val="659F4066"/>
    <w:rsid w:val="65A96DEB"/>
    <w:rsid w:val="65B82F8B"/>
    <w:rsid w:val="65FB7117"/>
    <w:rsid w:val="66263F98"/>
    <w:rsid w:val="66903B07"/>
    <w:rsid w:val="669E47D6"/>
    <w:rsid w:val="66F91029"/>
    <w:rsid w:val="67260928"/>
    <w:rsid w:val="67270AD5"/>
    <w:rsid w:val="673E3EC9"/>
    <w:rsid w:val="6749577D"/>
    <w:rsid w:val="67564D51"/>
    <w:rsid w:val="675D4848"/>
    <w:rsid w:val="675E7762"/>
    <w:rsid w:val="676F283B"/>
    <w:rsid w:val="677451B8"/>
    <w:rsid w:val="677671A1"/>
    <w:rsid w:val="67861F9B"/>
    <w:rsid w:val="67915D89"/>
    <w:rsid w:val="67A1421E"/>
    <w:rsid w:val="67C24AE5"/>
    <w:rsid w:val="67EB2EA9"/>
    <w:rsid w:val="67EC3CDB"/>
    <w:rsid w:val="67EE0FC7"/>
    <w:rsid w:val="67EF5014"/>
    <w:rsid w:val="67F00D02"/>
    <w:rsid w:val="67FD341E"/>
    <w:rsid w:val="681A01F7"/>
    <w:rsid w:val="68226859"/>
    <w:rsid w:val="68282249"/>
    <w:rsid w:val="682D7860"/>
    <w:rsid w:val="68410EAA"/>
    <w:rsid w:val="6860521B"/>
    <w:rsid w:val="686314D3"/>
    <w:rsid w:val="687234C5"/>
    <w:rsid w:val="689A075E"/>
    <w:rsid w:val="68A11FFC"/>
    <w:rsid w:val="68B9340A"/>
    <w:rsid w:val="68C575E7"/>
    <w:rsid w:val="68C746F7"/>
    <w:rsid w:val="68D0643D"/>
    <w:rsid w:val="68D06FB7"/>
    <w:rsid w:val="68DB3760"/>
    <w:rsid w:val="6917406C"/>
    <w:rsid w:val="691D3625"/>
    <w:rsid w:val="691E26C3"/>
    <w:rsid w:val="691F1760"/>
    <w:rsid w:val="69226C1D"/>
    <w:rsid w:val="692D388F"/>
    <w:rsid w:val="69342E70"/>
    <w:rsid w:val="694B1F6D"/>
    <w:rsid w:val="694C138F"/>
    <w:rsid w:val="697414BE"/>
    <w:rsid w:val="69A21144"/>
    <w:rsid w:val="69C63C15"/>
    <w:rsid w:val="69F32F6D"/>
    <w:rsid w:val="6A0B1E23"/>
    <w:rsid w:val="6A184540"/>
    <w:rsid w:val="6A23573F"/>
    <w:rsid w:val="6A276A08"/>
    <w:rsid w:val="6A652199"/>
    <w:rsid w:val="6A6652AB"/>
    <w:rsid w:val="6A6E23B2"/>
    <w:rsid w:val="6A984540"/>
    <w:rsid w:val="6AA858C3"/>
    <w:rsid w:val="6AA91B3A"/>
    <w:rsid w:val="6ACB7804"/>
    <w:rsid w:val="6B296C62"/>
    <w:rsid w:val="6B3708EB"/>
    <w:rsid w:val="6B49075C"/>
    <w:rsid w:val="6B563571"/>
    <w:rsid w:val="6B5D66AE"/>
    <w:rsid w:val="6B6B003F"/>
    <w:rsid w:val="6B6B43A2"/>
    <w:rsid w:val="6B74058C"/>
    <w:rsid w:val="6B991B92"/>
    <w:rsid w:val="6B9B1D8B"/>
    <w:rsid w:val="6BD1202A"/>
    <w:rsid w:val="6BD44D23"/>
    <w:rsid w:val="6BD61FBC"/>
    <w:rsid w:val="6BF37FED"/>
    <w:rsid w:val="6BFB3005"/>
    <w:rsid w:val="6C101972"/>
    <w:rsid w:val="6C156F89"/>
    <w:rsid w:val="6C81017A"/>
    <w:rsid w:val="6C890A01"/>
    <w:rsid w:val="6CD96208"/>
    <w:rsid w:val="6CDF30F3"/>
    <w:rsid w:val="6D0958F4"/>
    <w:rsid w:val="6D1948A3"/>
    <w:rsid w:val="6D350F65"/>
    <w:rsid w:val="6D3B47CD"/>
    <w:rsid w:val="6D480C98"/>
    <w:rsid w:val="6D8141AA"/>
    <w:rsid w:val="6D8C078C"/>
    <w:rsid w:val="6DC63EEA"/>
    <w:rsid w:val="6DE45CDD"/>
    <w:rsid w:val="6DE81F14"/>
    <w:rsid w:val="6DEA1D4F"/>
    <w:rsid w:val="6DEA2090"/>
    <w:rsid w:val="6DEE7A91"/>
    <w:rsid w:val="6E001573"/>
    <w:rsid w:val="6E021156"/>
    <w:rsid w:val="6E027DEE"/>
    <w:rsid w:val="6E195F38"/>
    <w:rsid w:val="6E315930"/>
    <w:rsid w:val="6E372C32"/>
    <w:rsid w:val="6E4459F8"/>
    <w:rsid w:val="6E4A0A40"/>
    <w:rsid w:val="6E8D72AA"/>
    <w:rsid w:val="6E957F0D"/>
    <w:rsid w:val="6EA168B2"/>
    <w:rsid w:val="6EB862D1"/>
    <w:rsid w:val="6EBE565D"/>
    <w:rsid w:val="6ECF4983"/>
    <w:rsid w:val="6EE5451A"/>
    <w:rsid w:val="6EF966EE"/>
    <w:rsid w:val="6F046E40"/>
    <w:rsid w:val="6F086708"/>
    <w:rsid w:val="6F314A36"/>
    <w:rsid w:val="6F3567FC"/>
    <w:rsid w:val="6F8A7E10"/>
    <w:rsid w:val="6FB645DF"/>
    <w:rsid w:val="6FC671C9"/>
    <w:rsid w:val="6FCD3A61"/>
    <w:rsid w:val="6FD05147"/>
    <w:rsid w:val="6FEB623C"/>
    <w:rsid w:val="6FFB0457"/>
    <w:rsid w:val="6FFE5F86"/>
    <w:rsid w:val="6FFF7CD7"/>
    <w:rsid w:val="70106157"/>
    <w:rsid w:val="70637DAB"/>
    <w:rsid w:val="707A385E"/>
    <w:rsid w:val="70877D29"/>
    <w:rsid w:val="709A7A5C"/>
    <w:rsid w:val="70D570BF"/>
    <w:rsid w:val="7104137A"/>
    <w:rsid w:val="711F7F62"/>
    <w:rsid w:val="71641E18"/>
    <w:rsid w:val="71662034"/>
    <w:rsid w:val="716D5171"/>
    <w:rsid w:val="71883D59"/>
    <w:rsid w:val="71A62431"/>
    <w:rsid w:val="71C254BD"/>
    <w:rsid w:val="71E35433"/>
    <w:rsid w:val="72077373"/>
    <w:rsid w:val="72141A90"/>
    <w:rsid w:val="726245AA"/>
    <w:rsid w:val="7265033B"/>
    <w:rsid w:val="72677E12"/>
    <w:rsid w:val="729A01E8"/>
    <w:rsid w:val="729A5C25"/>
    <w:rsid w:val="72AB5227"/>
    <w:rsid w:val="72BA6194"/>
    <w:rsid w:val="72D134DE"/>
    <w:rsid w:val="72ED47BB"/>
    <w:rsid w:val="72F33BF6"/>
    <w:rsid w:val="72F773E8"/>
    <w:rsid w:val="7302669F"/>
    <w:rsid w:val="7312515E"/>
    <w:rsid w:val="73133AF6"/>
    <w:rsid w:val="733A6F95"/>
    <w:rsid w:val="73610D05"/>
    <w:rsid w:val="737C09CA"/>
    <w:rsid w:val="73A806E2"/>
    <w:rsid w:val="73F71A41"/>
    <w:rsid w:val="73F97190"/>
    <w:rsid w:val="74024296"/>
    <w:rsid w:val="741C4C2C"/>
    <w:rsid w:val="74381027"/>
    <w:rsid w:val="74453E84"/>
    <w:rsid w:val="74651C08"/>
    <w:rsid w:val="746960C4"/>
    <w:rsid w:val="746B1DAF"/>
    <w:rsid w:val="74822CE1"/>
    <w:rsid w:val="74974543"/>
    <w:rsid w:val="749D5D6D"/>
    <w:rsid w:val="74B8069D"/>
    <w:rsid w:val="74BB2697"/>
    <w:rsid w:val="74C46C63"/>
    <w:rsid w:val="74DC5F7C"/>
    <w:rsid w:val="74F82FA3"/>
    <w:rsid w:val="75183646"/>
    <w:rsid w:val="75256B12"/>
    <w:rsid w:val="752B3379"/>
    <w:rsid w:val="752B5127"/>
    <w:rsid w:val="75390766"/>
    <w:rsid w:val="75CD4430"/>
    <w:rsid w:val="75F575B2"/>
    <w:rsid w:val="761107C1"/>
    <w:rsid w:val="766A174F"/>
    <w:rsid w:val="768947FB"/>
    <w:rsid w:val="768A0989"/>
    <w:rsid w:val="768F62F7"/>
    <w:rsid w:val="76961557"/>
    <w:rsid w:val="76B8638A"/>
    <w:rsid w:val="76CF1C1E"/>
    <w:rsid w:val="76D90BB3"/>
    <w:rsid w:val="76E77774"/>
    <w:rsid w:val="76F31C74"/>
    <w:rsid w:val="76FD6F97"/>
    <w:rsid w:val="771204C8"/>
    <w:rsid w:val="77132317"/>
    <w:rsid w:val="771A7F59"/>
    <w:rsid w:val="771E6442"/>
    <w:rsid w:val="772A140E"/>
    <w:rsid w:val="7738674E"/>
    <w:rsid w:val="773C7ABF"/>
    <w:rsid w:val="77404207"/>
    <w:rsid w:val="774150D6"/>
    <w:rsid w:val="77550B81"/>
    <w:rsid w:val="77724B3B"/>
    <w:rsid w:val="77843214"/>
    <w:rsid w:val="77884AB3"/>
    <w:rsid w:val="779F3BAA"/>
    <w:rsid w:val="77AB07A1"/>
    <w:rsid w:val="77B70883"/>
    <w:rsid w:val="77B72729"/>
    <w:rsid w:val="77B92EFE"/>
    <w:rsid w:val="77CB0E43"/>
    <w:rsid w:val="77CD4BBB"/>
    <w:rsid w:val="77F116DF"/>
    <w:rsid w:val="77F20AE8"/>
    <w:rsid w:val="78174088"/>
    <w:rsid w:val="781B6E27"/>
    <w:rsid w:val="7820118F"/>
    <w:rsid w:val="784309DA"/>
    <w:rsid w:val="784F3822"/>
    <w:rsid w:val="78526E6F"/>
    <w:rsid w:val="78697682"/>
    <w:rsid w:val="78AE22A7"/>
    <w:rsid w:val="78BE62B2"/>
    <w:rsid w:val="78D37FAF"/>
    <w:rsid w:val="78DD0E2E"/>
    <w:rsid w:val="78DF4BA6"/>
    <w:rsid w:val="79181E66"/>
    <w:rsid w:val="7931117A"/>
    <w:rsid w:val="79334EF2"/>
    <w:rsid w:val="7950774B"/>
    <w:rsid w:val="795D1F6F"/>
    <w:rsid w:val="79705DB6"/>
    <w:rsid w:val="79847A08"/>
    <w:rsid w:val="798A717A"/>
    <w:rsid w:val="799D352A"/>
    <w:rsid w:val="79D07A75"/>
    <w:rsid w:val="79F91C98"/>
    <w:rsid w:val="7A0E5634"/>
    <w:rsid w:val="7A15284A"/>
    <w:rsid w:val="7A2A2A16"/>
    <w:rsid w:val="7A3731F1"/>
    <w:rsid w:val="7A544425"/>
    <w:rsid w:val="7A5D799C"/>
    <w:rsid w:val="7A5E4ABE"/>
    <w:rsid w:val="7A772BA4"/>
    <w:rsid w:val="7A854A65"/>
    <w:rsid w:val="7AAB4D1D"/>
    <w:rsid w:val="7AF406B1"/>
    <w:rsid w:val="7AF44B79"/>
    <w:rsid w:val="7AFB26BA"/>
    <w:rsid w:val="7B2A3852"/>
    <w:rsid w:val="7B3330BB"/>
    <w:rsid w:val="7B6E0463"/>
    <w:rsid w:val="7B7470FC"/>
    <w:rsid w:val="7B810197"/>
    <w:rsid w:val="7B8B4B71"/>
    <w:rsid w:val="7BA43E85"/>
    <w:rsid w:val="7BD4595B"/>
    <w:rsid w:val="7BEE3352"/>
    <w:rsid w:val="7BF87D2D"/>
    <w:rsid w:val="7BFA5853"/>
    <w:rsid w:val="7C0E12FE"/>
    <w:rsid w:val="7C352D2F"/>
    <w:rsid w:val="7C3664B7"/>
    <w:rsid w:val="7C5232BC"/>
    <w:rsid w:val="7C5F1B5A"/>
    <w:rsid w:val="7C63789C"/>
    <w:rsid w:val="7C6F7F88"/>
    <w:rsid w:val="7C965AC7"/>
    <w:rsid w:val="7CC83BA3"/>
    <w:rsid w:val="7CC85951"/>
    <w:rsid w:val="7CD267D0"/>
    <w:rsid w:val="7CF60710"/>
    <w:rsid w:val="7D0050EB"/>
    <w:rsid w:val="7D576338"/>
    <w:rsid w:val="7D7E7F0A"/>
    <w:rsid w:val="7D81659A"/>
    <w:rsid w:val="7DA37E53"/>
    <w:rsid w:val="7DB54CF6"/>
    <w:rsid w:val="7DBB6A17"/>
    <w:rsid w:val="7DD65E4C"/>
    <w:rsid w:val="7DE1316F"/>
    <w:rsid w:val="7DF115D5"/>
    <w:rsid w:val="7E3D3AC0"/>
    <w:rsid w:val="7E492AC2"/>
    <w:rsid w:val="7E54063C"/>
    <w:rsid w:val="7E6F077A"/>
    <w:rsid w:val="7E7377B9"/>
    <w:rsid w:val="7E951FDB"/>
    <w:rsid w:val="7EA30424"/>
    <w:rsid w:val="7EB760F1"/>
    <w:rsid w:val="7EC93EC2"/>
    <w:rsid w:val="7ED14F91"/>
    <w:rsid w:val="7ED76320"/>
    <w:rsid w:val="7EFA22E8"/>
    <w:rsid w:val="7F0435BD"/>
    <w:rsid w:val="7F392227"/>
    <w:rsid w:val="7F9075B3"/>
    <w:rsid w:val="7F9F508F"/>
    <w:rsid w:val="7FC00483"/>
    <w:rsid w:val="7FD92B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qFormat="1"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utoSpaceDE w:val="0"/>
      <w:autoSpaceDN w:val="0"/>
      <w:adjustRightInd w:val="0"/>
      <w:snapToGrid w:val="0"/>
      <w:spacing w:line="360" w:lineRule="auto"/>
      <w:ind w:firstLine="1446" w:firstLineChars="200"/>
      <w:jc w:val="both"/>
    </w:pPr>
    <w:rPr>
      <w:rFonts w:ascii="Times New Roman" w:hAnsi="Times New Roman" w:eastAsia="宋体" w:cs="Times New Roman"/>
      <w:sz w:val="24"/>
      <w:szCs w:val="24"/>
      <w:lang w:val="zh-CN" w:eastAsia="zh-CN" w:bidi="zh-CN"/>
    </w:rPr>
  </w:style>
  <w:style w:type="paragraph" w:styleId="2">
    <w:name w:val="heading 1"/>
    <w:basedOn w:val="1"/>
    <w:next w:val="1"/>
    <w:link w:val="27"/>
    <w:autoRedefine/>
    <w:qFormat/>
    <w:uiPriority w:val="0"/>
    <w:pPr>
      <w:pageBreakBefore/>
      <w:tabs>
        <w:tab w:val="left" w:pos="0"/>
      </w:tabs>
      <w:spacing w:before="50" w:beforeLines="50"/>
      <w:ind w:firstLine="0" w:firstLineChars="0"/>
      <w:jc w:val="center"/>
      <w:outlineLvl w:val="0"/>
    </w:pPr>
    <w:rPr>
      <w:rFonts w:cs="微软雅黑"/>
      <w:b/>
      <w:bCs/>
      <w:sz w:val="32"/>
      <w:szCs w:val="32"/>
    </w:rPr>
  </w:style>
  <w:style w:type="paragraph" w:styleId="3">
    <w:name w:val="heading 2"/>
    <w:basedOn w:val="1"/>
    <w:next w:val="1"/>
    <w:link w:val="20"/>
    <w:autoRedefine/>
    <w:unhideWhenUsed/>
    <w:qFormat/>
    <w:uiPriority w:val="0"/>
    <w:pPr>
      <w:numPr>
        <w:ilvl w:val="1"/>
        <w:numId w:val="1"/>
      </w:numPr>
      <w:tabs>
        <w:tab w:val="left" w:pos="420"/>
        <w:tab w:val="clear" w:pos="0"/>
      </w:tabs>
      <w:ind w:firstLine="0" w:firstLineChars="0"/>
      <w:outlineLvl w:val="1"/>
    </w:pPr>
    <w:rPr>
      <w:rFonts w:ascii="微软雅黑" w:hAnsi="微软雅黑" w:cs="微软雅黑"/>
      <w:b/>
      <w:bCs/>
      <w:sz w:val="30"/>
      <w:szCs w:val="28"/>
    </w:rPr>
  </w:style>
  <w:style w:type="paragraph" w:styleId="4">
    <w:name w:val="heading 3"/>
    <w:basedOn w:val="1"/>
    <w:next w:val="1"/>
    <w:link w:val="25"/>
    <w:autoRedefine/>
    <w:unhideWhenUsed/>
    <w:qFormat/>
    <w:uiPriority w:val="0"/>
    <w:pPr>
      <w:keepNext/>
      <w:keepLines/>
      <w:numPr>
        <w:ilvl w:val="2"/>
        <w:numId w:val="1"/>
      </w:numPr>
      <w:ind w:firstLine="0" w:firstLineChars="0"/>
      <w:outlineLvl w:val="2"/>
    </w:pPr>
    <w:rPr>
      <w:rFonts w:ascii="宋体" w:hAnsi="宋体"/>
      <w:b/>
      <w:sz w:val="28"/>
    </w:rPr>
  </w:style>
  <w:style w:type="paragraph" w:styleId="5">
    <w:name w:val="heading 4"/>
    <w:basedOn w:val="1"/>
    <w:next w:val="1"/>
    <w:link w:val="28"/>
    <w:autoRedefine/>
    <w:unhideWhenUsed/>
    <w:qFormat/>
    <w:uiPriority w:val="0"/>
    <w:pPr>
      <w:keepNext/>
      <w:widowControl/>
      <w:numPr>
        <w:ilvl w:val="3"/>
        <w:numId w:val="1"/>
      </w:numPr>
      <w:ind w:left="0" w:firstLine="0" w:firstLineChars="0"/>
      <w:outlineLvl w:val="3"/>
    </w:pPr>
    <w:rPr>
      <w:rFonts w:cs="宋体"/>
      <w:b/>
      <w:szCs w:val="20"/>
    </w:rPr>
  </w:style>
  <w:style w:type="paragraph" w:styleId="6">
    <w:name w:val="heading 5"/>
    <w:basedOn w:val="1"/>
    <w:next w:val="1"/>
    <w:link w:val="24"/>
    <w:autoRedefine/>
    <w:unhideWhenUsed/>
    <w:qFormat/>
    <w:uiPriority w:val="0"/>
    <w:pPr>
      <w:keepNext/>
      <w:ind w:firstLine="0" w:firstLineChars="0"/>
      <w:jc w:val="center"/>
      <w:outlineLvl w:val="4"/>
    </w:pPr>
    <w:rPr>
      <w:b/>
      <w:bCs/>
      <w:sz w:val="21"/>
    </w:rPr>
  </w:style>
  <w:style w:type="paragraph" w:styleId="7">
    <w:name w:val="heading 6"/>
    <w:basedOn w:val="1"/>
    <w:next w:val="1"/>
    <w:autoRedefine/>
    <w:semiHidden/>
    <w:unhideWhenUsed/>
    <w:qFormat/>
    <w:uiPriority w:val="0"/>
    <w:pPr>
      <w:keepNext/>
      <w:keepLines/>
      <w:numPr>
        <w:ilvl w:val="5"/>
        <w:numId w:val="2"/>
      </w:numPr>
      <w:spacing w:before="240" w:after="64" w:line="317" w:lineRule="auto"/>
      <w:ind w:firstLine="0" w:firstLineChars="0"/>
      <w:outlineLvl w:val="5"/>
    </w:pPr>
    <w:rPr>
      <w:rFonts w:ascii="Arial" w:hAnsi="Arial" w:eastAsia="黑体"/>
      <w:b/>
    </w:rPr>
  </w:style>
  <w:style w:type="paragraph" w:styleId="8">
    <w:name w:val="heading 7"/>
    <w:basedOn w:val="1"/>
    <w:next w:val="1"/>
    <w:autoRedefine/>
    <w:semiHidden/>
    <w:unhideWhenUsed/>
    <w:qFormat/>
    <w:uiPriority w:val="0"/>
    <w:pPr>
      <w:keepNext/>
      <w:keepLines/>
      <w:numPr>
        <w:ilvl w:val="6"/>
        <w:numId w:val="1"/>
      </w:numPr>
      <w:spacing w:before="240" w:after="64" w:line="317" w:lineRule="auto"/>
      <w:ind w:firstLine="0" w:firstLineChars="0"/>
      <w:outlineLvl w:val="6"/>
    </w:pPr>
    <w:rPr>
      <w:b/>
    </w:rPr>
  </w:style>
  <w:style w:type="paragraph" w:styleId="9">
    <w:name w:val="heading 8"/>
    <w:basedOn w:val="1"/>
    <w:next w:val="1"/>
    <w:autoRedefine/>
    <w:semiHidden/>
    <w:unhideWhenUsed/>
    <w:qFormat/>
    <w:uiPriority w:val="0"/>
    <w:pPr>
      <w:keepNext/>
      <w:keepLines/>
      <w:numPr>
        <w:ilvl w:val="7"/>
        <w:numId w:val="1"/>
      </w:numPr>
      <w:spacing w:before="240" w:after="64" w:line="317" w:lineRule="auto"/>
      <w:ind w:firstLine="0" w:firstLineChars="0"/>
      <w:outlineLvl w:val="7"/>
    </w:pPr>
    <w:rPr>
      <w:rFonts w:ascii="Arial" w:hAnsi="Arial" w:eastAsia="黑体"/>
    </w:rPr>
  </w:style>
  <w:style w:type="paragraph" w:styleId="10">
    <w:name w:val="heading 9"/>
    <w:basedOn w:val="1"/>
    <w:next w:val="1"/>
    <w:autoRedefine/>
    <w:semiHidden/>
    <w:unhideWhenUsed/>
    <w:qFormat/>
    <w:uiPriority w:val="0"/>
    <w:pPr>
      <w:keepNext/>
      <w:keepLines/>
      <w:numPr>
        <w:ilvl w:val="8"/>
        <w:numId w:val="1"/>
      </w:numPr>
      <w:spacing w:before="240" w:after="64" w:line="317" w:lineRule="auto"/>
      <w:ind w:firstLine="0" w:firstLineChars="0"/>
      <w:outlineLvl w:val="8"/>
    </w:pPr>
    <w:rPr>
      <w:rFonts w:ascii="Arial" w:hAnsi="Arial" w:eastAsia="黑体"/>
      <w:sz w:val="21"/>
    </w:rPr>
  </w:style>
  <w:style w:type="character" w:default="1" w:styleId="18">
    <w:name w:val="Default Paragraph Font"/>
    <w:semiHidden/>
    <w:unhideWhenUsed/>
    <w:qFormat/>
    <w:uiPriority w:val="1"/>
  </w:style>
  <w:style w:type="table" w:default="1" w:styleId="16">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11">
    <w:name w:val="annotation text"/>
    <w:basedOn w:val="1"/>
    <w:qFormat/>
    <w:uiPriority w:val="0"/>
    <w:pPr>
      <w:jc w:val="left"/>
    </w:pPr>
  </w:style>
  <w:style w:type="paragraph" w:styleId="12">
    <w:name w:val="toc 1"/>
    <w:basedOn w:val="1"/>
    <w:next w:val="1"/>
    <w:autoRedefine/>
    <w:qFormat/>
    <w:uiPriority w:val="0"/>
    <w:pPr>
      <w:spacing w:before="40"/>
      <w:ind w:right="340" w:firstLine="0" w:firstLineChars="0"/>
      <w:jc w:val="right"/>
    </w:pPr>
    <w:rPr>
      <w:rFonts w:cs="微软雅黑"/>
      <w:b/>
      <w:bCs/>
    </w:rPr>
  </w:style>
  <w:style w:type="paragraph" w:styleId="13">
    <w:name w:val="toc 2"/>
    <w:basedOn w:val="1"/>
    <w:next w:val="1"/>
    <w:link w:val="26"/>
    <w:autoRedefine/>
    <w:qFormat/>
    <w:uiPriority w:val="0"/>
    <w:pPr>
      <w:spacing w:before="120"/>
      <w:ind w:left="930" w:right="340" w:firstLine="0" w:firstLineChars="0"/>
      <w:jc w:val="right"/>
    </w:pPr>
    <w:rPr>
      <w:rFonts w:cs="宋体"/>
      <w:szCs w:val="21"/>
    </w:rPr>
  </w:style>
  <w:style w:type="paragraph" w:styleId="14">
    <w:name w:val="Normal (Web)"/>
    <w:basedOn w:val="1"/>
    <w:qFormat/>
    <w:uiPriority w:val="0"/>
    <w:rPr>
      <w:sz w:val="24"/>
    </w:rPr>
  </w:style>
  <w:style w:type="paragraph" w:styleId="15">
    <w:name w:val="Title"/>
    <w:basedOn w:val="1"/>
    <w:next w:val="1"/>
    <w:qFormat/>
    <w:uiPriority w:val="0"/>
    <w:pPr>
      <w:numPr>
        <w:ilvl w:val="0"/>
        <w:numId w:val="3"/>
      </w:numPr>
      <w:spacing w:before="240" w:beforeLines="0" w:beforeAutospacing="0" w:after="60" w:afterLines="0" w:afterAutospacing="0"/>
      <w:ind w:left="3969" w:firstLine="0" w:firstLineChars="0"/>
      <w:jc w:val="center"/>
      <w:outlineLvl w:val="0"/>
    </w:pPr>
    <w:rPr>
      <w:rFonts w:ascii="Arial" w:hAnsi="Arial"/>
      <w:b/>
      <w:sz w:val="32"/>
    </w:rPr>
  </w:style>
  <w:style w:type="table" w:styleId="17">
    <w:name w:val="Table Grid"/>
    <w:basedOn w:val="1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character" w:customStyle="1" w:styleId="20">
    <w:name w:val="标题 2 字符"/>
    <w:link w:val="3"/>
    <w:autoRedefine/>
    <w:qFormat/>
    <w:uiPriority w:val="1"/>
    <w:rPr>
      <w:rFonts w:ascii="Times New Roman" w:hAnsi="Times New Roman" w:eastAsia="宋体" w:cs="Times New Roman"/>
      <w:b/>
      <w:bCs/>
      <w:kern w:val="2"/>
      <w:sz w:val="30"/>
      <w:szCs w:val="32"/>
    </w:rPr>
  </w:style>
  <w:style w:type="paragraph" w:customStyle="1" w:styleId="21">
    <w:name w:val="表格内文字"/>
    <w:basedOn w:val="1"/>
    <w:autoRedefine/>
    <w:qFormat/>
    <w:uiPriority w:val="0"/>
    <w:pPr>
      <w:tabs>
        <w:tab w:val="left" w:pos="0"/>
      </w:tabs>
      <w:spacing w:line="240" w:lineRule="auto"/>
      <w:ind w:firstLine="0" w:firstLineChars="0"/>
      <w:jc w:val="center"/>
    </w:pPr>
    <w:rPr>
      <w:sz w:val="21"/>
    </w:rPr>
  </w:style>
  <w:style w:type="paragraph" w:customStyle="1" w:styleId="22">
    <w:name w:val="表头"/>
    <w:basedOn w:val="1"/>
    <w:qFormat/>
    <w:uiPriority w:val="0"/>
    <w:pPr>
      <w:spacing w:line="240" w:lineRule="auto"/>
      <w:ind w:firstLine="0" w:firstLineChars="0"/>
      <w:jc w:val="center"/>
    </w:pPr>
    <w:rPr>
      <w:b/>
      <w:sz w:val="21"/>
    </w:rPr>
  </w:style>
  <w:style w:type="paragraph" w:customStyle="1" w:styleId="23">
    <w:name w:val="表格标题"/>
    <w:basedOn w:val="1"/>
    <w:next w:val="22"/>
    <w:qFormat/>
    <w:uiPriority w:val="0"/>
    <w:pPr>
      <w:ind w:firstLine="0" w:firstLineChars="0"/>
      <w:jc w:val="center"/>
    </w:pPr>
    <w:rPr>
      <w:rFonts w:hint="eastAsia" w:ascii="Times New Roman" w:hAnsi="Times New Roman" w:eastAsia="宋体"/>
      <w:b/>
      <w:lang w:val="en-US"/>
    </w:rPr>
  </w:style>
  <w:style w:type="character" w:customStyle="1" w:styleId="24">
    <w:name w:val="标题 5 字符"/>
    <w:link w:val="6"/>
    <w:autoRedefine/>
    <w:qFormat/>
    <w:uiPriority w:val="0"/>
    <w:rPr>
      <w:rFonts w:ascii="Times New Roman" w:hAnsi="Times New Roman" w:eastAsia="宋体" w:cs="Times New Roman"/>
      <w:b/>
      <w:bCs/>
      <w:kern w:val="2"/>
      <w:sz w:val="21"/>
      <w:szCs w:val="24"/>
    </w:rPr>
  </w:style>
  <w:style w:type="character" w:customStyle="1" w:styleId="25">
    <w:name w:val="标题 3 字符"/>
    <w:link w:val="4"/>
    <w:autoRedefine/>
    <w:qFormat/>
    <w:uiPriority w:val="0"/>
    <w:rPr>
      <w:rFonts w:ascii="宋体" w:hAnsi="宋体" w:eastAsia="宋体" w:cs="Times New Roman"/>
      <w:b/>
      <w:kern w:val="2"/>
      <w:sz w:val="28"/>
      <w:lang w:val="en-US" w:bidi="ar-SA"/>
    </w:rPr>
  </w:style>
  <w:style w:type="character" w:customStyle="1" w:styleId="26">
    <w:name w:val="TOC 2 字符"/>
    <w:link w:val="13"/>
    <w:autoRedefine/>
    <w:qFormat/>
    <w:uiPriority w:val="1"/>
    <w:rPr>
      <w:rFonts w:ascii="Times New Roman" w:hAnsi="Times New Roman" w:eastAsia="仿宋" w:cs="宋体"/>
      <w:sz w:val="24"/>
      <w:szCs w:val="21"/>
      <w:lang w:val="zh-CN" w:eastAsia="zh-CN" w:bidi="zh-CN"/>
    </w:rPr>
  </w:style>
  <w:style w:type="character" w:customStyle="1" w:styleId="27">
    <w:name w:val="标题 1 字符"/>
    <w:link w:val="2"/>
    <w:autoRedefine/>
    <w:qFormat/>
    <w:uiPriority w:val="0"/>
    <w:rPr>
      <w:rFonts w:ascii="Times New Roman" w:hAnsi="Times New Roman" w:eastAsia="宋体" w:cs="Times New Roman"/>
      <w:b/>
      <w:kern w:val="44"/>
      <w:sz w:val="32"/>
      <w:szCs w:val="20"/>
      <w:lang w:val="en-US" w:bidi="ar-SA"/>
    </w:rPr>
  </w:style>
  <w:style w:type="character" w:customStyle="1" w:styleId="28">
    <w:name w:val="标题 4 字符"/>
    <w:link w:val="5"/>
    <w:autoRedefine/>
    <w:qFormat/>
    <w:uiPriority w:val="0"/>
    <w:rPr>
      <w:rFonts w:ascii="Times New Roman" w:hAnsi="Times New Roman" w:eastAsia="宋体" w:cs="Times New Roman"/>
      <w:b/>
      <w:szCs w:val="20"/>
      <w:lang w:val="en-US" w:bidi="ar-SA"/>
    </w:rPr>
  </w:style>
  <w:style w:type="paragraph" w:customStyle="1" w:styleId="29">
    <w:name w:val="第一张前段"/>
    <w:basedOn w:val="1"/>
    <w:qFormat/>
    <w:uiPriority w:val="0"/>
    <w:pPr>
      <w:spacing w:line="240" w:lineRule="auto"/>
      <w:ind w:firstLine="0" w:firstLineChars="0"/>
      <w:jc w:val="center"/>
    </w:pPr>
  </w:style>
  <w:style w:type="table" w:customStyle="1" w:styleId="30">
    <w:name w:val="Table Normal"/>
    <w:semiHidden/>
    <w:unhideWhenUsed/>
    <w:qFormat/>
    <w:uiPriority w:val="0"/>
    <w:tblPr>
      <w:tblCellMar>
        <w:top w:w="0" w:type="dxa"/>
        <w:left w:w="0" w:type="dxa"/>
        <w:bottom w:w="0" w:type="dxa"/>
        <w:right w:w="0" w:type="dxa"/>
      </w:tblCellMar>
    </w:tblPr>
  </w:style>
  <w:style w:type="character" w:customStyle="1" w:styleId="31">
    <w:name w:val="font21"/>
    <w:basedOn w:val="18"/>
    <w:qFormat/>
    <w:uiPriority w:val="0"/>
    <w:rPr>
      <w:rFonts w:hint="eastAsia" w:ascii="等线" w:hAnsi="等线" w:eastAsia="等线" w:cs="等线"/>
      <w:color w:val="000000"/>
      <w:sz w:val="22"/>
      <w:szCs w:val="22"/>
      <w:u w:val="none"/>
    </w:rPr>
  </w:style>
  <w:style w:type="character" w:customStyle="1" w:styleId="32">
    <w:name w:val="font31"/>
    <w:basedOn w:val="18"/>
    <w:qFormat/>
    <w:uiPriority w:val="0"/>
    <w:rPr>
      <w:rFonts w:hint="eastAsia" w:ascii="宋体" w:hAnsi="宋体" w:eastAsia="宋体" w:cs="宋体"/>
      <w:color w:val="000000"/>
      <w:sz w:val="22"/>
      <w:szCs w:val="22"/>
      <w:u w:val="none"/>
    </w:rPr>
  </w:style>
  <w:style w:type="paragraph" w:customStyle="1" w:styleId="33">
    <w:name w:val="Table Text"/>
    <w:basedOn w:val="1"/>
    <w:semiHidden/>
    <w:qFormat/>
    <w:uiPriority w:val="0"/>
    <w:rPr>
      <w:rFonts w:ascii="宋体" w:hAnsi="宋体" w:eastAsia="宋体" w:cs="宋体"/>
      <w:sz w:val="24"/>
      <w:szCs w:val="24"/>
      <w:lang w:val="en-US" w:eastAsia="en-US" w:bidi="ar-SA"/>
    </w:rPr>
  </w:style>
  <w:style w:type="character" w:customStyle="1" w:styleId="34">
    <w:name w:val="font11"/>
    <w:basedOn w:val="18"/>
    <w:qFormat/>
    <w:uiPriority w:val="0"/>
    <w:rPr>
      <w:rFonts w:hint="eastAsia" w:ascii="宋体" w:hAnsi="宋体" w:eastAsia="宋体" w:cs="宋体"/>
      <w:color w:val="0000FF"/>
      <w:sz w:val="21"/>
      <w:szCs w:val="21"/>
      <w:u w:val="none"/>
    </w:rPr>
  </w:style>
  <w:style w:type="paragraph" w:customStyle="1" w:styleId="35">
    <w:name w:val="YY表格正文"/>
    <w:basedOn w:val="1"/>
    <w:qFormat/>
    <w:uiPriority w:val="0"/>
    <w:pPr>
      <w:tabs>
        <w:tab w:val="left" w:pos="0"/>
      </w:tabs>
      <w:adjustRightInd w:val="0"/>
      <w:snapToGrid w:val="0"/>
      <w:jc w:val="center"/>
    </w:pPr>
    <w:rPr>
      <w:color w:val="00000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6" Type="http://schemas.openxmlformats.org/officeDocument/2006/relationships/fontTable" Target="fontTable.xml"/><Relationship Id="rId45" Type="http://schemas.openxmlformats.org/officeDocument/2006/relationships/numbering" Target="numbering.xml"/><Relationship Id="rId44" Type="http://schemas.openxmlformats.org/officeDocument/2006/relationships/customXml" Target="../customXml/item1.xml"/><Relationship Id="rId43" Type="http://schemas.openxmlformats.org/officeDocument/2006/relationships/image" Target="media/image26.emf"/><Relationship Id="rId42" Type="http://schemas.openxmlformats.org/officeDocument/2006/relationships/image" Target="media/image25.png"/><Relationship Id="rId41" Type="http://schemas.openxmlformats.org/officeDocument/2006/relationships/image" Target="media/image24.emf"/><Relationship Id="rId40" Type="http://schemas.openxmlformats.org/officeDocument/2006/relationships/image" Target="media/image23.png"/><Relationship Id="rId4" Type="http://schemas.openxmlformats.org/officeDocument/2006/relationships/endnotes" Target="endnotes.xml"/><Relationship Id="rId39" Type="http://schemas.openxmlformats.org/officeDocument/2006/relationships/image" Target="media/image22.png"/><Relationship Id="rId38" Type="http://schemas.openxmlformats.org/officeDocument/2006/relationships/image" Target="media/image21.png"/><Relationship Id="rId37" Type="http://schemas.openxmlformats.org/officeDocument/2006/relationships/image" Target="media/image20.png"/><Relationship Id="rId36" Type="http://schemas.openxmlformats.org/officeDocument/2006/relationships/image" Target="media/image19.png"/><Relationship Id="rId35" Type="http://schemas.openxmlformats.org/officeDocument/2006/relationships/image" Target="media/image18.png"/><Relationship Id="rId34" Type="http://schemas.openxmlformats.org/officeDocument/2006/relationships/image" Target="media/image17.png"/><Relationship Id="rId33" Type="http://schemas.openxmlformats.org/officeDocument/2006/relationships/image" Target="media/image16.png"/><Relationship Id="rId32" Type="http://schemas.openxmlformats.org/officeDocument/2006/relationships/image" Target="media/image15.png"/><Relationship Id="rId31" Type="http://schemas.openxmlformats.org/officeDocument/2006/relationships/image" Target="media/image14.png"/><Relationship Id="rId30" Type="http://schemas.openxmlformats.org/officeDocument/2006/relationships/image" Target="media/image13.png"/><Relationship Id="rId3" Type="http://schemas.openxmlformats.org/officeDocument/2006/relationships/footnotes" Target="footnotes.xml"/><Relationship Id="rId29" Type="http://schemas.openxmlformats.org/officeDocument/2006/relationships/image" Target="media/image12.png"/><Relationship Id="rId28" Type="http://schemas.openxmlformats.org/officeDocument/2006/relationships/image" Target="media/image11.png"/><Relationship Id="rId27" Type="http://schemas.openxmlformats.org/officeDocument/2006/relationships/image" Target="media/image10.png"/><Relationship Id="rId26" Type="http://schemas.openxmlformats.org/officeDocument/2006/relationships/image" Target="media/image9.png"/><Relationship Id="rId25" Type="http://schemas.openxmlformats.org/officeDocument/2006/relationships/image" Target="media/image8.png"/><Relationship Id="rId24" Type="http://schemas.openxmlformats.org/officeDocument/2006/relationships/image" Target="media/image7.wmf"/><Relationship Id="rId23" Type="http://schemas.openxmlformats.org/officeDocument/2006/relationships/oleObject" Target="embeddings/oleObject4.bin"/><Relationship Id="rId22" Type="http://schemas.openxmlformats.org/officeDocument/2006/relationships/image" Target="media/image6.emf"/><Relationship Id="rId21" Type="http://schemas.openxmlformats.org/officeDocument/2006/relationships/oleObject" Target="embeddings/oleObject3.bin"/><Relationship Id="rId20" Type="http://schemas.openxmlformats.org/officeDocument/2006/relationships/image" Target="media/image5.jpeg"/><Relationship Id="rId2" Type="http://schemas.openxmlformats.org/officeDocument/2006/relationships/settings" Target="settings.xml"/><Relationship Id="rId19" Type="http://schemas.openxmlformats.org/officeDocument/2006/relationships/image" Target="media/image4.emf"/><Relationship Id="rId18" Type="http://schemas.openxmlformats.org/officeDocument/2006/relationships/oleObject" Target="embeddings/oleObject2.bin"/><Relationship Id="rId17" Type="http://schemas.openxmlformats.org/officeDocument/2006/relationships/image" Target="media/image3.emf"/><Relationship Id="rId16" Type="http://schemas.openxmlformats.org/officeDocument/2006/relationships/oleObject" Target="embeddings/oleObject1.bin"/><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96</Pages>
  <Words>16178</Words>
  <Characters>17109</Characters>
  <Lines>1</Lines>
  <Paragraphs>1</Paragraphs>
  <TotalTime>4</TotalTime>
  <ScaleCrop>false</ScaleCrop>
  <LinksUpToDate>false</LinksUpToDate>
  <CharactersWithSpaces>17109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2022-12-30T01:00:00Z</dcterms:created>
  <dc:creator>Administrator</dc:creator>
  <cp:lastModifiedBy>司南</cp:lastModifiedBy>
  <cp:lastPrinted>2025-03-14T05:47:00Z</cp:lastPrinted>
  <dcterms:modified xsi:type="dcterms:W3CDTF">2025-03-28T05:22:19Z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C2660B1E5F9D4F9E8B496392EE36F292</vt:lpwstr>
  </property>
  <property fmtid="{D5CDD505-2E9C-101B-9397-08002B2CF9AE}" pid="4" name="KSOTemplateDocerSaveRecord">
    <vt:lpwstr>eyJoZGlkIjoiMzU1ZGUwNWU1YjZmMDZiNmFhZmZiMjBjYThhODk3YjkiLCJ1c2VySWQiOiIzNTI0MTUzNDMifQ==</vt:lpwstr>
  </property>
</Properties>
</file>